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AECF75C"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Pr>
          <w:rFonts w:ascii="Book Antiqua" w:hAnsi="Book Antiqua"/>
          <w:lang w:val="es-ES_tradnl"/>
        </w:rPr>
        <w:t>1</w:t>
      </w:r>
      <w:r>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2AD35B19" w14:textId="77777777" w:rsidR="00E24F6A" w:rsidRDefault="00E24F6A" w:rsidP="00061538">
      <w:pPr>
        <w:rPr>
          <w:rFonts w:ascii="Book Antiqua" w:hAnsi="Book Antiqua"/>
          <w:b/>
          <w:sz w:val="52"/>
          <w:szCs w:val="52"/>
          <w:lang w:val="es-ES_tradnl"/>
        </w:rPr>
      </w:pPr>
    </w:p>
    <w:p w14:paraId="5E47E821" w14:textId="444DFB85" w:rsidR="006705DD" w:rsidRPr="00B95434" w:rsidRDefault="005665D9" w:rsidP="006705DD">
      <w:pPr>
        <w:jc w:val="center"/>
        <w:rPr>
          <w:rFonts w:ascii="Book Antiqua" w:hAnsi="Book Antiqua"/>
          <w:b/>
          <w:sz w:val="52"/>
          <w:szCs w:val="52"/>
          <w:lang w:val="es-ES_tradnl"/>
        </w:rPr>
      </w:pPr>
      <w:bookmarkStart w:id="0" w:name="_Hlk195008770"/>
      <w:r>
        <w:rPr>
          <w:rFonts w:ascii="Book Antiqua" w:hAnsi="Book Antiqua"/>
          <w:b/>
          <w:sz w:val="52"/>
          <w:szCs w:val="52"/>
          <w:lang w:val="es-ES_tradnl"/>
        </w:rPr>
        <w:t>P</w:t>
      </w:r>
      <w:r w:rsidR="00DD1FCB">
        <w:rPr>
          <w:rFonts w:ascii="Book Antiqua" w:hAnsi="Book Antiqua"/>
          <w:b/>
          <w:sz w:val="52"/>
          <w:szCs w:val="52"/>
          <w:lang w:val="es-ES_tradnl"/>
        </w:rPr>
        <w:t xml:space="preserve">. </w:t>
      </w:r>
      <w:r w:rsidR="006705DD" w:rsidRPr="00B95434">
        <w:rPr>
          <w:rFonts w:ascii="Book Antiqua" w:hAnsi="Book Antiqua"/>
          <w:b/>
          <w:sz w:val="52"/>
          <w:szCs w:val="52"/>
          <w:lang w:val="es-ES_tradnl"/>
        </w:rPr>
        <w:t xml:space="preserve">del </w:t>
      </w:r>
      <w:r w:rsidR="00DD1FCB">
        <w:rPr>
          <w:rFonts w:ascii="Book Antiqua" w:hAnsi="Book Antiqua"/>
          <w:b/>
          <w:sz w:val="52"/>
          <w:szCs w:val="52"/>
          <w:lang w:val="es-ES_tradnl"/>
        </w:rPr>
        <w:t>S</w:t>
      </w:r>
      <w:r w:rsidR="006705DD" w:rsidRPr="00B95434">
        <w:rPr>
          <w:rFonts w:ascii="Book Antiqua" w:hAnsi="Book Antiqua"/>
          <w:b/>
          <w:sz w:val="52"/>
          <w:szCs w:val="52"/>
          <w:lang w:val="es-ES_tradnl"/>
        </w:rPr>
        <w:t>.</w:t>
      </w:r>
      <w:r w:rsidR="000E5DC1">
        <w:rPr>
          <w:rFonts w:ascii="Book Antiqua" w:hAnsi="Book Antiqua"/>
          <w:b/>
          <w:sz w:val="52"/>
          <w:szCs w:val="52"/>
          <w:lang w:val="es-ES_tradnl"/>
        </w:rPr>
        <w:t>18</w:t>
      </w:r>
    </w:p>
    <w:bookmarkEnd w:id="0"/>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193CED3A" w:rsidR="006705DD" w:rsidRPr="00B95434" w:rsidRDefault="005665D9" w:rsidP="006705DD">
      <w:pPr>
        <w:jc w:val="center"/>
        <w:rPr>
          <w:rFonts w:ascii="Book Antiqua" w:hAnsi="Book Antiqua"/>
          <w:szCs w:val="24"/>
          <w:lang w:val="es-ES_tradnl"/>
        </w:rPr>
      </w:pPr>
      <w:r>
        <w:rPr>
          <w:rFonts w:ascii="Book Antiqua" w:hAnsi="Book Antiqua"/>
          <w:szCs w:val="24"/>
          <w:lang w:val="es-ES_tradnl"/>
        </w:rPr>
        <w:t xml:space="preserve"> </w:t>
      </w:r>
      <w:r w:rsidR="00284479">
        <w:rPr>
          <w:rFonts w:ascii="Book Antiqua" w:hAnsi="Book Antiqua"/>
          <w:szCs w:val="24"/>
          <w:lang w:val="es-ES_tradnl"/>
        </w:rPr>
        <w:t>10</w:t>
      </w:r>
      <w:r w:rsidR="00FE1B47">
        <w:rPr>
          <w:rFonts w:ascii="Book Antiqua" w:hAnsi="Book Antiqua"/>
          <w:szCs w:val="24"/>
          <w:lang w:val="es-ES_tradnl"/>
        </w:rPr>
        <w:t xml:space="preserve"> de </w:t>
      </w:r>
      <w:r w:rsidR="000E5DC1">
        <w:rPr>
          <w:rFonts w:ascii="Book Antiqua" w:hAnsi="Book Antiqua"/>
          <w:szCs w:val="24"/>
          <w:lang w:val="es-ES_tradnl"/>
        </w:rPr>
        <w:t>junio</w:t>
      </w:r>
      <w:r w:rsidR="005E345A">
        <w:rPr>
          <w:rFonts w:ascii="Book Antiqua" w:hAnsi="Book Antiqua"/>
          <w:szCs w:val="24"/>
          <w:lang w:val="es-ES_tradnl"/>
        </w:rPr>
        <w:t xml:space="preserve"> de 2025</w:t>
      </w:r>
    </w:p>
    <w:p w14:paraId="442DE431" w14:textId="77777777" w:rsidR="006705DD" w:rsidRPr="00B95434" w:rsidRDefault="006705DD" w:rsidP="006705DD">
      <w:pPr>
        <w:jc w:val="center"/>
        <w:rPr>
          <w:rFonts w:ascii="Book Antiqua" w:hAnsi="Book Antiqua"/>
          <w:sz w:val="20"/>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31BD868A" w:rsidR="0087700A" w:rsidRDefault="00AC0B45" w:rsidP="00AC0B45">
      <w:pPr>
        <w:jc w:val="both"/>
        <w:rPr>
          <w:rFonts w:ascii="Book Antiqua" w:hAnsi="Book Antiqua" w:cs="Arial"/>
          <w:lang w:val="es-ES"/>
        </w:rPr>
      </w:pPr>
      <w:r w:rsidRPr="00AC0B45">
        <w:rPr>
          <w:rFonts w:ascii="Book Antiqua" w:hAnsi="Book Antiqua" w:cs="Arial"/>
          <w:lang w:val="es-ES"/>
        </w:rPr>
        <w:t xml:space="preserve">La </w:t>
      </w:r>
      <w:r w:rsidR="00DD1FCB" w:rsidRPr="00AC0B45">
        <w:rPr>
          <w:rFonts w:ascii="Book Antiqua" w:hAnsi="Book Antiqua" w:cs="Arial"/>
          <w:lang w:val="es-ES"/>
        </w:rPr>
        <w:t>Comisión</w:t>
      </w:r>
      <w:r w:rsidRPr="00AC0B45">
        <w:rPr>
          <w:rFonts w:ascii="Book Antiqua" w:hAnsi="Book Antiqua" w:cs="Arial"/>
          <w:lang w:val="es-ES"/>
        </w:rPr>
        <w:t xml:space="preserve"> de Asuntos Municipales</w:t>
      </w:r>
      <w:r w:rsidR="00FE1B47">
        <w:rPr>
          <w:rFonts w:ascii="Book Antiqua" w:hAnsi="Book Antiqua" w:cs="Arial"/>
          <w:lang w:val="es-ES"/>
        </w:rPr>
        <w:t xml:space="preserve"> </w:t>
      </w:r>
      <w:r w:rsidR="0087700A">
        <w:rPr>
          <w:rFonts w:ascii="Book Antiqua" w:hAnsi="Book Antiqua" w:cs="Arial"/>
          <w:lang w:val="es-ES"/>
        </w:rPr>
        <w:t>de la Cámara de Representantes</w:t>
      </w:r>
      <w:r w:rsidRPr="00AC0B45">
        <w:rPr>
          <w:rFonts w:ascii="Book Antiqua" w:hAnsi="Book Antiqua" w:cs="Arial"/>
          <w:lang w:val="es-ES"/>
        </w:rPr>
        <w:t>, previo estudio y consideración de</w:t>
      </w:r>
      <w:bookmarkStart w:id="1" w:name="_Hlk195008954"/>
      <w:r w:rsidR="005665D9">
        <w:rPr>
          <w:rFonts w:ascii="Book Antiqua" w:hAnsi="Book Antiqua" w:cs="Arial"/>
          <w:lang w:val="es-ES"/>
        </w:rPr>
        <w:t>l Proyecto</w:t>
      </w:r>
      <w:r w:rsidR="00DD1FCB">
        <w:rPr>
          <w:rFonts w:ascii="Book Antiqua" w:hAnsi="Book Antiqua" w:cs="Arial"/>
          <w:lang w:val="es-ES"/>
        </w:rPr>
        <w:t xml:space="preserve"> del Senado </w:t>
      </w:r>
      <w:r w:rsidR="000E5DC1">
        <w:rPr>
          <w:rFonts w:ascii="Book Antiqua" w:hAnsi="Book Antiqua" w:cs="Arial"/>
          <w:lang w:val="es-ES"/>
        </w:rPr>
        <w:t>18</w:t>
      </w:r>
      <w:r w:rsidR="0087700A">
        <w:rPr>
          <w:rFonts w:ascii="Book Antiqua" w:hAnsi="Book Antiqua" w:cs="Arial"/>
          <w:lang w:val="es-ES"/>
        </w:rPr>
        <w:t xml:space="preserve">, tiene el honor de recomendar a este Alto Cuerpo su aprobación, </w:t>
      </w:r>
      <w:bookmarkEnd w:id="1"/>
      <w:r w:rsidR="000E5DC1">
        <w:rPr>
          <w:rFonts w:ascii="Book Antiqua" w:hAnsi="Book Antiqua" w:cs="Arial"/>
          <w:lang w:val="es-ES"/>
        </w:rPr>
        <w:t xml:space="preserve">sin enmiendas. </w:t>
      </w:r>
    </w:p>
    <w:p w14:paraId="13AECCBE" w14:textId="77777777" w:rsidR="0087700A" w:rsidRDefault="0087700A" w:rsidP="00AC0B45">
      <w:pPr>
        <w:jc w:val="both"/>
        <w:rPr>
          <w:rFonts w:ascii="Book Antiqua" w:hAnsi="Book Antiqua" w:cs="Arial"/>
          <w:lang w:val="es-ES"/>
        </w:rPr>
      </w:pPr>
    </w:p>
    <w:p w14:paraId="2458AB3E" w14:textId="095A8EE6" w:rsidR="00AC0B45" w:rsidRDefault="00AC0B45" w:rsidP="0087700A">
      <w:pPr>
        <w:jc w:val="center"/>
        <w:rPr>
          <w:rFonts w:ascii="Book Antiqua" w:hAnsi="Book Antiqua"/>
          <w:b/>
          <w:i/>
          <w:smallCaps/>
          <w:szCs w:val="24"/>
          <w:lang w:val="es-ES_tradnl"/>
        </w:rPr>
      </w:pPr>
      <w:bookmarkStart w:id="2" w:name="_Hlk189811370"/>
      <w:r w:rsidRPr="00760D4D">
        <w:rPr>
          <w:rFonts w:ascii="Book Antiqua" w:hAnsi="Book Antiqua"/>
          <w:b/>
          <w:i/>
          <w:smallCaps/>
          <w:szCs w:val="24"/>
          <w:lang w:val="es-ES_tradnl"/>
        </w:rPr>
        <w:t>Alcance de la Medida</w:t>
      </w:r>
    </w:p>
    <w:p w14:paraId="567C9072" w14:textId="77777777" w:rsidR="005665D9" w:rsidRDefault="005665D9" w:rsidP="0087700A">
      <w:pPr>
        <w:jc w:val="center"/>
        <w:rPr>
          <w:rFonts w:ascii="Book Antiqua" w:hAnsi="Book Antiqua"/>
          <w:b/>
          <w:i/>
          <w:smallCaps/>
          <w:szCs w:val="24"/>
          <w:lang w:val="es-ES_tradnl"/>
        </w:rPr>
      </w:pPr>
    </w:p>
    <w:p w14:paraId="57CD254C" w14:textId="0C071EFB" w:rsidR="00253858" w:rsidRDefault="005665D9" w:rsidP="00253858">
      <w:pPr>
        <w:jc w:val="both"/>
        <w:rPr>
          <w:rFonts w:ascii="Book Antiqua" w:eastAsia="Book Antiqua" w:hAnsi="Book Antiqua" w:cs="Book Antiqua"/>
          <w:lang w:val="es-ES"/>
        </w:rPr>
      </w:pPr>
      <w:r>
        <w:rPr>
          <w:rFonts w:ascii="Book Antiqua" w:hAnsi="Book Antiqua"/>
          <w:lang w:val="es-ES"/>
        </w:rPr>
        <w:t xml:space="preserve">El P. del S. </w:t>
      </w:r>
      <w:r w:rsidR="000E5DC1">
        <w:rPr>
          <w:rFonts w:ascii="Book Antiqua" w:hAnsi="Book Antiqua"/>
          <w:lang w:val="es-ES"/>
        </w:rPr>
        <w:t>18</w:t>
      </w:r>
      <w:r>
        <w:rPr>
          <w:rFonts w:ascii="Book Antiqua" w:hAnsi="Book Antiqua"/>
          <w:lang w:val="es-ES"/>
        </w:rPr>
        <w:t>, tiene</w:t>
      </w:r>
      <w:r w:rsidR="00253858">
        <w:rPr>
          <w:rFonts w:ascii="Book Antiqua" w:hAnsi="Book Antiqua"/>
          <w:lang w:val="es-ES"/>
        </w:rPr>
        <w:t xml:space="preserve"> el propósito de </w:t>
      </w:r>
      <w:r w:rsidRPr="005665D9">
        <w:rPr>
          <w:rFonts w:ascii="Book Antiqua" w:eastAsia="Book Antiqua" w:hAnsi="Book Antiqua" w:cs="Book Antiqua"/>
          <w:lang w:val="es-ES"/>
        </w:rPr>
        <w:t xml:space="preserve"> </w:t>
      </w:r>
      <w:r w:rsidR="000E5DC1" w:rsidRPr="000E5DC1">
        <w:rPr>
          <w:rFonts w:ascii="Book Antiqua" w:eastAsia="Book Antiqua" w:hAnsi="Book Antiqua" w:cs="Book Antiqua"/>
          <w:lang w:val="es-ES"/>
        </w:rPr>
        <w:t xml:space="preserve">enmendar el Artículo 1.009 de la Ley 107-2020, según enmendada, conocida como “Código Municipal de Puerto Rico”, a los fines de aclarar que cuando la parte afectada por la notificación de boletos por infracciones administrativas, derivadas de violaciones a las ordenanzas municipales en virtud de las disposiciones de la Ley 22-2000, según enmendada, conocida como “Ley de Vehículos y Tránsito de Puerto Rico”, presente un recurso de revisión y vista administrativa, los términos para el pago, y los descuentos correspondientes, comenzarán a </w:t>
      </w:r>
      <w:proofErr w:type="spellStart"/>
      <w:r w:rsidR="000E5DC1" w:rsidRPr="000E5DC1">
        <w:rPr>
          <w:rFonts w:ascii="Book Antiqua" w:eastAsia="Book Antiqua" w:hAnsi="Book Antiqua" w:cs="Book Antiqua"/>
          <w:lang w:val="es-ES"/>
        </w:rPr>
        <w:t>decursar</w:t>
      </w:r>
      <w:proofErr w:type="spellEnd"/>
      <w:r w:rsidR="000E5DC1" w:rsidRPr="000E5DC1">
        <w:rPr>
          <w:rFonts w:ascii="Book Antiqua" w:eastAsia="Book Antiqua" w:hAnsi="Book Antiqua" w:cs="Book Antiqua"/>
          <w:lang w:val="es-ES"/>
        </w:rPr>
        <w:t xml:space="preserve"> a partir del momento en que la determinación del Oficial Examinador advenga final, firme e inapelable; y para otros fines relacionados.</w:t>
      </w:r>
    </w:p>
    <w:p w14:paraId="3BC2B85A" w14:textId="77777777" w:rsidR="0004456A" w:rsidRDefault="0004456A" w:rsidP="0004456A">
      <w:pPr>
        <w:widowControl w:val="0"/>
        <w:contextualSpacing/>
        <w:jc w:val="both"/>
        <w:rPr>
          <w:rFonts w:ascii="Book Antiqua" w:eastAsia="Book Antiqua" w:hAnsi="Book Antiqua" w:cs="Book Antiqua"/>
          <w:lang w:val="es-ES"/>
        </w:rPr>
      </w:pPr>
    </w:p>
    <w:p w14:paraId="55030B31" w14:textId="7A2F5997" w:rsidR="000E5DC1" w:rsidRDefault="00253858" w:rsidP="000E5DC1">
      <w:pPr>
        <w:contextualSpacing/>
        <w:jc w:val="both"/>
        <w:rPr>
          <w:rFonts w:ascii="Book Antiqua" w:hAnsi="Book Antiqua"/>
          <w:bCs/>
          <w:iCs/>
          <w:lang w:val="es-ES"/>
        </w:rPr>
      </w:pPr>
      <w:r w:rsidRPr="0004456A">
        <w:rPr>
          <w:rFonts w:ascii="Book Antiqua" w:eastAsia="Book Antiqua" w:hAnsi="Book Antiqua" w:cs="Book Antiqua"/>
          <w:lang w:val="es-PR"/>
        </w:rPr>
        <w:t>Según se desprende de la Exposición de Motivos de la medida,</w:t>
      </w:r>
      <w:bookmarkEnd w:id="2"/>
      <w:r w:rsidR="0004456A">
        <w:rPr>
          <w:rFonts w:ascii="Book Antiqua" w:eastAsia="Book Antiqua" w:hAnsi="Book Antiqua" w:cs="Book Antiqua"/>
          <w:lang w:val="es-PR"/>
        </w:rPr>
        <w:t xml:space="preserve"> </w:t>
      </w:r>
      <w:r w:rsidR="0087387B" w:rsidRPr="0087387B">
        <w:rPr>
          <w:rFonts w:ascii="Book Antiqua" w:hAnsi="Book Antiqua"/>
          <w:bCs/>
          <w:iCs/>
          <w:lang w:val="es-ES"/>
        </w:rPr>
        <w:t>e</w:t>
      </w:r>
      <w:r w:rsidR="000E5DC1" w:rsidRPr="0087387B">
        <w:rPr>
          <w:rFonts w:ascii="Book Antiqua" w:hAnsi="Book Antiqua"/>
          <w:bCs/>
          <w:iCs/>
          <w:lang w:val="es-ES"/>
        </w:rPr>
        <w:t>n</w:t>
      </w:r>
      <w:r w:rsidR="000E5DC1" w:rsidRPr="000E5DC1">
        <w:rPr>
          <w:rFonts w:ascii="Book Antiqua" w:hAnsi="Book Antiqua"/>
          <w:bCs/>
          <w:iCs/>
          <w:lang w:val="es-ES"/>
        </w:rPr>
        <w:t xml:space="preserve"> Puerto Rico las regulaciones relacionadas a la seguridad vial, vehículos y tránsito, en todas sus variantes se encuentran recogidas en la Ley 22-2000, según enmendada, conocida como “Ley de Vehículos y Tránsito de Puerto Rico”.  Esta legislación por ser de carácter especial goza de supremacía sobre otros estatutos estatales y municipales.</w:t>
      </w:r>
      <w:r w:rsidR="000A13AD">
        <w:rPr>
          <w:rFonts w:ascii="Book Antiqua" w:hAnsi="Book Antiqua"/>
          <w:bCs/>
          <w:iCs/>
          <w:lang w:val="es-ES"/>
        </w:rPr>
        <w:t xml:space="preserve"> </w:t>
      </w:r>
      <w:r w:rsidR="000E5DC1" w:rsidRPr="000E5DC1">
        <w:rPr>
          <w:rFonts w:ascii="Book Antiqua" w:hAnsi="Book Antiqua"/>
          <w:bCs/>
          <w:iCs/>
          <w:lang w:val="es-ES"/>
        </w:rPr>
        <w:t xml:space="preserve">Esta señala que, sus disposiciones no se entenderán ni interpretarán en el sentido de impedir que las autoridades municipales establezcan reglamentación respecto a las calles y vías públicas </w:t>
      </w:r>
      <w:r w:rsidR="000E5DC1" w:rsidRPr="000E5DC1">
        <w:rPr>
          <w:rFonts w:ascii="Book Antiqua" w:hAnsi="Book Antiqua"/>
          <w:bCs/>
          <w:iCs/>
          <w:lang w:val="es-ES"/>
        </w:rPr>
        <w:lastRenderedPageBreak/>
        <w:t xml:space="preserve">bajo su jurisdicción y en el ejercicio razonable de sus poderes.  De igual forma, la Ley 22, </w:t>
      </w:r>
      <w:r w:rsidR="000E5DC1" w:rsidRPr="000E5DC1">
        <w:rPr>
          <w:rFonts w:ascii="Book Antiqua" w:hAnsi="Book Antiqua"/>
          <w:bCs/>
          <w:i/>
          <w:lang w:val="es-ES"/>
        </w:rPr>
        <w:t>supra</w:t>
      </w:r>
      <w:r w:rsidR="000E5DC1" w:rsidRPr="000E5DC1">
        <w:rPr>
          <w:rFonts w:ascii="Book Antiqua" w:hAnsi="Book Antiqua"/>
          <w:bCs/>
          <w:iCs/>
          <w:lang w:val="es-ES"/>
        </w:rPr>
        <w:t xml:space="preserve">, en su inciso (b) del Artículo 20.04 dispone que: </w:t>
      </w:r>
    </w:p>
    <w:p w14:paraId="207C2598" w14:textId="77777777" w:rsidR="000E5DC1" w:rsidRPr="000E5DC1" w:rsidRDefault="000E5DC1" w:rsidP="000E5DC1">
      <w:pPr>
        <w:contextualSpacing/>
        <w:jc w:val="both"/>
        <w:rPr>
          <w:rFonts w:ascii="Book Antiqua" w:hAnsi="Book Antiqua"/>
          <w:bCs/>
          <w:iCs/>
          <w:lang w:val="es-ES"/>
        </w:rPr>
      </w:pPr>
    </w:p>
    <w:p w14:paraId="70D12A6B" w14:textId="77777777" w:rsidR="000E5DC1" w:rsidRPr="000E5DC1" w:rsidRDefault="000E5DC1" w:rsidP="000A13AD">
      <w:pPr>
        <w:ind w:left="720" w:right="720" w:firstLine="720"/>
        <w:contextualSpacing/>
        <w:jc w:val="both"/>
        <w:rPr>
          <w:rFonts w:ascii="Book Antiqua" w:hAnsi="Book Antiqua"/>
          <w:bCs/>
          <w:iCs/>
          <w:lang w:val="es-ES"/>
        </w:rPr>
      </w:pPr>
      <w:r w:rsidRPr="000E5DC1">
        <w:rPr>
          <w:rFonts w:ascii="Book Antiqua" w:hAnsi="Book Antiqua"/>
          <w:bCs/>
          <w:i/>
          <w:lang w:val="es-ES"/>
        </w:rPr>
        <w:t>“Toda ordenanza municipal vigente al tiempo de la aprobación de esta Ley que confligiere total o parcialmente con sus disposiciones y las de los reglamentos que fueran aprobados por el Secretario se considerará nula y sin efecto legal alguno en cuanto a las disposiciones en conflicto”</w:t>
      </w:r>
      <w:r w:rsidRPr="000E5DC1">
        <w:rPr>
          <w:rFonts w:ascii="Book Antiqua" w:hAnsi="Book Antiqua"/>
          <w:bCs/>
          <w:iCs/>
          <w:lang w:val="es-ES"/>
        </w:rPr>
        <w:t xml:space="preserve">. </w:t>
      </w:r>
    </w:p>
    <w:p w14:paraId="03324C53" w14:textId="77777777" w:rsidR="000E5DC1" w:rsidRDefault="000E5DC1" w:rsidP="000E5DC1">
      <w:pPr>
        <w:contextualSpacing/>
        <w:jc w:val="both"/>
        <w:rPr>
          <w:rFonts w:ascii="Book Antiqua" w:hAnsi="Book Antiqua"/>
          <w:bCs/>
          <w:iCs/>
          <w:lang w:val="es-ES"/>
        </w:rPr>
      </w:pPr>
    </w:p>
    <w:p w14:paraId="23553FFC" w14:textId="2975B88B" w:rsidR="000E5DC1" w:rsidRPr="000E5DC1" w:rsidRDefault="000E5DC1" w:rsidP="000E5DC1">
      <w:pPr>
        <w:contextualSpacing/>
        <w:jc w:val="both"/>
        <w:rPr>
          <w:rFonts w:ascii="Book Antiqua" w:hAnsi="Book Antiqua"/>
          <w:bCs/>
          <w:iCs/>
          <w:lang w:val="es-ES"/>
        </w:rPr>
      </w:pPr>
      <w:r>
        <w:rPr>
          <w:rFonts w:ascii="Book Antiqua" w:hAnsi="Book Antiqua"/>
          <w:bCs/>
          <w:iCs/>
          <w:lang w:val="es-ES"/>
        </w:rPr>
        <w:t>La medida</w:t>
      </w:r>
      <w:r w:rsidRPr="000E5DC1">
        <w:rPr>
          <w:rFonts w:ascii="Book Antiqua" w:hAnsi="Book Antiqua"/>
          <w:bCs/>
          <w:iCs/>
          <w:lang w:val="es-ES"/>
        </w:rPr>
        <w:t xml:space="preserve"> señala, que la Ley </w:t>
      </w:r>
      <w:r>
        <w:rPr>
          <w:rFonts w:ascii="Book Antiqua" w:hAnsi="Book Antiqua"/>
          <w:lang w:val="es-PR"/>
        </w:rPr>
        <w:t>107-2020</w:t>
      </w:r>
      <w:r w:rsidRPr="00264932">
        <w:rPr>
          <w:rFonts w:ascii="Book Antiqua" w:hAnsi="Book Antiqua"/>
          <w:lang w:val="es-PR"/>
        </w:rPr>
        <w:t>, según enmendada, conocida como “</w:t>
      </w:r>
      <w:r>
        <w:rPr>
          <w:rFonts w:ascii="Book Antiqua" w:hAnsi="Book Antiqua"/>
          <w:lang w:val="es-PR"/>
        </w:rPr>
        <w:t>Código Municipal de Puerto Rico</w:t>
      </w:r>
      <w:r w:rsidRPr="00264932">
        <w:rPr>
          <w:rFonts w:ascii="Book Antiqua" w:hAnsi="Book Antiqua"/>
          <w:lang w:val="es-PR"/>
        </w:rPr>
        <w:t>”</w:t>
      </w:r>
      <w:r>
        <w:rPr>
          <w:rFonts w:ascii="Book Antiqua" w:hAnsi="Book Antiqua"/>
          <w:lang w:val="es-PR"/>
        </w:rPr>
        <w:t>,</w:t>
      </w:r>
      <w:r w:rsidRPr="000E5DC1">
        <w:rPr>
          <w:rFonts w:ascii="Book Antiqua" w:hAnsi="Book Antiqua"/>
          <w:bCs/>
          <w:iCs/>
          <w:lang w:val="es-ES"/>
        </w:rPr>
        <w:t xml:space="preserve"> hace una excepción </w:t>
      </w:r>
      <w:r w:rsidRPr="000E5DC1">
        <w:rPr>
          <w:rFonts w:ascii="Book Antiqua" w:hAnsi="Book Antiqua"/>
          <w:lang w:val="es-ES"/>
        </w:rPr>
        <w:t>en cuanto a las ordenanzas municipales relacionadas a las violaciones al estacionamiento en áreas gobernadas por</w:t>
      </w:r>
      <w:r w:rsidRPr="000E5DC1">
        <w:rPr>
          <w:rFonts w:ascii="Book Antiqua" w:hAnsi="Book Antiqua"/>
          <w:bCs/>
          <w:iCs/>
          <w:lang w:val="es-ES"/>
        </w:rPr>
        <w:t xml:space="preserve"> </w:t>
      </w:r>
      <w:r w:rsidRPr="000E5DC1">
        <w:rPr>
          <w:rFonts w:ascii="Book Antiqua" w:hAnsi="Book Antiqua"/>
          <w:lang w:val="es-ES"/>
        </w:rPr>
        <w:t>metros de estacionamientos, donde establece que las mismas podrán ser sancionadas de conformidad con lo que disponga la ordenanza municipal.</w:t>
      </w:r>
      <w:r w:rsidRPr="000E5DC1">
        <w:rPr>
          <w:rFonts w:ascii="Book Antiqua" w:hAnsi="Book Antiqua"/>
          <w:bCs/>
          <w:iCs/>
          <w:lang w:val="es-ES"/>
        </w:rPr>
        <w:t xml:space="preserve">  </w:t>
      </w:r>
    </w:p>
    <w:p w14:paraId="733DFC24" w14:textId="77777777" w:rsidR="000E5DC1" w:rsidRDefault="000E5DC1" w:rsidP="000E5DC1">
      <w:pPr>
        <w:contextualSpacing/>
        <w:jc w:val="both"/>
        <w:rPr>
          <w:rFonts w:ascii="Book Antiqua" w:hAnsi="Book Antiqua"/>
          <w:bCs/>
          <w:iCs/>
          <w:lang w:val="es-ES"/>
        </w:rPr>
      </w:pPr>
    </w:p>
    <w:p w14:paraId="18847CCB" w14:textId="1F0739B8" w:rsidR="000E5DC1" w:rsidRDefault="000E5DC1" w:rsidP="000E5DC1">
      <w:pPr>
        <w:contextualSpacing/>
        <w:jc w:val="both"/>
        <w:rPr>
          <w:rFonts w:ascii="Book Antiqua" w:hAnsi="Book Antiqua"/>
          <w:bCs/>
          <w:iCs/>
          <w:lang w:val="es-ES"/>
        </w:rPr>
      </w:pPr>
      <w:r w:rsidRPr="000E5DC1">
        <w:rPr>
          <w:rFonts w:ascii="Book Antiqua" w:hAnsi="Book Antiqua"/>
          <w:bCs/>
          <w:iCs/>
          <w:lang w:val="es-ES"/>
        </w:rPr>
        <w:t xml:space="preserve">No obstante, a pesar de lo establecido en la Ley 22, </w:t>
      </w:r>
      <w:r w:rsidRPr="000E5DC1">
        <w:rPr>
          <w:rFonts w:ascii="Book Antiqua" w:hAnsi="Book Antiqua"/>
          <w:bCs/>
          <w:i/>
          <w:lang w:val="es-ES"/>
        </w:rPr>
        <w:t>supra</w:t>
      </w:r>
      <w:r w:rsidRPr="000E5DC1">
        <w:rPr>
          <w:rFonts w:ascii="Book Antiqua" w:hAnsi="Book Antiqua"/>
          <w:bCs/>
          <w:iCs/>
          <w:lang w:val="es-ES"/>
        </w:rPr>
        <w:t xml:space="preserve">, sobre la facultad y limitaciones para los municipios regular bajo los parámetros de dicha legislación, la Ley 107, </w:t>
      </w:r>
      <w:r w:rsidRPr="000E5DC1">
        <w:rPr>
          <w:rFonts w:ascii="Book Antiqua" w:hAnsi="Book Antiqua"/>
          <w:bCs/>
          <w:i/>
          <w:lang w:val="es-ES"/>
        </w:rPr>
        <w:t>supra</w:t>
      </w:r>
      <w:r w:rsidRPr="000E5DC1">
        <w:rPr>
          <w:rFonts w:ascii="Book Antiqua" w:hAnsi="Book Antiqua"/>
          <w:bCs/>
          <w:iCs/>
          <w:lang w:val="es-ES"/>
        </w:rPr>
        <w:t xml:space="preserve">, nada dispone con relación a los recursos de revisión judicial por la imposición de multas, los términos para el pago establecido, los descuentos correspondientes y el término que tienen los municipios para fijar vistas administrativas para atender dichos asuntos.  Sobre este particular, la Ley 22, </w:t>
      </w:r>
      <w:r w:rsidRPr="000E5DC1">
        <w:rPr>
          <w:rFonts w:ascii="Book Antiqua" w:hAnsi="Book Antiqua"/>
          <w:bCs/>
          <w:i/>
          <w:lang w:val="es-ES"/>
        </w:rPr>
        <w:t>supra</w:t>
      </w:r>
      <w:r w:rsidRPr="000E5DC1">
        <w:rPr>
          <w:rFonts w:ascii="Book Antiqua" w:hAnsi="Book Antiqua"/>
          <w:bCs/>
          <w:iCs/>
          <w:lang w:val="es-ES"/>
        </w:rPr>
        <w:t xml:space="preserve">, expresa en el inciso (h) del Artículo 23.05 que: </w:t>
      </w:r>
    </w:p>
    <w:p w14:paraId="322D9CE9" w14:textId="77777777" w:rsidR="000E5DC1" w:rsidRPr="000E5DC1" w:rsidRDefault="000E5DC1" w:rsidP="000E5DC1">
      <w:pPr>
        <w:contextualSpacing/>
        <w:jc w:val="both"/>
        <w:rPr>
          <w:rFonts w:ascii="Book Antiqua" w:hAnsi="Book Antiqua"/>
          <w:bCs/>
          <w:iCs/>
          <w:lang w:val="es-ES"/>
        </w:rPr>
      </w:pPr>
    </w:p>
    <w:p w14:paraId="2DB42DD9" w14:textId="77777777" w:rsidR="000E5DC1" w:rsidRPr="000E5DC1" w:rsidRDefault="000E5DC1" w:rsidP="000E5DC1">
      <w:pPr>
        <w:ind w:left="720" w:right="720" w:firstLine="360"/>
        <w:contextualSpacing/>
        <w:jc w:val="both"/>
        <w:rPr>
          <w:rFonts w:ascii="Book Antiqua" w:hAnsi="Book Antiqua"/>
          <w:bCs/>
          <w:i/>
          <w:lang w:val="es-ES"/>
        </w:rPr>
      </w:pPr>
      <w:r w:rsidRPr="000E5DC1">
        <w:rPr>
          <w:rFonts w:ascii="Book Antiqua" w:hAnsi="Book Antiqua"/>
          <w:bCs/>
          <w:i/>
          <w:lang w:val="es-ES"/>
        </w:rPr>
        <w:t xml:space="preserve">“… Cuando alguna de las personas indicadas en el inciso (l) de este Artículo, ejerza su derecho a solicitar un recurso de revisión judicial por la imposición de multa, los términos aquí establecidos para el pago y los descuentos correspondientes comenzarán a </w:t>
      </w:r>
      <w:proofErr w:type="spellStart"/>
      <w:r w:rsidRPr="000E5DC1">
        <w:rPr>
          <w:rFonts w:ascii="Book Antiqua" w:hAnsi="Book Antiqua"/>
          <w:bCs/>
          <w:i/>
          <w:lang w:val="es-ES"/>
        </w:rPr>
        <w:t>decursar</w:t>
      </w:r>
      <w:proofErr w:type="spellEnd"/>
      <w:r w:rsidRPr="000E5DC1">
        <w:rPr>
          <w:rFonts w:ascii="Book Antiqua" w:hAnsi="Book Antiqua"/>
          <w:bCs/>
          <w:i/>
          <w:lang w:val="es-ES"/>
        </w:rPr>
        <w:t xml:space="preserve"> a partir del momento en que la determinación del Tribunal advenga final, firme e inapelable …”</w:t>
      </w:r>
    </w:p>
    <w:p w14:paraId="06231287" w14:textId="77777777" w:rsidR="000E5DC1" w:rsidRDefault="000E5DC1" w:rsidP="000E5DC1">
      <w:pPr>
        <w:contextualSpacing/>
        <w:jc w:val="both"/>
        <w:rPr>
          <w:rFonts w:ascii="Book Antiqua" w:hAnsi="Book Antiqua" w:cs="Arial"/>
          <w:lang w:val="es-PR"/>
        </w:rPr>
      </w:pPr>
    </w:p>
    <w:p w14:paraId="744F96D9" w14:textId="1AE96060" w:rsidR="000E5DC1" w:rsidRDefault="000E5DC1" w:rsidP="000E5DC1">
      <w:pPr>
        <w:contextualSpacing/>
        <w:jc w:val="both"/>
        <w:rPr>
          <w:rFonts w:ascii="Book Antiqua" w:hAnsi="Book Antiqua" w:cs="Arial"/>
          <w:lang w:val="es-PR"/>
        </w:rPr>
      </w:pPr>
      <w:r>
        <w:rPr>
          <w:rFonts w:ascii="Book Antiqua" w:hAnsi="Book Antiqua" w:cs="Arial"/>
          <w:lang w:val="es-PR"/>
        </w:rPr>
        <w:t xml:space="preserve">Así también, el inciso (I) del Artículo 23.05 de la Ley 22, </w:t>
      </w:r>
      <w:r w:rsidRPr="00AC044F">
        <w:rPr>
          <w:rFonts w:ascii="Book Antiqua" w:hAnsi="Book Antiqua" w:cs="Arial"/>
          <w:i/>
          <w:iCs/>
          <w:lang w:val="es-PR"/>
        </w:rPr>
        <w:t>supra</w:t>
      </w:r>
      <w:r>
        <w:rPr>
          <w:rFonts w:ascii="Book Antiqua" w:hAnsi="Book Antiqua" w:cs="Arial"/>
          <w:lang w:val="es-PR"/>
        </w:rPr>
        <w:t>, también establece:</w:t>
      </w:r>
    </w:p>
    <w:p w14:paraId="2AFB2332" w14:textId="77777777" w:rsidR="000A13AD" w:rsidRDefault="000A13AD" w:rsidP="000E5DC1">
      <w:pPr>
        <w:contextualSpacing/>
        <w:jc w:val="both"/>
        <w:rPr>
          <w:rFonts w:ascii="Book Antiqua" w:hAnsi="Book Antiqua" w:cs="Arial"/>
          <w:lang w:val="es-PR"/>
        </w:rPr>
      </w:pPr>
    </w:p>
    <w:p w14:paraId="2C5B0BCD" w14:textId="77777777" w:rsidR="000E5DC1" w:rsidRPr="00BA4915" w:rsidRDefault="000E5DC1" w:rsidP="000E5DC1">
      <w:pPr>
        <w:tabs>
          <w:tab w:val="left" w:pos="8910"/>
        </w:tabs>
        <w:ind w:left="720" w:right="720" w:firstLine="360"/>
        <w:contextualSpacing/>
        <w:jc w:val="both"/>
        <w:rPr>
          <w:rFonts w:ascii="Book Antiqua" w:hAnsi="Book Antiqua" w:cs="Arial"/>
          <w:i/>
          <w:iCs/>
          <w:lang w:val="es-PR"/>
        </w:rPr>
      </w:pPr>
      <w:r w:rsidRPr="00AC044F">
        <w:rPr>
          <w:rFonts w:ascii="Book Antiqua" w:hAnsi="Book Antiqua" w:cs="Arial"/>
          <w:i/>
          <w:iCs/>
          <w:lang w:val="es-PR"/>
        </w:rPr>
        <w:t>“…</w:t>
      </w:r>
      <w:r w:rsidRPr="000E5DC1">
        <w:rPr>
          <w:rFonts w:ascii="Book Antiqua" w:hAnsi="Book Antiqua" w:cs="Arial"/>
          <w:i/>
          <w:iCs/>
          <w:lang w:val="es-ES"/>
        </w:rPr>
        <w:t>Recibidos los documentos, el Tribunal señalará la vista del recurso para tener lugar en un término no mayor de sesenta (60) días a contar de la fecha del recibo de dichos documentos. El Tribunal revisará en sus méritos las cuestiones de hecho y de derecho que dieron lugar a la imposición y notificación de la falta administrativa de tránsito…”</w:t>
      </w:r>
    </w:p>
    <w:p w14:paraId="6D3EF720" w14:textId="77777777" w:rsidR="000E5DC1" w:rsidRDefault="000E5DC1" w:rsidP="000E5DC1">
      <w:pPr>
        <w:contextualSpacing/>
        <w:jc w:val="both"/>
        <w:rPr>
          <w:rFonts w:ascii="Book Antiqua" w:hAnsi="Book Antiqua" w:cs="Arial"/>
          <w:lang w:val="es-PR"/>
        </w:rPr>
      </w:pPr>
    </w:p>
    <w:p w14:paraId="2445B3B2" w14:textId="3AF3D1A2" w:rsidR="00FE1B47" w:rsidRPr="005300B1" w:rsidRDefault="000E5DC1" w:rsidP="00FE1B47">
      <w:pPr>
        <w:contextualSpacing/>
        <w:jc w:val="both"/>
        <w:rPr>
          <w:rFonts w:ascii="Book Antiqua" w:hAnsi="Book Antiqua" w:cs="Arial"/>
          <w:lang w:val="es-PR"/>
        </w:rPr>
      </w:pPr>
      <w:r w:rsidRPr="00264932">
        <w:rPr>
          <w:rFonts w:ascii="Book Antiqua" w:hAnsi="Book Antiqua" w:cs="Arial"/>
          <w:lang w:val="es-PR"/>
        </w:rPr>
        <w:t>Es por lo antes expuesto, que</w:t>
      </w:r>
      <w:r>
        <w:rPr>
          <w:rFonts w:ascii="Book Antiqua" w:hAnsi="Book Antiqua" w:cs="Arial"/>
          <w:lang w:val="es-PR"/>
        </w:rPr>
        <w:t xml:space="preserve"> la medida estima pertinente enmendar la Ley 107, </w:t>
      </w:r>
      <w:r w:rsidRPr="00AC044F">
        <w:rPr>
          <w:rFonts w:ascii="Book Antiqua" w:hAnsi="Book Antiqua" w:cs="Arial"/>
          <w:i/>
          <w:iCs/>
          <w:lang w:val="es-PR"/>
        </w:rPr>
        <w:t>supra</w:t>
      </w:r>
      <w:r>
        <w:rPr>
          <w:rFonts w:ascii="Book Antiqua" w:hAnsi="Book Antiqua" w:cs="Arial"/>
          <w:lang w:val="es-PR"/>
        </w:rPr>
        <w:t xml:space="preserve">, a los fines de armonizar y aclarar que, en el caso de las vistas administrativas municipales sobre recursos de revisión </w:t>
      </w:r>
      <w:r>
        <w:rPr>
          <w:rFonts w:ascii="Book Antiqua" w:hAnsi="Book Antiqua"/>
          <w:lang w:val="es-PR"/>
        </w:rPr>
        <w:t xml:space="preserve">por violaciones a ordenanzas municipales, las mismas deberán regirse por los mismos parámetros establecidos en </w:t>
      </w:r>
      <w:r w:rsidRPr="00DD3C26">
        <w:rPr>
          <w:rFonts w:ascii="Book Antiqua" w:hAnsi="Book Antiqua"/>
          <w:lang w:val="es-PR"/>
        </w:rPr>
        <w:t xml:space="preserve">la </w:t>
      </w:r>
      <w:r w:rsidRPr="00DD3C26">
        <w:rPr>
          <w:rFonts w:ascii="Book Antiqua" w:hAnsi="Book Antiqua"/>
          <w:i/>
          <w:iCs/>
          <w:lang w:val="es-PR"/>
        </w:rPr>
        <w:t>“</w:t>
      </w:r>
      <w:r w:rsidRPr="00DD3C26">
        <w:rPr>
          <w:rFonts w:ascii="Book Antiqua" w:hAnsi="Book Antiqua"/>
          <w:lang w:val="es-PR"/>
        </w:rPr>
        <w:t>Ley</w:t>
      </w:r>
      <w:r>
        <w:rPr>
          <w:rFonts w:ascii="Book Antiqua" w:hAnsi="Book Antiqua"/>
          <w:lang w:val="es-PR"/>
        </w:rPr>
        <w:t xml:space="preserve"> de Vehículos y </w:t>
      </w:r>
      <w:r w:rsidRPr="00DD3C26">
        <w:rPr>
          <w:rFonts w:ascii="Book Antiqua" w:hAnsi="Book Antiqua"/>
          <w:lang w:val="es-PR"/>
        </w:rPr>
        <w:t>Tránsito de Puerto Rico”. De esta forma, se garantiza que, en casos de multas efectuadas por</w:t>
      </w:r>
      <w:r>
        <w:rPr>
          <w:rFonts w:ascii="Book Antiqua" w:hAnsi="Book Antiqua"/>
          <w:lang w:val="es-PR"/>
        </w:rPr>
        <w:t xml:space="preserve"> las autoridades municipales los ciudadanos no serán penalizados por ejercer su derecho a solicitar un recurso de revisión, a la vez que se les garantiza que el mismo se atenderá en un período de tiempo razonable.    </w:t>
      </w:r>
    </w:p>
    <w:p w14:paraId="235BC819" w14:textId="31123427" w:rsidR="00DD1DC0" w:rsidRDefault="000E66EE" w:rsidP="00DD1DC0">
      <w:pPr>
        <w:spacing w:before="100" w:beforeAutospacing="1" w:after="100" w:afterAutospacing="1"/>
        <w:contextualSpacing/>
        <w:jc w:val="center"/>
        <w:rPr>
          <w:rFonts w:ascii="Book Antiqua" w:hAnsi="Book Antiqua"/>
          <w:b/>
          <w:i/>
          <w:smallCaps/>
          <w:szCs w:val="24"/>
          <w:lang w:val="es-ES_tradnl"/>
        </w:rPr>
      </w:pPr>
      <w:bookmarkStart w:id="3" w:name="_Hlk193349736"/>
      <w:r>
        <w:rPr>
          <w:rFonts w:ascii="Book Antiqua" w:hAnsi="Book Antiqua"/>
          <w:b/>
          <w:i/>
          <w:smallCaps/>
          <w:szCs w:val="24"/>
          <w:lang w:val="es-ES_tradnl"/>
        </w:rPr>
        <w:lastRenderedPageBreak/>
        <w:t xml:space="preserve"> </w:t>
      </w:r>
      <w:r w:rsidR="000A13AD">
        <w:rPr>
          <w:rFonts w:ascii="Book Antiqua" w:hAnsi="Book Antiqua"/>
          <w:b/>
          <w:i/>
          <w:smallCaps/>
          <w:szCs w:val="24"/>
          <w:lang w:val="es-ES_tradnl"/>
        </w:rPr>
        <w:t>COMPARECENCIAS Y</w:t>
      </w:r>
      <w:r>
        <w:rPr>
          <w:rFonts w:ascii="Book Antiqua" w:hAnsi="Book Antiqua"/>
          <w:b/>
          <w:i/>
          <w:smallCaps/>
          <w:szCs w:val="24"/>
          <w:lang w:val="es-ES_tradnl"/>
        </w:rPr>
        <w:t xml:space="preserve"> MEMORIALES</w:t>
      </w:r>
      <w:bookmarkEnd w:id="3"/>
    </w:p>
    <w:p w14:paraId="3B973BD3" w14:textId="77777777" w:rsidR="005665D9" w:rsidRDefault="005665D9" w:rsidP="00DD1DC0">
      <w:pPr>
        <w:spacing w:before="100" w:beforeAutospacing="1" w:after="100" w:afterAutospacing="1"/>
        <w:contextualSpacing/>
        <w:jc w:val="center"/>
        <w:rPr>
          <w:rFonts w:ascii="Book Antiqua" w:hAnsi="Book Antiqua"/>
          <w:b/>
          <w:i/>
          <w:smallCaps/>
          <w:szCs w:val="24"/>
          <w:lang w:val="es-ES_tradnl"/>
        </w:rPr>
      </w:pPr>
    </w:p>
    <w:p w14:paraId="6DE6FD70" w14:textId="0A194299" w:rsidR="00253858" w:rsidRPr="005665D9" w:rsidRDefault="005665D9" w:rsidP="005665D9">
      <w:pPr>
        <w:spacing w:before="100" w:beforeAutospacing="1" w:after="100" w:afterAutospacing="1"/>
        <w:jc w:val="both"/>
        <w:rPr>
          <w:rFonts w:ascii="Book Antiqua" w:hAnsi="Book Antiqua"/>
          <w:lang w:val="es-ES"/>
        </w:rPr>
      </w:pPr>
      <w:r w:rsidRPr="005665D9">
        <w:rPr>
          <w:rFonts w:ascii="Book Antiqua" w:hAnsi="Book Antiqua"/>
          <w:bCs/>
          <w:iCs/>
          <w:szCs w:val="24"/>
          <w:lang w:val="es-ES"/>
        </w:rPr>
        <w:t xml:space="preserve">Durante la discusión y </w:t>
      </w:r>
      <w:r w:rsidRPr="0087387B">
        <w:rPr>
          <w:rFonts w:ascii="Book Antiqua" w:hAnsi="Book Antiqua"/>
          <w:bCs/>
          <w:iCs/>
          <w:szCs w:val="24"/>
          <w:lang w:val="es-ES"/>
        </w:rPr>
        <w:t>an</w:t>
      </w:r>
      <w:r w:rsidR="0087387B" w:rsidRPr="0087387B">
        <w:rPr>
          <w:rFonts w:ascii="Book Antiqua" w:hAnsi="Book Antiqua"/>
          <w:bCs/>
          <w:iCs/>
          <w:szCs w:val="24"/>
          <w:lang w:val="es-ES"/>
        </w:rPr>
        <w:t>á</w:t>
      </w:r>
      <w:r w:rsidRPr="0087387B">
        <w:rPr>
          <w:rFonts w:ascii="Book Antiqua" w:hAnsi="Book Antiqua"/>
          <w:bCs/>
          <w:iCs/>
          <w:szCs w:val="24"/>
          <w:lang w:val="es-ES"/>
        </w:rPr>
        <w:t>lisis</w:t>
      </w:r>
      <w:r w:rsidRPr="005665D9">
        <w:rPr>
          <w:rFonts w:ascii="Book Antiqua" w:hAnsi="Book Antiqua"/>
          <w:bCs/>
          <w:iCs/>
          <w:szCs w:val="24"/>
          <w:lang w:val="es-ES"/>
        </w:rPr>
        <w:t xml:space="preserve"> legislativo de la presente se </w:t>
      </w:r>
      <w:r w:rsidR="005B5660">
        <w:rPr>
          <w:rFonts w:ascii="Book Antiqua" w:hAnsi="Book Antiqua"/>
          <w:bCs/>
          <w:iCs/>
          <w:szCs w:val="24"/>
          <w:lang w:val="es-ES"/>
        </w:rPr>
        <w:t>utilizó</w:t>
      </w:r>
      <w:r>
        <w:rPr>
          <w:rFonts w:ascii="Book Antiqua" w:hAnsi="Book Antiqua"/>
          <w:bCs/>
          <w:iCs/>
          <w:szCs w:val="24"/>
          <w:lang w:val="es-ES"/>
        </w:rPr>
        <w:t xml:space="preserve"> la posición mediante memorial de las siguientes agencias: </w:t>
      </w:r>
    </w:p>
    <w:p w14:paraId="0D8437E8" w14:textId="6E9CE746" w:rsidR="005300B1" w:rsidRPr="005300B1" w:rsidRDefault="005665D9" w:rsidP="005300B1">
      <w:pPr>
        <w:pStyle w:val="ListParagraph"/>
        <w:numPr>
          <w:ilvl w:val="0"/>
          <w:numId w:val="19"/>
        </w:numPr>
        <w:spacing w:before="100" w:beforeAutospacing="1" w:after="100" w:afterAutospacing="1"/>
        <w:rPr>
          <w:rFonts w:ascii="Book Antiqua" w:hAnsi="Book Antiqua"/>
        </w:rPr>
      </w:pPr>
      <w:r>
        <w:rPr>
          <w:rFonts w:ascii="Book Antiqua" w:hAnsi="Book Antiqua"/>
        </w:rPr>
        <w:t>Asociación de Alcalde</w:t>
      </w:r>
      <w:r w:rsidR="005300B1">
        <w:rPr>
          <w:rFonts w:ascii="Book Antiqua" w:hAnsi="Book Antiqua"/>
        </w:rPr>
        <w:t>s</w:t>
      </w:r>
      <w:r w:rsidR="002971A4">
        <w:rPr>
          <w:rFonts w:ascii="Book Antiqua" w:hAnsi="Book Antiqua"/>
        </w:rPr>
        <w:t xml:space="preserve"> (AAPR)</w:t>
      </w:r>
    </w:p>
    <w:p w14:paraId="062AFB79" w14:textId="5DC4EA86" w:rsidR="005665D9" w:rsidRDefault="0004456A" w:rsidP="00253858">
      <w:pPr>
        <w:pStyle w:val="ListParagraph"/>
        <w:numPr>
          <w:ilvl w:val="0"/>
          <w:numId w:val="19"/>
        </w:numPr>
        <w:spacing w:before="100" w:beforeAutospacing="1" w:after="100" w:afterAutospacing="1"/>
        <w:rPr>
          <w:rFonts w:ascii="Book Antiqua" w:hAnsi="Book Antiqua"/>
        </w:rPr>
      </w:pPr>
      <w:bookmarkStart w:id="4" w:name="_Hlk199755714"/>
      <w:r>
        <w:rPr>
          <w:rFonts w:ascii="Book Antiqua" w:hAnsi="Book Antiqua"/>
        </w:rPr>
        <w:t xml:space="preserve">Departamento de </w:t>
      </w:r>
      <w:r w:rsidR="005300B1">
        <w:rPr>
          <w:rFonts w:ascii="Book Antiqua" w:hAnsi="Book Antiqua"/>
        </w:rPr>
        <w:t>Justicia</w:t>
      </w:r>
      <w:r w:rsidR="002971A4">
        <w:rPr>
          <w:rFonts w:ascii="Book Antiqua" w:hAnsi="Book Antiqua"/>
        </w:rPr>
        <w:t xml:space="preserve"> (DJ)</w:t>
      </w:r>
    </w:p>
    <w:bookmarkEnd w:id="4"/>
    <w:p w14:paraId="13EB8864" w14:textId="14162D5F" w:rsidR="005300B1" w:rsidRDefault="005300B1" w:rsidP="00253858">
      <w:pPr>
        <w:pStyle w:val="ListParagraph"/>
        <w:numPr>
          <w:ilvl w:val="0"/>
          <w:numId w:val="19"/>
        </w:numPr>
        <w:spacing w:before="100" w:beforeAutospacing="1" w:after="100" w:afterAutospacing="1"/>
        <w:rPr>
          <w:rFonts w:ascii="Book Antiqua" w:hAnsi="Book Antiqua"/>
        </w:rPr>
      </w:pPr>
      <w:r>
        <w:rPr>
          <w:rFonts w:ascii="Book Antiqua" w:hAnsi="Book Antiqua"/>
        </w:rPr>
        <w:t xml:space="preserve">Departamento de Transportación y Obras </w:t>
      </w:r>
      <w:r w:rsidRPr="0087387B">
        <w:rPr>
          <w:rFonts w:ascii="Book Antiqua" w:hAnsi="Book Antiqua"/>
        </w:rPr>
        <w:t>P</w:t>
      </w:r>
      <w:r w:rsidR="0087387B" w:rsidRPr="0087387B">
        <w:rPr>
          <w:rFonts w:ascii="Book Antiqua" w:hAnsi="Book Antiqua"/>
        </w:rPr>
        <w:t>ú</w:t>
      </w:r>
      <w:r w:rsidRPr="0087387B">
        <w:rPr>
          <w:rFonts w:ascii="Book Antiqua" w:hAnsi="Book Antiqua"/>
        </w:rPr>
        <w:t>blicas</w:t>
      </w:r>
      <w:r w:rsidR="002971A4">
        <w:rPr>
          <w:rFonts w:ascii="Book Antiqua" w:hAnsi="Book Antiqua"/>
        </w:rPr>
        <w:t xml:space="preserve"> (DTOP) </w:t>
      </w:r>
    </w:p>
    <w:p w14:paraId="648D7A21" w14:textId="0B0684BF" w:rsidR="005300B1" w:rsidRPr="00F719B8" w:rsidRDefault="005300B1" w:rsidP="005300B1">
      <w:pPr>
        <w:pStyle w:val="ListParagraph"/>
        <w:numPr>
          <w:ilvl w:val="0"/>
          <w:numId w:val="19"/>
        </w:numPr>
        <w:spacing w:before="100" w:beforeAutospacing="1" w:after="100" w:afterAutospacing="1"/>
        <w:rPr>
          <w:rFonts w:ascii="Book Antiqua" w:hAnsi="Book Antiqua"/>
        </w:rPr>
      </w:pPr>
      <w:r>
        <w:rPr>
          <w:rFonts w:ascii="Book Antiqua" w:hAnsi="Book Antiqua"/>
        </w:rPr>
        <w:t xml:space="preserve">Oficina del Procurador del Ciudadano </w:t>
      </w:r>
      <w:r w:rsidR="002971A4">
        <w:rPr>
          <w:rFonts w:ascii="Book Antiqua" w:hAnsi="Book Antiqua"/>
        </w:rPr>
        <w:t xml:space="preserve">(OMBUDSMAN) </w:t>
      </w:r>
    </w:p>
    <w:p w14:paraId="5E18CFDB" w14:textId="2B898922" w:rsidR="00F719B8" w:rsidRDefault="00F719B8" w:rsidP="002971A4">
      <w:pPr>
        <w:spacing w:after="240" w:line="278" w:lineRule="auto"/>
        <w:jc w:val="both"/>
        <w:rPr>
          <w:rFonts w:ascii="Book Antiqua" w:hAnsi="Book Antiqua"/>
          <w:lang w:val="es-ES"/>
        </w:rPr>
      </w:pPr>
      <w:r w:rsidRPr="00FD217D">
        <w:rPr>
          <w:rFonts w:ascii="Book Antiqua" w:hAnsi="Book Antiqua"/>
          <w:lang w:val="es-ES"/>
        </w:rPr>
        <w:t xml:space="preserve">La </w:t>
      </w:r>
      <w:r w:rsidRPr="00FD217D">
        <w:rPr>
          <w:rFonts w:ascii="Book Antiqua" w:hAnsi="Book Antiqua"/>
          <w:b/>
          <w:bCs/>
          <w:i/>
          <w:iCs/>
          <w:lang w:val="es-ES"/>
        </w:rPr>
        <w:t xml:space="preserve">Asociación de </w:t>
      </w:r>
      <w:proofErr w:type="gramStart"/>
      <w:r w:rsidRPr="00FD217D">
        <w:rPr>
          <w:rFonts w:ascii="Book Antiqua" w:hAnsi="Book Antiqua"/>
          <w:b/>
          <w:bCs/>
          <w:i/>
          <w:iCs/>
          <w:lang w:val="es-ES"/>
        </w:rPr>
        <w:t>Alcaldes</w:t>
      </w:r>
      <w:proofErr w:type="gramEnd"/>
      <w:r w:rsidRPr="00FD217D">
        <w:rPr>
          <w:rFonts w:ascii="Book Antiqua" w:hAnsi="Book Antiqua"/>
          <w:b/>
          <w:bCs/>
          <w:i/>
          <w:iCs/>
          <w:lang w:val="es-ES"/>
        </w:rPr>
        <w:t xml:space="preserve"> de Puerto Rico</w:t>
      </w:r>
      <w:r w:rsidRPr="00FD217D">
        <w:rPr>
          <w:rFonts w:ascii="Book Antiqua" w:hAnsi="Book Antiqua"/>
          <w:lang w:val="es-ES"/>
        </w:rPr>
        <w:t xml:space="preserve"> </w:t>
      </w:r>
      <w:r w:rsidRPr="00CD6F6C">
        <w:rPr>
          <w:rFonts w:ascii="Book Antiqua" w:hAnsi="Book Antiqua"/>
          <w:b/>
          <w:bCs/>
          <w:i/>
          <w:iCs/>
          <w:lang w:val="es-ES"/>
        </w:rPr>
        <w:t>(AAPR)</w:t>
      </w:r>
      <w:r>
        <w:rPr>
          <w:rFonts w:ascii="Book Antiqua" w:hAnsi="Book Antiqua"/>
          <w:lang w:val="es-ES"/>
        </w:rPr>
        <w:t xml:space="preserve"> compareció ante esta Comisión, </w:t>
      </w:r>
      <w:bookmarkStart w:id="5" w:name="_Hlk199244787"/>
      <w:r>
        <w:rPr>
          <w:rFonts w:ascii="Book Antiqua" w:hAnsi="Book Antiqua"/>
          <w:lang w:val="es-ES"/>
        </w:rPr>
        <w:t xml:space="preserve">mediante </w:t>
      </w:r>
      <w:r w:rsidR="0087387B">
        <w:rPr>
          <w:rFonts w:ascii="Book Antiqua" w:hAnsi="Book Antiqua"/>
          <w:lang w:val="es-ES"/>
        </w:rPr>
        <w:t>m</w:t>
      </w:r>
      <w:r w:rsidRPr="0087387B">
        <w:rPr>
          <w:rFonts w:ascii="Book Antiqua" w:hAnsi="Book Antiqua"/>
          <w:lang w:val="es-ES"/>
        </w:rPr>
        <w:t>emorial</w:t>
      </w:r>
      <w:r w:rsidR="0087387B">
        <w:rPr>
          <w:rFonts w:ascii="Book Antiqua" w:hAnsi="Book Antiqua"/>
          <w:lang w:val="es-ES"/>
        </w:rPr>
        <w:t xml:space="preserve">, </w:t>
      </w:r>
      <w:r>
        <w:rPr>
          <w:rFonts w:ascii="Book Antiqua" w:hAnsi="Book Antiqua"/>
          <w:lang w:val="es-ES"/>
        </w:rPr>
        <w:t xml:space="preserve">el 1 de abril de 2025, suscrito por su </w:t>
      </w:r>
      <w:r w:rsidR="0087387B" w:rsidRPr="0087387B">
        <w:rPr>
          <w:rFonts w:ascii="Book Antiqua" w:hAnsi="Book Antiqua"/>
          <w:lang w:val="es-ES"/>
        </w:rPr>
        <w:t>directora ejecutiva</w:t>
      </w:r>
      <w:r>
        <w:rPr>
          <w:rFonts w:ascii="Book Antiqua" w:hAnsi="Book Antiqua"/>
          <w:lang w:val="es-ES"/>
        </w:rPr>
        <w:t>, Verónica Rodríguez Irizarry,</w:t>
      </w:r>
      <w:bookmarkEnd w:id="5"/>
      <w:r>
        <w:rPr>
          <w:rFonts w:ascii="Book Antiqua" w:hAnsi="Book Antiqua"/>
          <w:lang w:val="es-ES"/>
        </w:rPr>
        <w:t xml:space="preserve"> </w:t>
      </w:r>
      <w:r w:rsidRPr="0087387B">
        <w:rPr>
          <w:rFonts w:ascii="Book Antiqua" w:hAnsi="Book Antiqua"/>
          <w:lang w:val="es-ES"/>
        </w:rPr>
        <w:t>hac</w:t>
      </w:r>
      <w:r w:rsidR="0087387B">
        <w:rPr>
          <w:rFonts w:ascii="Book Antiqua" w:hAnsi="Book Antiqua"/>
          <w:lang w:val="es-ES"/>
        </w:rPr>
        <w:t>iendo</w:t>
      </w:r>
      <w:r>
        <w:rPr>
          <w:rFonts w:ascii="Book Antiqua" w:hAnsi="Book Antiqua"/>
          <w:lang w:val="es-ES"/>
        </w:rPr>
        <w:t xml:space="preserve"> un resumen de la medida, y menciona</w:t>
      </w:r>
      <w:r w:rsidR="0087387B">
        <w:rPr>
          <w:rFonts w:ascii="Book Antiqua" w:hAnsi="Book Antiqua"/>
          <w:lang w:val="es-ES"/>
        </w:rPr>
        <w:t>ndo</w:t>
      </w:r>
      <w:r>
        <w:rPr>
          <w:rFonts w:ascii="Book Antiqua" w:hAnsi="Book Antiqua"/>
          <w:lang w:val="es-ES"/>
        </w:rPr>
        <w:t xml:space="preserve"> que no tienen reparo con la enmienda propuesta. </w:t>
      </w:r>
    </w:p>
    <w:p w14:paraId="2FA09784" w14:textId="46B7E734" w:rsidR="00F719B8" w:rsidRPr="00F719B8" w:rsidRDefault="00F719B8" w:rsidP="002971A4">
      <w:pPr>
        <w:spacing w:after="240" w:line="278" w:lineRule="auto"/>
        <w:jc w:val="both"/>
        <w:rPr>
          <w:rFonts w:ascii="Book Antiqua" w:hAnsi="Book Antiqua"/>
          <w:lang w:val="es-ES"/>
        </w:rPr>
      </w:pPr>
      <w:r>
        <w:rPr>
          <w:rFonts w:ascii="Book Antiqua" w:hAnsi="Book Antiqua"/>
          <w:lang w:val="es-ES"/>
        </w:rPr>
        <w:t xml:space="preserve">El </w:t>
      </w:r>
      <w:r w:rsidRPr="00F719B8">
        <w:rPr>
          <w:rFonts w:ascii="Book Antiqua" w:hAnsi="Book Antiqua"/>
          <w:b/>
          <w:bCs/>
          <w:i/>
          <w:iCs/>
          <w:lang w:val="es-ES"/>
        </w:rPr>
        <w:t>Departamento de Justicia (DJ),</w:t>
      </w:r>
      <w:r>
        <w:rPr>
          <w:rFonts w:ascii="Book Antiqua" w:hAnsi="Book Antiqua"/>
          <w:lang w:val="es-ES"/>
        </w:rPr>
        <w:t xml:space="preserve"> sometió un </w:t>
      </w:r>
      <w:r w:rsidR="0087387B" w:rsidRPr="0087387B">
        <w:rPr>
          <w:rFonts w:ascii="Book Antiqua" w:hAnsi="Book Antiqua"/>
          <w:lang w:val="es-ES"/>
        </w:rPr>
        <w:t>m</w:t>
      </w:r>
      <w:r w:rsidRPr="0087387B">
        <w:rPr>
          <w:rFonts w:ascii="Book Antiqua" w:hAnsi="Book Antiqua"/>
          <w:lang w:val="es-ES"/>
        </w:rPr>
        <w:t>emorial</w:t>
      </w:r>
      <w:r>
        <w:rPr>
          <w:rFonts w:ascii="Book Antiqua" w:hAnsi="Book Antiqua"/>
          <w:lang w:val="es-ES"/>
        </w:rPr>
        <w:t xml:space="preserve"> ante esta Comisión, con fecha del 28 de marzo de 2025, firmado por su </w:t>
      </w:r>
      <w:r w:rsidRPr="00FD12EB">
        <w:rPr>
          <w:rFonts w:ascii="Book Antiqua" w:hAnsi="Book Antiqua"/>
          <w:lang w:val="es-ES"/>
        </w:rPr>
        <w:t xml:space="preserve">entonces </w:t>
      </w:r>
      <w:r w:rsidR="00FD12EB" w:rsidRPr="00FD12EB">
        <w:rPr>
          <w:rFonts w:ascii="Book Antiqua" w:hAnsi="Book Antiqua"/>
          <w:lang w:val="es-ES"/>
        </w:rPr>
        <w:t>secretaria</w:t>
      </w:r>
      <w:r w:rsidRPr="00FD12EB">
        <w:rPr>
          <w:rFonts w:ascii="Book Antiqua" w:hAnsi="Book Antiqua"/>
          <w:lang w:val="es-ES"/>
        </w:rPr>
        <w:t xml:space="preserve"> </w:t>
      </w:r>
      <w:r w:rsidR="00FD12EB">
        <w:rPr>
          <w:rFonts w:ascii="Book Antiqua" w:hAnsi="Book Antiqua"/>
          <w:lang w:val="es-ES"/>
        </w:rPr>
        <w:t>d</w:t>
      </w:r>
      <w:r w:rsidRPr="00FD12EB">
        <w:rPr>
          <w:rFonts w:ascii="Book Antiqua" w:hAnsi="Book Antiqua"/>
          <w:lang w:val="es-ES"/>
        </w:rPr>
        <w:t>esignada</w:t>
      </w:r>
      <w:r>
        <w:rPr>
          <w:rFonts w:ascii="Book Antiqua" w:hAnsi="Book Antiqua"/>
          <w:lang w:val="es-ES"/>
        </w:rPr>
        <w:t xml:space="preserve">, Janet Parra Mercado. El DJ </w:t>
      </w:r>
      <w:r w:rsidRPr="00FD12EB">
        <w:rPr>
          <w:rFonts w:ascii="Book Antiqua" w:hAnsi="Book Antiqua"/>
          <w:lang w:val="es-ES"/>
        </w:rPr>
        <w:t>realiz</w:t>
      </w:r>
      <w:r w:rsidR="00FD12EB" w:rsidRPr="00FD12EB">
        <w:rPr>
          <w:rFonts w:ascii="Book Antiqua" w:hAnsi="Book Antiqua"/>
          <w:lang w:val="es-ES"/>
        </w:rPr>
        <w:t>ó</w:t>
      </w:r>
      <w:r>
        <w:rPr>
          <w:rFonts w:ascii="Book Antiqua" w:hAnsi="Book Antiqua"/>
          <w:lang w:val="es-ES"/>
        </w:rPr>
        <w:t xml:space="preserve"> un resumen de la medida, y menciona que no tienen </w:t>
      </w:r>
      <w:r w:rsidRPr="00F719B8">
        <w:rPr>
          <w:rFonts w:ascii="Book Antiqua" w:hAnsi="Book Antiqua"/>
          <w:lang w:val="es-ES"/>
        </w:rPr>
        <w:t>objeción legal a la propuesta enmienda, toda vez que esta es en beneficio del supuesto infractor, al permitirle que, al presentar su solicitud de revisión en aquellos municipios que cuenten con Tribunales Administrativos, tenga la oportunidad de celebrar una vista administrativa en un término no mayor de sesenta (60) días para discutir los pormenores de la violación a la ordenanza notificada en el boleto. De igual modo, contará con el beneficio de que los términos para el pago de las multas y sus descuentos comiencen a transcurrir a partir del momento en que la determinación del Oficial Examinador sea final y firme.</w:t>
      </w:r>
    </w:p>
    <w:p w14:paraId="66946658" w14:textId="6DB71F01" w:rsidR="005300B1" w:rsidRPr="002971A4" w:rsidRDefault="002971A4" w:rsidP="002971A4">
      <w:pPr>
        <w:spacing w:after="240" w:line="278" w:lineRule="auto"/>
        <w:jc w:val="both"/>
        <w:rPr>
          <w:rFonts w:ascii="Book Antiqua" w:hAnsi="Book Antiqua"/>
          <w:b/>
          <w:bCs/>
          <w:u w:val="single"/>
          <w:lang w:val="es-ES"/>
        </w:rPr>
      </w:pPr>
      <w:r w:rsidRPr="002971A4">
        <w:rPr>
          <w:rFonts w:ascii="Book Antiqua" w:hAnsi="Book Antiqua"/>
          <w:lang w:val="es-ES"/>
        </w:rPr>
        <w:t>El</w:t>
      </w:r>
      <w:r w:rsidRPr="002971A4">
        <w:rPr>
          <w:rFonts w:ascii="Book Antiqua" w:hAnsi="Book Antiqua"/>
          <w:b/>
          <w:bCs/>
          <w:lang w:val="es-ES"/>
        </w:rPr>
        <w:t xml:space="preserve"> </w:t>
      </w:r>
      <w:r w:rsidR="005300B1" w:rsidRPr="002971A4">
        <w:rPr>
          <w:rFonts w:ascii="Book Antiqua" w:hAnsi="Book Antiqua"/>
          <w:b/>
          <w:bCs/>
          <w:i/>
          <w:iCs/>
          <w:lang w:val="es-ES"/>
        </w:rPr>
        <w:t>Departamento de Transportación y Obras Públicas</w:t>
      </w:r>
      <w:r w:rsidR="007A43CD">
        <w:rPr>
          <w:rFonts w:ascii="Book Antiqua" w:hAnsi="Book Antiqua"/>
          <w:b/>
          <w:bCs/>
          <w:i/>
          <w:iCs/>
          <w:lang w:val="es-ES"/>
        </w:rPr>
        <w:t xml:space="preserve"> (DTOP)</w:t>
      </w:r>
      <w:r>
        <w:rPr>
          <w:rFonts w:ascii="Book Antiqua" w:hAnsi="Book Antiqua"/>
          <w:b/>
          <w:bCs/>
          <w:i/>
          <w:iCs/>
          <w:lang w:val="es-ES"/>
        </w:rPr>
        <w:t xml:space="preserve">, </w:t>
      </w:r>
      <w:r>
        <w:rPr>
          <w:rFonts w:ascii="Book Antiqua" w:hAnsi="Book Antiqua"/>
          <w:lang w:val="es-ES"/>
        </w:rPr>
        <w:t xml:space="preserve">sometió un </w:t>
      </w:r>
      <w:r w:rsidR="00FD12EB">
        <w:rPr>
          <w:rFonts w:ascii="Book Antiqua" w:hAnsi="Book Antiqua"/>
          <w:lang w:val="es-ES"/>
        </w:rPr>
        <w:t>m</w:t>
      </w:r>
      <w:r w:rsidRPr="00FD12EB">
        <w:rPr>
          <w:rFonts w:ascii="Book Antiqua" w:hAnsi="Book Antiqua"/>
          <w:lang w:val="es-ES"/>
        </w:rPr>
        <w:t>emorial</w:t>
      </w:r>
      <w:r>
        <w:rPr>
          <w:rFonts w:ascii="Book Antiqua" w:hAnsi="Book Antiqua"/>
          <w:lang w:val="es-ES"/>
        </w:rPr>
        <w:t xml:space="preserve"> ante el Senado, con fecha del 18 de febrero del 2025, suscrito por su</w:t>
      </w:r>
      <w:r w:rsidR="005300B1" w:rsidRPr="002971A4">
        <w:rPr>
          <w:rFonts w:ascii="Book Antiqua" w:hAnsi="Book Antiqua"/>
          <w:b/>
          <w:bCs/>
          <w:i/>
          <w:iCs/>
          <w:lang w:val="es-ES"/>
        </w:rPr>
        <w:t xml:space="preserve"> </w:t>
      </w:r>
      <w:r w:rsidR="005300B1" w:rsidRPr="00485C57">
        <w:rPr>
          <w:rFonts w:ascii="Book Antiqua" w:hAnsi="Book Antiqua"/>
          <w:lang w:val="es-ES"/>
        </w:rPr>
        <w:t xml:space="preserve">secretario, </w:t>
      </w:r>
      <w:r w:rsidR="00FD12EB" w:rsidRPr="00FD12EB">
        <w:rPr>
          <w:rFonts w:ascii="Book Antiqua" w:hAnsi="Book Antiqua"/>
          <w:lang w:val="es-ES"/>
        </w:rPr>
        <w:t>d</w:t>
      </w:r>
      <w:r w:rsidRPr="00FD12EB">
        <w:rPr>
          <w:rFonts w:ascii="Book Antiqua" w:hAnsi="Book Antiqua"/>
          <w:lang w:val="es-ES"/>
        </w:rPr>
        <w:t>octor</w:t>
      </w:r>
      <w:r w:rsidR="005300B1">
        <w:rPr>
          <w:rFonts w:ascii="Book Antiqua" w:hAnsi="Book Antiqua"/>
          <w:lang w:val="es-ES"/>
        </w:rPr>
        <w:t xml:space="preserve"> Edwin E. González Montalv</w:t>
      </w:r>
      <w:r>
        <w:rPr>
          <w:rFonts w:ascii="Book Antiqua" w:hAnsi="Book Antiqua"/>
          <w:lang w:val="es-ES"/>
        </w:rPr>
        <w:t>o. El DTOP</w:t>
      </w:r>
      <w:r w:rsidR="005300B1">
        <w:rPr>
          <w:rFonts w:ascii="Book Antiqua" w:hAnsi="Book Antiqua"/>
          <w:lang w:val="es-ES"/>
        </w:rPr>
        <w:t xml:space="preserve"> expresó que, a pesar de no objetar la medida, compete a la Asociación y Federación de Alcaldes de Puerto Rico expresarse en cuanto a la propuesta de implementar en cada municipio un procedimiento de revisión de faltas mediante vistas administrativas. Sin embargo, abundó que en lo que compete a la Directoría de Servicios al Conductor, esta deberá anotar en el récord del conductor no favorecido por la Resolución del Oficial Examinador, la información relacionada con la infracción de tránsito cometida por éste. En ese sentido, el secretario recomienda que se enmiende el proyecto de forma tal que sea requisito indispensable notificar la determinación del Oficial Examinador como parte del debido proceso de ley, recomendación que se </w:t>
      </w:r>
      <w:r>
        <w:rPr>
          <w:rFonts w:ascii="Book Antiqua" w:hAnsi="Book Antiqua"/>
          <w:lang w:val="es-ES"/>
        </w:rPr>
        <w:t>acogió en la medida aprobada por el Senado.</w:t>
      </w:r>
    </w:p>
    <w:p w14:paraId="04195CEF" w14:textId="5662608B" w:rsidR="005300B1" w:rsidRPr="00F719B8" w:rsidRDefault="002971A4" w:rsidP="007A43CD">
      <w:pPr>
        <w:spacing w:line="278" w:lineRule="auto"/>
        <w:jc w:val="both"/>
        <w:rPr>
          <w:rFonts w:ascii="Book Antiqua" w:hAnsi="Book Antiqua"/>
          <w:b/>
          <w:bCs/>
          <w:i/>
          <w:iCs/>
          <w:lang w:val="es-ES"/>
        </w:rPr>
      </w:pPr>
      <w:r>
        <w:rPr>
          <w:rFonts w:ascii="Book Antiqua" w:hAnsi="Book Antiqua"/>
          <w:lang w:val="es-ES"/>
        </w:rPr>
        <w:lastRenderedPageBreak/>
        <w:t xml:space="preserve">La </w:t>
      </w:r>
      <w:r w:rsidRPr="002971A4">
        <w:rPr>
          <w:rFonts w:ascii="Book Antiqua" w:hAnsi="Book Antiqua"/>
          <w:b/>
          <w:bCs/>
          <w:i/>
          <w:iCs/>
          <w:lang w:val="es-ES"/>
        </w:rPr>
        <w:t xml:space="preserve">Oficina del Procurador del Ciudadano </w:t>
      </w:r>
      <w:r w:rsidRPr="002971A4">
        <w:rPr>
          <w:rFonts w:ascii="Book Antiqua" w:hAnsi="Book Antiqua"/>
          <w:lang w:val="es-ES"/>
        </w:rPr>
        <w:t xml:space="preserve">(OMBUDSMAN) </w:t>
      </w:r>
      <w:r>
        <w:rPr>
          <w:rFonts w:ascii="Book Antiqua" w:hAnsi="Book Antiqua"/>
          <w:lang w:val="es-ES"/>
        </w:rPr>
        <w:t xml:space="preserve">a través del </w:t>
      </w:r>
      <w:r w:rsidR="005300B1">
        <w:rPr>
          <w:rFonts w:ascii="Book Antiqua" w:hAnsi="Book Antiqua"/>
          <w:lang w:val="es-ES"/>
        </w:rPr>
        <w:t xml:space="preserve">honorable Edwin García Feliciano, </w:t>
      </w:r>
      <w:r>
        <w:rPr>
          <w:rFonts w:ascii="Book Antiqua" w:hAnsi="Book Antiqua"/>
          <w:lang w:val="es-ES"/>
        </w:rPr>
        <w:t>sometió su posición al Senado, con fecha del 18 de febrero de 2025. A</w:t>
      </w:r>
      <w:r w:rsidR="005300B1">
        <w:rPr>
          <w:rFonts w:ascii="Book Antiqua" w:hAnsi="Book Antiqua"/>
          <w:lang w:val="es-ES"/>
        </w:rPr>
        <w:t xml:space="preserve">unque informó tener jurisdicción para revisar los procesos llevados a cabo por las agencias gubernamentales, esta no se extiende a los gobiernos locales. Sin embargo, destacó que comúnmente asisten en las peticiones de intervenciones realizadas por la ciudadanía mediante su canalización con los municipios. No obstante, al evaluar el alcance del proyecto, indicó que </w:t>
      </w:r>
      <w:r>
        <w:rPr>
          <w:rFonts w:ascii="Book Antiqua" w:hAnsi="Book Antiqua"/>
          <w:lang w:val="es-ES"/>
        </w:rPr>
        <w:t xml:space="preserve">el </w:t>
      </w:r>
      <w:r w:rsidR="005300B1">
        <w:rPr>
          <w:rFonts w:ascii="Book Antiqua" w:hAnsi="Book Antiqua"/>
          <w:lang w:val="es-ES"/>
        </w:rPr>
        <w:t xml:space="preserve">Ombudsman la entidad llamada a velar la reparación de agravios de las agencias públicas, y entendiendo que la medida se relaciona a este deber ministerial, expresó estar de acuerdo con su aprobación. </w:t>
      </w:r>
    </w:p>
    <w:p w14:paraId="1C4CEC62" w14:textId="77777777" w:rsidR="00253858" w:rsidRDefault="00253858" w:rsidP="007A43CD">
      <w:pPr>
        <w:spacing w:before="100" w:beforeAutospacing="1"/>
        <w:contextualSpacing/>
        <w:jc w:val="both"/>
        <w:rPr>
          <w:rFonts w:ascii="Book Antiqua" w:hAnsi="Book Antiqua"/>
          <w:lang w:val="es-PR"/>
        </w:rPr>
      </w:pPr>
    </w:p>
    <w:p w14:paraId="28152C71" w14:textId="6B711D7D" w:rsidR="00DD1FCB" w:rsidRDefault="00DD1FCB" w:rsidP="007A43CD">
      <w:pPr>
        <w:jc w:val="center"/>
        <w:rPr>
          <w:rFonts w:ascii="Book Antiqua" w:hAnsi="Book Antiqua"/>
          <w:b/>
          <w:i/>
          <w:smallCaps/>
          <w:szCs w:val="24"/>
          <w:lang w:val="es-ES_tradnl"/>
        </w:rPr>
      </w:pPr>
      <w:r w:rsidRPr="00EE6540">
        <w:rPr>
          <w:rFonts w:ascii="Book Antiqua" w:hAnsi="Book Antiqua"/>
          <w:b/>
          <w:i/>
          <w:smallCaps/>
          <w:szCs w:val="24"/>
          <w:lang w:val="es-ES_tradnl"/>
        </w:rPr>
        <w:t xml:space="preserve">Análisis </w:t>
      </w:r>
      <w:r w:rsidR="00E359DB">
        <w:rPr>
          <w:rFonts w:ascii="Book Antiqua" w:hAnsi="Book Antiqua"/>
          <w:b/>
          <w:i/>
          <w:smallCaps/>
          <w:szCs w:val="24"/>
          <w:lang w:val="es-ES_tradnl"/>
        </w:rPr>
        <w:t>De la Medida</w:t>
      </w:r>
    </w:p>
    <w:p w14:paraId="73082456" w14:textId="77777777" w:rsidR="006439F1" w:rsidRDefault="006439F1" w:rsidP="007A43CD">
      <w:pPr>
        <w:jc w:val="center"/>
        <w:rPr>
          <w:rFonts w:ascii="Book Antiqua" w:hAnsi="Book Antiqua"/>
          <w:b/>
          <w:i/>
          <w:smallCaps/>
          <w:szCs w:val="24"/>
          <w:lang w:val="es-ES_tradnl"/>
        </w:rPr>
      </w:pPr>
    </w:p>
    <w:p w14:paraId="711658E4" w14:textId="77777777" w:rsidR="00995C19" w:rsidRPr="00995C19" w:rsidRDefault="00995C19" w:rsidP="007A43CD">
      <w:pPr>
        <w:pStyle w:val="NormalWeb"/>
        <w:spacing w:before="0" w:beforeAutospacing="0" w:after="0" w:afterAutospacing="0"/>
        <w:jc w:val="both"/>
        <w:rPr>
          <w:rFonts w:ascii="Book Antiqua" w:hAnsi="Book Antiqua"/>
        </w:rPr>
      </w:pPr>
      <w:r w:rsidRPr="00995C19">
        <w:rPr>
          <w:rFonts w:ascii="Book Antiqua" w:hAnsi="Book Antiqua"/>
        </w:rPr>
        <w:t xml:space="preserve">El Proyecto del Senado 18 fue presentado el 2 de enero de </w:t>
      </w:r>
      <w:r w:rsidRPr="00FD12EB">
        <w:rPr>
          <w:rFonts w:ascii="Book Antiqua" w:hAnsi="Book Antiqua"/>
        </w:rPr>
        <w:t xml:space="preserve">2025 por el senador Thomas Rivera </w:t>
      </w:r>
      <w:proofErr w:type="spellStart"/>
      <w:r w:rsidRPr="00FD12EB">
        <w:rPr>
          <w:rFonts w:ascii="Book Antiqua" w:hAnsi="Book Antiqua"/>
        </w:rPr>
        <w:t>Schatz</w:t>
      </w:r>
      <w:proofErr w:type="spellEnd"/>
      <w:r w:rsidRPr="00FD12EB">
        <w:rPr>
          <w:rFonts w:ascii="Book Antiqua" w:hAnsi="Book Antiqua"/>
        </w:rPr>
        <w:t>, con la coautoría del senador Gregorio Matías Rosario</w:t>
      </w:r>
      <w:r w:rsidRPr="00995C19">
        <w:rPr>
          <w:rFonts w:ascii="Book Antiqua" w:hAnsi="Book Antiqua"/>
        </w:rPr>
        <w:t>. La medida fue evaluada favorablemente por la Comisión de Asuntos Municipales del Senado, que rindió un informe positivo con enmiendas el 12 de marzo de 2025. Posteriormente, el Senado aprobó la medida con enmiendas en sala, con un total de 25 votos afirmativos y únicamente 3 ausencias.</w:t>
      </w:r>
    </w:p>
    <w:p w14:paraId="015D1120" w14:textId="376F3112" w:rsidR="00995C19" w:rsidRPr="00995C19" w:rsidRDefault="00995C19" w:rsidP="00995C19">
      <w:pPr>
        <w:pStyle w:val="NormalWeb"/>
        <w:jc w:val="both"/>
        <w:rPr>
          <w:rFonts w:ascii="Book Antiqua" w:hAnsi="Book Antiqua"/>
        </w:rPr>
      </w:pPr>
      <w:r>
        <w:rPr>
          <w:rFonts w:ascii="Book Antiqua" w:hAnsi="Book Antiqua"/>
        </w:rPr>
        <w:t>Desde el punto de vista de esta Comisión, entendemos que la medida,</w:t>
      </w:r>
      <w:r w:rsidRPr="00995C19">
        <w:rPr>
          <w:rFonts w:ascii="Book Antiqua" w:hAnsi="Book Antiqua"/>
        </w:rPr>
        <w:t xml:space="preserve"> no impone a los municipios la obligación de establecer tribunales administrativos,</w:t>
      </w:r>
      <w:r>
        <w:rPr>
          <w:rFonts w:ascii="Book Antiqua" w:hAnsi="Book Antiqua"/>
        </w:rPr>
        <w:t xml:space="preserve"> </w:t>
      </w:r>
      <w:r w:rsidRPr="00995C19">
        <w:rPr>
          <w:rFonts w:ascii="Book Antiqua" w:hAnsi="Book Antiqua"/>
        </w:rPr>
        <w:t>por el contrario, el Proyecto del Senado 18 se limita a establecer dos disposiciones específicas de carácter procesal que benefician al ciudadano que impugna una multa administrativa municipal: (1) que la vista administrativa se celebre dentro de un término máximo de sesenta (60) días desde la presentación de la solicitud de revisión; y (2) que los términos para el pago de multas —así como los descuentos aplicables— comiencen a transcurrir una vez la decisión del oficial examinador sea final y firme.</w:t>
      </w:r>
    </w:p>
    <w:p w14:paraId="6A66BA7C" w14:textId="2DB8E646" w:rsidR="00995C19" w:rsidRPr="00995C19" w:rsidRDefault="00995C19" w:rsidP="00995C19">
      <w:pPr>
        <w:pStyle w:val="NormalWeb"/>
        <w:jc w:val="both"/>
        <w:rPr>
          <w:rFonts w:ascii="Book Antiqua" w:hAnsi="Book Antiqua"/>
        </w:rPr>
      </w:pPr>
      <w:r w:rsidRPr="00995C19">
        <w:rPr>
          <w:rFonts w:ascii="Book Antiqua" w:hAnsi="Book Antiqua"/>
        </w:rPr>
        <w:t xml:space="preserve">Esta propuesta resulta cónsona con la redacción vigente del Artículo 1.009 del </w:t>
      </w:r>
      <w:r w:rsidRPr="00995C19">
        <w:rPr>
          <w:rStyle w:val="Emphasis"/>
          <w:rFonts w:ascii="Book Antiqua" w:hAnsi="Book Antiqua"/>
        </w:rPr>
        <w:t>Código Municipal de Puerto Rico</w:t>
      </w:r>
      <w:r w:rsidRPr="00995C19">
        <w:rPr>
          <w:rFonts w:ascii="Book Antiqua" w:hAnsi="Book Antiqua"/>
        </w:rPr>
        <w:t>, según la Ley Núm. 107-2020, en la cual ya se reconoce que en aquellos municipios que cuenten con tribunales administrativos,</w:t>
      </w:r>
      <w:r w:rsidR="007A43CD">
        <w:rPr>
          <w:rFonts w:ascii="Book Antiqua" w:hAnsi="Book Antiqua"/>
        </w:rPr>
        <w:t xml:space="preserve"> </w:t>
      </w:r>
      <w:r w:rsidRPr="00995C19">
        <w:rPr>
          <w:rFonts w:ascii="Book Antiqua" w:hAnsi="Book Antiqua"/>
        </w:rPr>
        <w:t>estos tendrán jurisdicción primaria para atender la revisión de multas administrativas. Asimismo, se establece que las decisiones de estos foros municipales podrán ser revisadas por el Tribunal de Primera Instancia, que también tendrá jurisdicción primaria cuando se trate de sanciones penales o cuando no exista tribunal administrativo a nivel local.</w:t>
      </w:r>
    </w:p>
    <w:p w14:paraId="020D1A4B" w14:textId="3976576A" w:rsidR="00995C19" w:rsidRPr="00995C19" w:rsidRDefault="00995C19" w:rsidP="00995C19">
      <w:pPr>
        <w:pStyle w:val="NormalWeb"/>
        <w:jc w:val="both"/>
        <w:rPr>
          <w:rFonts w:ascii="Book Antiqua" w:hAnsi="Book Antiqua"/>
        </w:rPr>
      </w:pPr>
      <w:r w:rsidRPr="00995C19">
        <w:rPr>
          <w:rFonts w:ascii="Book Antiqua" w:hAnsi="Book Antiqua"/>
        </w:rPr>
        <w:t xml:space="preserve">El </w:t>
      </w:r>
      <w:r w:rsidRPr="00995C19">
        <w:rPr>
          <w:rStyle w:val="Emphasis"/>
          <w:rFonts w:ascii="Book Antiqua" w:hAnsi="Book Antiqua"/>
        </w:rPr>
        <w:t>Código Municipal</w:t>
      </w:r>
      <w:r w:rsidRPr="00995C19">
        <w:rPr>
          <w:rFonts w:ascii="Book Antiqua" w:hAnsi="Book Antiqua"/>
        </w:rPr>
        <w:t xml:space="preserve">, en su contexto más amplio, faculta a los gobiernos municipales a ejercer poderes legislativos y ejecutivos sobre asuntos de índole local que promuevan el bienestar colectivo. Esto incluye la </w:t>
      </w:r>
      <w:r>
        <w:rPr>
          <w:rFonts w:ascii="Book Antiqua" w:hAnsi="Book Antiqua"/>
        </w:rPr>
        <w:t>facultad</w:t>
      </w:r>
      <w:r w:rsidRPr="00995C19">
        <w:rPr>
          <w:rFonts w:ascii="Book Antiqua" w:hAnsi="Book Antiqua"/>
        </w:rPr>
        <w:t xml:space="preserve"> de reglamentar aspectos relacionados con el tránsito vehicular dentro del municipio, conforme a su autoridad para adoptar ordenanzas administrativas y penales, siempre que se </w:t>
      </w:r>
      <w:r>
        <w:rPr>
          <w:rFonts w:ascii="Book Antiqua" w:hAnsi="Book Antiqua"/>
        </w:rPr>
        <w:t>cumpla con</w:t>
      </w:r>
      <w:r w:rsidRPr="00995C19">
        <w:rPr>
          <w:rFonts w:ascii="Book Antiqua" w:hAnsi="Book Antiqua"/>
        </w:rPr>
        <w:t xml:space="preserve"> el debido proceso de </w:t>
      </w:r>
      <w:r w:rsidRPr="00995C19">
        <w:rPr>
          <w:rFonts w:ascii="Book Antiqua" w:hAnsi="Book Antiqua"/>
        </w:rPr>
        <w:lastRenderedPageBreak/>
        <w:t xml:space="preserve">ley. Así lo ha reiterado el Tribunal Supremo en decisiones como </w:t>
      </w:r>
      <w:r w:rsidRPr="00995C19">
        <w:rPr>
          <w:rStyle w:val="Emphasis"/>
          <w:rFonts w:ascii="Book Antiqua" w:hAnsi="Book Antiqua"/>
        </w:rPr>
        <w:t>Hernández v. Secretario de Justicia</w:t>
      </w:r>
      <w:r w:rsidRPr="00995C19">
        <w:rPr>
          <w:rFonts w:ascii="Book Antiqua" w:hAnsi="Book Antiqua"/>
        </w:rPr>
        <w:t xml:space="preserve">, 164 DPR 390 (2005), y </w:t>
      </w:r>
      <w:r w:rsidRPr="00995C19">
        <w:rPr>
          <w:rStyle w:val="Emphasis"/>
          <w:rFonts w:ascii="Book Antiqua" w:hAnsi="Book Antiqua"/>
        </w:rPr>
        <w:t>Hotel Cigala v. Municipio Autónomo de San Juan</w:t>
      </w:r>
      <w:r w:rsidRPr="00995C19">
        <w:rPr>
          <w:rFonts w:ascii="Book Antiqua" w:hAnsi="Book Antiqua"/>
        </w:rPr>
        <w:t xml:space="preserve">, 2022 TSPR </w:t>
      </w:r>
      <w:r w:rsidRPr="006439F1">
        <w:rPr>
          <w:rFonts w:ascii="Book Antiqua" w:hAnsi="Book Antiqua"/>
        </w:rPr>
        <w:t>4</w:t>
      </w:r>
      <w:r w:rsidRPr="00995C19">
        <w:rPr>
          <w:rFonts w:ascii="Book Antiqua" w:hAnsi="Book Antiqua"/>
        </w:rPr>
        <w:t xml:space="preserve">, al exigir que toda ordenanza que conlleve sanciones permita al ciudadano </w:t>
      </w:r>
      <w:r>
        <w:rPr>
          <w:rFonts w:ascii="Book Antiqua" w:hAnsi="Book Antiqua"/>
        </w:rPr>
        <w:t xml:space="preserve">común, </w:t>
      </w:r>
      <w:r w:rsidRPr="00995C19">
        <w:rPr>
          <w:rFonts w:ascii="Book Antiqua" w:hAnsi="Book Antiqua"/>
        </w:rPr>
        <w:t>entender cómo defenderse ante una imputación.</w:t>
      </w:r>
    </w:p>
    <w:p w14:paraId="4BB655C2" w14:textId="5212C709" w:rsidR="00995C19" w:rsidRPr="00995C19" w:rsidRDefault="00995C19" w:rsidP="00995C19">
      <w:pPr>
        <w:pStyle w:val="NormalWeb"/>
        <w:jc w:val="both"/>
        <w:rPr>
          <w:rFonts w:ascii="Book Antiqua" w:hAnsi="Book Antiqua"/>
        </w:rPr>
      </w:pPr>
      <w:r w:rsidRPr="00995C19">
        <w:rPr>
          <w:rFonts w:ascii="Book Antiqua" w:hAnsi="Book Antiqua"/>
        </w:rPr>
        <w:t>No obstante, el Código Municipal</w:t>
      </w:r>
      <w:r>
        <w:rPr>
          <w:rFonts w:ascii="Book Antiqua" w:hAnsi="Book Antiqua"/>
        </w:rPr>
        <w:t>, actualmente, no habla</w:t>
      </w:r>
      <w:r w:rsidRPr="00995C19">
        <w:rPr>
          <w:rFonts w:ascii="Book Antiqua" w:hAnsi="Book Antiqua"/>
        </w:rPr>
        <w:t xml:space="preserve"> sobre el efecto procesal de presentar una solicitud de revisión ante un tribunal administrativo municipal, en particular respecto al cómputo de términos para pagar multas con descuentos. En contraste, la </w:t>
      </w:r>
      <w:r w:rsidRPr="00995C19">
        <w:rPr>
          <w:rStyle w:val="Emphasis"/>
          <w:rFonts w:ascii="Book Antiqua" w:hAnsi="Book Antiqua"/>
        </w:rPr>
        <w:t>Ley Núm. 22-2000</w:t>
      </w:r>
      <w:r w:rsidRPr="00995C19">
        <w:rPr>
          <w:rFonts w:ascii="Book Antiqua" w:hAnsi="Book Antiqua"/>
        </w:rPr>
        <w:t xml:space="preserve">, conocida como la </w:t>
      </w:r>
      <w:r w:rsidRPr="00995C19">
        <w:rPr>
          <w:rStyle w:val="Emphasis"/>
          <w:rFonts w:ascii="Book Antiqua" w:hAnsi="Book Antiqua"/>
        </w:rPr>
        <w:t>Ley de Vehículos y Tránsito de Puerto Rico</w:t>
      </w:r>
      <w:r w:rsidRPr="00995C19">
        <w:rPr>
          <w:rFonts w:ascii="Book Antiqua" w:hAnsi="Book Antiqua"/>
        </w:rPr>
        <w:t xml:space="preserve"> (9 L.P.R.A. § 5052), incluye una "Carta de Derechos del Conductor o Propietario Autorizado", que establece protecciones procesales claras, incluyendo el derecho a obtener información detallada del boleto y la suspensión de términos de pago mientras se ventila el recurso. Específicamente, su artículo 23.05 dispone que cuando un ciudadano impugne un boleto, los términos de pago y los beneficios por descuento no comenzarán a contarse hasta que la decisión del foro adjudicador sea final, firme e inapelable.</w:t>
      </w:r>
    </w:p>
    <w:p w14:paraId="2D04DB42" w14:textId="5A16135D" w:rsidR="00995C19" w:rsidRPr="00995C19" w:rsidRDefault="00995C19" w:rsidP="00995C19">
      <w:pPr>
        <w:pStyle w:val="NormalWeb"/>
        <w:jc w:val="both"/>
        <w:rPr>
          <w:rFonts w:ascii="Book Antiqua" w:hAnsi="Book Antiqua"/>
        </w:rPr>
      </w:pPr>
      <w:r w:rsidRPr="00995C19">
        <w:rPr>
          <w:rFonts w:ascii="Book Antiqua" w:hAnsi="Book Antiqua"/>
        </w:rPr>
        <w:t>El Proyecto del Senado 18</w:t>
      </w:r>
      <w:r>
        <w:rPr>
          <w:rFonts w:ascii="Book Antiqua" w:hAnsi="Book Antiqua"/>
        </w:rPr>
        <w:t>,</w:t>
      </w:r>
      <w:r w:rsidRPr="00995C19">
        <w:rPr>
          <w:rFonts w:ascii="Book Antiqua" w:hAnsi="Book Antiqua"/>
        </w:rPr>
        <w:t xml:space="preserve"> busca armonizar esa protección contenida en la Ley 22-2000 con el  Código Municipal, extendiendo de manera expresa ese mismo trato al ciudadano que recurre una multa ante un tribunal administrativo municipal. Esto responde a un</w:t>
      </w:r>
      <w:r w:rsidR="00061538">
        <w:rPr>
          <w:rFonts w:ascii="Book Antiqua" w:hAnsi="Book Antiqua"/>
        </w:rPr>
        <w:t>a</w:t>
      </w:r>
      <w:r w:rsidRPr="00995C19">
        <w:rPr>
          <w:rFonts w:ascii="Book Antiqua" w:hAnsi="Book Antiqua"/>
        </w:rPr>
        <w:t xml:space="preserve"> </w:t>
      </w:r>
      <w:r w:rsidR="00061538">
        <w:rPr>
          <w:rFonts w:ascii="Book Antiqua" w:hAnsi="Book Antiqua"/>
        </w:rPr>
        <w:t>laguna legal,</w:t>
      </w:r>
      <w:r w:rsidRPr="00995C19">
        <w:rPr>
          <w:rFonts w:ascii="Book Antiqua" w:hAnsi="Book Antiqua"/>
        </w:rPr>
        <w:t xml:space="preserve"> que podría causar indefensión o pérdida del beneficio del descuento, a pesar de estar en curso un proceso de revisión.</w:t>
      </w:r>
    </w:p>
    <w:p w14:paraId="737108B4" w14:textId="6B0536E8" w:rsidR="00EE6540" w:rsidRPr="00061538" w:rsidRDefault="00995C19" w:rsidP="00061538">
      <w:pPr>
        <w:pStyle w:val="NormalWeb"/>
        <w:jc w:val="both"/>
        <w:rPr>
          <w:rFonts w:ascii="Book Antiqua" w:hAnsi="Book Antiqua"/>
        </w:rPr>
      </w:pPr>
      <w:r w:rsidRPr="00995C19">
        <w:rPr>
          <w:rFonts w:ascii="Book Antiqua" w:hAnsi="Book Antiqua"/>
        </w:rPr>
        <w:t xml:space="preserve">Además, la inclusión de un término  de sesenta (60) días para la celebración de la vista administrativa tiene el efecto de evitar dilaciones innecesarias, </w:t>
      </w:r>
      <w:r w:rsidR="00061538">
        <w:rPr>
          <w:rFonts w:ascii="Book Antiqua" w:hAnsi="Book Antiqua"/>
        </w:rPr>
        <w:t xml:space="preserve">y </w:t>
      </w:r>
      <w:r w:rsidRPr="00995C19">
        <w:rPr>
          <w:rFonts w:ascii="Book Antiqua" w:hAnsi="Book Antiqua"/>
        </w:rPr>
        <w:t xml:space="preserve">que </w:t>
      </w:r>
      <w:r w:rsidR="00061538">
        <w:rPr>
          <w:rFonts w:ascii="Book Antiqua" w:hAnsi="Book Antiqua"/>
        </w:rPr>
        <w:t>se cumpla con un proceso justo, rápido y económico.</w:t>
      </w:r>
      <w:r w:rsidRPr="00995C19">
        <w:rPr>
          <w:rFonts w:ascii="Book Antiqua" w:hAnsi="Book Antiqua"/>
        </w:rPr>
        <w:t xml:space="preserve"> </w:t>
      </w:r>
    </w:p>
    <w:p w14:paraId="6C410F04" w14:textId="2D96DF18" w:rsidR="00DD1FCB" w:rsidRDefault="00DD1FCB" w:rsidP="00DD1FCB">
      <w:pPr>
        <w:jc w:val="center"/>
        <w:rPr>
          <w:rFonts w:ascii="Book Antiqua" w:hAnsi="Book Antiqua"/>
          <w:b/>
          <w:i/>
          <w:smallCaps/>
          <w:szCs w:val="24"/>
          <w:lang w:val="es-ES_tradnl"/>
        </w:rPr>
      </w:pPr>
      <w:r>
        <w:rPr>
          <w:rFonts w:ascii="Book Antiqua" w:hAnsi="Book Antiqua"/>
          <w:b/>
          <w:i/>
          <w:smallCaps/>
          <w:szCs w:val="24"/>
          <w:lang w:val="es-ES_tradnl"/>
        </w:rPr>
        <w:t>Impacto Fiscal Municipal</w:t>
      </w:r>
    </w:p>
    <w:p w14:paraId="16EA00F8" w14:textId="77777777" w:rsidR="00DD1FCB" w:rsidRDefault="00DD1FCB" w:rsidP="00DD1FCB">
      <w:pPr>
        <w:rPr>
          <w:rFonts w:ascii="Book Antiqua" w:hAnsi="Book Antiqua"/>
          <w:b/>
          <w:i/>
          <w:smallCaps/>
          <w:szCs w:val="24"/>
          <w:lang w:val="es-ES_tradnl"/>
        </w:rPr>
      </w:pPr>
    </w:p>
    <w:p w14:paraId="2A33EEF4" w14:textId="704EAB4A" w:rsidR="00DD1FCB" w:rsidRPr="00F04A9A" w:rsidRDefault="00DD1FCB" w:rsidP="00DD1FCB">
      <w:pPr>
        <w:jc w:val="both"/>
        <w:rPr>
          <w:rFonts w:ascii="Book Antiqua" w:hAnsi="Book Antiqua"/>
          <w:lang w:val="es-ES_tradnl"/>
        </w:rPr>
      </w:pPr>
      <w:r w:rsidRPr="00F04A9A">
        <w:rPr>
          <w:rFonts w:ascii="Book Antiqua" w:hAnsi="Book Antiqua"/>
          <w:lang w:val="es-ES_tradnl"/>
        </w:rPr>
        <w:t>En cumplimiento con lo dispuesto en el Artículo 1.007 de la Ley 107-2020,</w:t>
      </w:r>
      <w:r>
        <w:rPr>
          <w:rFonts w:ascii="Book Antiqua" w:hAnsi="Book Antiqua"/>
          <w:lang w:val="es-ES_tradnl"/>
        </w:rPr>
        <w:t xml:space="preserve"> </w:t>
      </w:r>
      <w:r w:rsidRPr="001D0ABB">
        <w:rPr>
          <w:rFonts w:ascii="Book Antiqua" w:hAnsi="Book Antiqua"/>
          <w:lang w:val="es-ES_tradnl"/>
        </w:rPr>
        <w:t>(21 L.P.R.A. § 7012</w:t>
      </w:r>
      <w:proofErr w:type="gramStart"/>
      <w:r w:rsidRPr="001D0ABB">
        <w:rPr>
          <w:rFonts w:ascii="Book Antiqua" w:hAnsi="Book Antiqua"/>
          <w:lang w:val="es-ES_tradnl"/>
        </w:rPr>
        <w:t xml:space="preserve">) </w:t>
      </w:r>
      <w:r w:rsidRPr="00F04A9A">
        <w:rPr>
          <w:rFonts w:ascii="Book Antiqua" w:hAnsi="Book Antiqua"/>
          <w:lang w:val="es-ES_tradnl"/>
        </w:rPr>
        <w:t xml:space="preserve"> supra</w:t>
      </w:r>
      <w:proofErr w:type="gramEnd"/>
      <w:r w:rsidRPr="00F04A9A">
        <w:rPr>
          <w:rFonts w:ascii="Book Antiqua" w:hAnsi="Book Antiqua"/>
          <w:lang w:val="es-ES_tradnl"/>
        </w:rPr>
        <w:t xml:space="preserve">, conocida como “Código Municipal de Puerto Rico, la Comisión de Asuntos Municipales certifica que la pieza legislativa bajo </w:t>
      </w:r>
      <w:r w:rsidRPr="00FD12EB">
        <w:rPr>
          <w:rFonts w:ascii="Book Antiqua" w:hAnsi="Book Antiqua"/>
          <w:color w:val="000000" w:themeColor="text1"/>
          <w:lang w:val="es-ES_tradnl"/>
        </w:rPr>
        <w:t>an</w:t>
      </w:r>
      <w:r w:rsidR="00FD12EB">
        <w:rPr>
          <w:rFonts w:ascii="Book Antiqua" w:hAnsi="Book Antiqua"/>
          <w:color w:val="000000" w:themeColor="text1"/>
          <w:lang w:val="es-ES_tradnl"/>
        </w:rPr>
        <w:t>á</w:t>
      </w:r>
      <w:r w:rsidRPr="00FD12EB">
        <w:rPr>
          <w:rFonts w:ascii="Book Antiqua" w:hAnsi="Book Antiqua"/>
          <w:color w:val="000000" w:themeColor="text1"/>
          <w:lang w:val="es-ES_tradnl"/>
        </w:rPr>
        <w:t>lisis</w:t>
      </w:r>
      <w:r w:rsidRPr="00F04A9A">
        <w:rPr>
          <w:rFonts w:ascii="Book Antiqua" w:hAnsi="Book Antiqua"/>
          <w:lang w:val="es-ES_tradnl"/>
        </w:rPr>
        <w:t xml:space="preserve"> no impone una carga económica </w:t>
      </w:r>
      <w:r>
        <w:rPr>
          <w:rFonts w:ascii="Book Antiqua" w:hAnsi="Book Antiqua"/>
          <w:lang w:val="es-ES_tradnl"/>
        </w:rPr>
        <w:t xml:space="preserve">negativa </w:t>
      </w:r>
      <w:r w:rsidRPr="00F04A9A">
        <w:rPr>
          <w:rFonts w:ascii="Book Antiqua" w:hAnsi="Book Antiqua"/>
          <w:lang w:val="es-ES_tradnl"/>
        </w:rPr>
        <w:t>en el presupuesto de los gobiernos municipales.</w:t>
      </w:r>
    </w:p>
    <w:p w14:paraId="2562DDB6" w14:textId="77777777" w:rsidR="00DD1FCB" w:rsidRPr="00F04A9A" w:rsidRDefault="00DD1FCB" w:rsidP="00DD1FCB">
      <w:pPr>
        <w:rPr>
          <w:lang w:val="es-ES_tradnl"/>
        </w:rPr>
      </w:pPr>
    </w:p>
    <w:p w14:paraId="64E4266F" w14:textId="20F43474" w:rsidR="004000AE" w:rsidRPr="00062C12" w:rsidRDefault="004000AE" w:rsidP="004000AE">
      <w:pPr>
        <w:jc w:val="center"/>
        <w:rPr>
          <w:rFonts w:ascii="Book Antiqua" w:hAnsi="Book Antiqua"/>
          <w:b/>
          <w:i/>
          <w:smallCaps/>
          <w:szCs w:val="24"/>
          <w:lang w:val="es-ES_tradnl"/>
        </w:rPr>
      </w:pPr>
      <w:r w:rsidRPr="00062C12">
        <w:rPr>
          <w:rFonts w:ascii="Book Antiqua" w:hAnsi="Book Antiqua"/>
          <w:b/>
          <w:i/>
          <w:smallCaps/>
          <w:szCs w:val="24"/>
          <w:lang w:val="es-ES_tradnl"/>
        </w:rPr>
        <w:t>Conclusión</w:t>
      </w:r>
    </w:p>
    <w:p w14:paraId="15FCCA41" w14:textId="77777777" w:rsidR="0099092B" w:rsidRDefault="0099092B" w:rsidP="004000AE">
      <w:pPr>
        <w:jc w:val="both"/>
        <w:rPr>
          <w:rFonts w:ascii="Book Antiqua" w:hAnsi="Book Antiqua"/>
          <w:lang w:val="es-ES"/>
        </w:rPr>
      </w:pPr>
    </w:p>
    <w:p w14:paraId="6C923A2D" w14:textId="7845EF3C" w:rsidR="00995C19" w:rsidRDefault="00995C19" w:rsidP="004000AE">
      <w:pPr>
        <w:jc w:val="both"/>
        <w:rPr>
          <w:rFonts w:ascii="Book Antiqua" w:hAnsi="Book Antiqua" w:cs="Arial"/>
          <w:lang w:val="es-ES"/>
        </w:rPr>
      </w:pPr>
      <w:r>
        <w:rPr>
          <w:rFonts w:ascii="Book Antiqua" w:hAnsi="Book Antiqua" w:cs="Arial"/>
          <w:lang w:val="es-ES"/>
        </w:rPr>
        <w:t>Luego del análisis legislativo,</w:t>
      </w:r>
      <w:r w:rsidRPr="00995C19">
        <w:rPr>
          <w:rFonts w:ascii="Book Antiqua" w:hAnsi="Book Antiqua" w:cs="Arial"/>
          <w:lang w:val="es-ES"/>
        </w:rPr>
        <w:t xml:space="preserve"> y conforme al marco normativo vigente,</w:t>
      </w:r>
      <w:r w:rsidR="00061538">
        <w:rPr>
          <w:rFonts w:ascii="Book Antiqua" w:hAnsi="Book Antiqua" w:cs="Arial"/>
          <w:lang w:val="es-ES"/>
        </w:rPr>
        <w:t xml:space="preserve"> esta </w:t>
      </w:r>
      <w:r w:rsidRPr="00995C19">
        <w:rPr>
          <w:rFonts w:ascii="Book Antiqua" w:hAnsi="Book Antiqua" w:cs="Arial"/>
          <w:lang w:val="es-ES"/>
        </w:rPr>
        <w:t>medida fortalece las garantías procesales del ciudadano frente a las imputaciones administrativas municipales, sin imponer cargas nuevas a los gobiernos municipales. Asimismo, contribuye a la coherencia entre el Código Municipal y la Ley de Vehículos y Tránsito, y promueve la eficiencia en la gestión de controversias administrativas relacionadas con boletos de tránsito y orden público.</w:t>
      </w:r>
    </w:p>
    <w:p w14:paraId="3341566D" w14:textId="77777777" w:rsidR="00995C19" w:rsidRDefault="00995C19" w:rsidP="004000AE">
      <w:pPr>
        <w:jc w:val="both"/>
        <w:rPr>
          <w:rFonts w:ascii="Book Antiqua" w:hAnsi="Book Antiqua" w:cs="Arial"/>
          <w:lang w:val="es-ES"/>
        </w:rPr>
      </w:pPr>
    </w:p>
    <w:p w14:paraId="693ABEB6" w14:textId="4B9E71C2" w:rsidR="0076466B" w:rsidRPr="00801D43" w:rsidRDefault="0076466B" w:rsidP="004000AE">
      <w:pPr>
        <w:jc w:val="both"/>
        <w:rPr>
          <w:rFonts w:ascii="Book Antiqua" w:hAnsi="Book Antiqua" w:cs="Arial"/>
          <w:lang w:val="es-ES"/>
        </w:rPr>
      </w:pPr>
      <w:r w:rsidRPr="00801D43">
        <w:rPr>
          <w:rFonts w:ascii="Book Antiqua" w:hAnsi="Book Antiqua" w:cs="Arial"/>
          <w:lang w:val="es-ES"/>
        </w:rPr>
        <w:lastRenderedPageBreak/>
        <w:t xml:space="preserve">Por todos los fundamentos </w:t>
      </w:r>
      <w:r w:rsidR="00DD1FCB" w:rsidRPr="00801D43">
        <w:rPr>
          <w:rFonts w:ascii="Book Antiqua" w:hAnsi="Book Antiqua" w:cs="Arial"/>
          <w:lang w:val="es-ES"/>
        </w:rPr>
        <w:t xml:space="preserve">anteriormente </w:t>
      </w:r>
      <w:r w:rsidRPr="00801D43">
        <w:rPr>
          <w:rFonts w:ascii="Book Antiqua" w:hAnsi="Book Antiqua" w:cs="Arial"/>
          <w:lang w:val="es-ES"/>
        </w:rPr>
        <w:t xml:space="preserve">expuestos, </w:t>
      </w:r>
      <w:r w:rsidR="00573AAB" w:rsidRPr="00801D43">
        <w:rPr>
          <w:rFonts w:ascii="Book Antiqua" w:hAnsi="Book Antiqua" w:cs="Arial"/>
          <w:lang w:val="es-ES"/>
        </w:rPr>
        <w:t>la</w:t>
      </w:r>
      <w:r w:rsidRPr="00801D43">
        <w:rPr>
          <w:rFonts w:ascii="Book Antiqua" w:hAnsi="Book Antiqua" w:cs="Arial"/>
          <w:lang w:val="es-ES"/>
        </w:rPr>
        <w:t xml:space="preserve"> </w:t>
      </w:r>
      <w:r w:rsidR="00DD1FCB" w:rsidRPr="00801D43">
        <w:rPr>
          <w:rFonts w:ascii="Book Antiqua" w:hAnsi="Book Antiqua" w:cs="Arial"/>
          <w:lang w:val="es-ES"/>
        </w:rPr>
        <w:t>Comisión</w:t>
      </w:r>
      <w:r w:rsidRPr="00801D43">
        <w:rPr>
          <w:rFonts w:ascii="Book Antiqua" w:hAnsi="Book Antiqua" w:cs="Arial"/>
          <w:lang w:val="es-ES"/>
        </w:rPr>
        <w:t xml:space="preserve"> de Asuntos Municipales</w:t>
      </w:r>
      <w:r w:rsidR="00FE1B47" w:rsidRPr="00801D43">
        <w:rPr>
          <w:rFonts w:ascii="Book Antiqua" w:hAnsi="Book Antiqua" w:cs="Arial"/>
          <w:lang w:val="es-ES"/>
        </w:rPr>
        <w:t xml:space="preserve"> </w:t>
      </w:r>
      <w:r w:rsidRPr="00801D43">
        <w:rPr>
          <w:rFonts w:ascii="Book Antiqua" w:hAnsi="Book Antiqua" w:cs="Arial"/>
          <w:lang w:val="es-ES"/>
        </w:rPr>
        <w:t>de la Cámara de Representantes, recomienda a este Alto Cuerpo la aprobación de</w:t>
      </w:r>
      <w:r w:rsidR="005665D9">
        <w:rPr>
          <w:rFonts w:ascii="Book Antiqua" w:hAnsi="Book Antiqua" w:cs="Arial"/>
          <w:lang w:val="es-ES"/>
        </w:rPr>
        <w:t xml:space="preserve">l Proyecto del Senado </w:t>
      </w:r>
      <w:r w:rsidR="000E5DC1">
        <w:rPr>
          <w:rFonts w:ascii="Book Antiqua" w:hAnsi="Book Antiqua" w:cs="Arial"/>
          <w:lang w:val="es-ES"/>
        </w:rPr>
        <w:t>18</w:t>
      </w:r>
      <w:r w:rsidR="00995C19">
        <w:rPr>
          <w:rFonts w:ascii="Book Antiqua" w:hAnsi="Book Antiqua" w:cs="Arial"/>
          <w:lang w:val="es-ES"/>
        </w:rPr>
        <w:t>,</w:t>
      </w:r>
      <w:r w:rsidR="00DD1FCB" w:rsidRPr="00801D43">
        <w:rPr>
          <w:rFonts w:ascii="Book Antiqua" w:hAnsi="Book Antiqua" w:cs="Arial"/>
          <w:lang w:val="es-ES"/>
        </w:rPr>
        <w:t xml:space="preserve"> </w:t>
      </w:r>
      <w:r w:rsidR="000E5DC1">
        <w:rPr>
          <w:rFonts w:ascii="Book Antiqua" w:hAnsi="Book Antiqua" w:cs="Arial"/>
          <w:lang w:val="es-ES"/>
        </w:rPr>
        <w:t>sin enmiendas.</w:t>
      </w:r>
      <w:r w:rsidR="00DD1FCB" w:rsidRPr="00801D43">
        <w:rPr>
          <w:rFonts w:ascii="Book Antiqua" w:hAnsi="Book Antiqua" w:cs="Arial"/>
          <w:lang w:val="es-ES"/>
        </w:rPr>
        <w:t xml:space="preserve">  </w:t>
      </w:r>
    </w:p>
    <w:p w14:paraId="2D3414A2" w14:textId="77777777" w:rsidR="0076466B" w:rsidRPr="00801D43" w:rsidRDefault="0076466B" w:rsidP="004000AE">
      <w:pPr>
        <w:jc w:val="both"/>
        <w:rPr>
          <w:rFonts w:ascii="Book Antiqua" w:hAnsi="Book Antiqua" w:cs="Arial"/>
          <w:lang w:val="es-ES"/>
        </w:rPr>
      </w:pPr>
    </w:p>
    <w:p w14:paraId="0636930C" w14:textId="77777777" w:rsidR="00AC0B45" w:rsidRPr="00801D43" w:rsidRDefault="00AC0B45" w:rsidP="00AC0B45">
      <w:pPr>
        <w:jc w:val="both"/>
        <w:rPr>
          <w:rFonts w:ascii="Book Antiqua" w:hAnsi="Book Antiqua" w:cs="Arial"/>
          <w:lang w:val="es-ES"/>
        </w:rPr>
      </w:pPr>
      <w:r w:rsidRPr="00801D43">
        <w:rPr>
          <w:rFonts w:ascii="Book Antiqua" w:hAnsi="Book Antiqua" w:cs="Arial"/>
          <w:lang w:val="es-ES"/>
        </w:rPr>
        <w:t>Respetuosamente sometido,</w:t>
      </w:r>
    </w:p>
    <w:p w14:paraId="73C7FD62" w14:textId="77777777" w:rsidR="00AC0B45" w:rsidRPr="00801D43" w:rsidRDefault="00AC0B45" w:rsidP="00AC0B45">
      <w:pPr>
        <w:rPr>
          <w:lang w:val="es-ES"/>
        </w:rPr>
      </w:pPr>
    </w:p>
    <w:p w14:paraId="5A509428" w14:textId="77777777" w:rsidR="00AC0B45" w:rsidRPr="00801D43" w:rsidRDefault="00AC0B45" w:rsidP="00AC0B45">
      <w:pPr>
        <w:rPr>
          <w:lang w:val="es-ES"/>
        </w:rPr>
      </w:pPr>
    </w:p>
    <w:p w14:paraId="4A3B8568" w14:textId="77777777" w:rsidR="00573AAB" w:rsidRPr="00801D43" w:rsidRDefault="00573AAB" w:rsidP="00AC0B45">
      <w:pPr>
        <w:rPr>
          <w:lang w:val="es-ES"/>
        </w:rPr>
      </w:pPr>
    </w:p>
    <w:p w14:paraId="3EC4B2F2" w14:textId="7C9AEA9A" w:rsidR="00304C16" w:rsidRPr="00801D43" w:rsidRDefault="00304C16" w:rsidP="00304C16">
      <w:pPr>
        <w:jc w:val="both"/>
        <w:rPr>
          <w:rFonts w:ascii="Book Antiqua" w:hAnsi="Book Antiqua"/>
          <w:b/>
          <w:i/>
          <w:szCs w:val="24"/>
          <w:lang w:val="es-ES_tradnl"/>
        </w:rPr>
      </w:pPr>
      <w:r w:rsidRPr="00801D43">
        <w:rPr>
          <w:rFonts w:ascii="Book Antiqua" w:hAnsi="Book Antiqua"/>
          <w:b/>
          <w:i/>
          <w:szCs w:val="24"/>
          <w:lang w:val="es-ES_tradnl"/>
        </w:rPr>
        <w:t>Luis</w:t>
      </w:r>
      <w:r w:rsidR="00E05AD7" w:rsidRPr="00801D43">
        <w:rPr>
          <w:rFonts w:ascii="Book Antiqua" w:hAnsi="Book Antiqua"/>
          <w:b/>
          <w:i/>
          <w:szCs w:val="24"/>
          <w:lang w:val="es-ES_tradnl"/>
        </w:rPr>
        <w:t xml:space="preserve"> (Junior)</w:t>
      </w:r>
      <w:r w:rsidRPr="00801D43">
        <w:rPr>
          <w:rFonts w:ascii="Book Antiqua" w:hAnsi="Book Antiqua"/>
          <w:b/>
          <w:i/>
          <w:szCs w:val="24"/>
          <w:lang w:val="es-ES_tradnl"/>
        </w:rPr>
        <w:t xml:space="preserve"> Pérez Ortiz</w:t>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p>
    <w:p w14:paraId="1293D745" w14:textId="629B90CC" w:rsidR="00AC0B45" w:rsidRPr="00801D43" w:rsidRDefault="00AC0B45" w:rsidP="00AC0B45">
      <w:pPr>
        <w:jc w:val="both"/>
        <w:rPr>
          <w:rFonts w:ascii="Book Antiqua" w:hAnsi="Book Antiqua" w:cs="Arial"/>
          <w:lang w:val="es-ES"/>
        </w:rPr>
      </w:pPr>
      <w:r w:rsidRPr="00801D43">
        <w:rPr>
          <w:rFonts w:ascii="Book Antiqua" w:hAnsi="Book Antiqua" w:cs="Arial"/>
          <w:lang w:val="es-ES"/>
        </w:rPr>
        <w:t>Presidente</w:t>
      </w:r>
      <w:r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p>
    <w:p w14:paraId="3D9F1629" w14:textId="4CC2A75E" w:rsidR="00AC0B45" w:rsidRPr="002F2243" w:rsidRDefault="00AC0B45" w:rsidP="005E345A">
      <w:pPr>
        <w:jc w:val="both"/>
        <w:rPr>
          <w:rFonts w:ascii="Book Antiqua" w:hAnsi="Book Antiqua" w:cs="Arial"/>
          <w:lang w:val="es-ES"/>
        </w:rPr>
      </w:pPr>
      <w:r w:rsidRPr="00801D43">
        <w:rPr>
          <w:rFonts w:ascii="Book Antiqua" w:hAnsi="Book Antiqua" w:cs="Arial"/>
          <w:lang w:val="es-ES"/>
        </w:rPr>
        <w:t xml:space="preserve">Comisión de Asuntos Municipales   </w:t>
      </w:r>
      <w:r w:rsidR="00FE1B47" w:rsidRPr="00801D43">
        <w:rPr>
          <w:rFonts w:ascii="Book Antiqua" w:hAnsi="Book Antiqua" w:cs="Arial"/>
          <w:lang w:val="es-ES"/>
        </w:rPr>
        <w:tab/>
      </w:r>
      <w:r w:rsidR="00FE1B47">
        <w:rPr>
          <w:rFonts w:ascii="Book Antiqua" w:hAnsi="Book Antiqua" w:cs="Arial"/>
          <w:lang w:val="es-ES"/>
        </w:rPr>
        <w:tab/>
      </w:r>
      <w:r w:rsidR="00FE1B47">
        <w:rPr>
          <w:rFonts w:ascii="Book Antiqua" w:hAnsi="Book Antiqua" w:cs="Arial"/>
          <w:lang w:val="es-ES"/>
        </w:rPr>
        <w:tab/>
      </w:r>
      <w:r w:rsidR="00FE1B47">
        <w:rPr>
          <w:rFonts w:ascii="Book Antiqua" w:hAnsi="Book Antiqua" w:cs="Arial"/>
          <w:lang w:val="es-ES"/>
        </w:rPr>
        <w:tab/>
        <w:t xml:space="preserve"> </w:t>
      </w:r>
    </w:p>
    <w:sectPr w:rsidR="00AC0B45" w:rsidRPr="002F2243"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EA15A" w14:textId="77777777" w:rsidR="00F5568C" w:rsidRDefault="00F5568C" w:rsidP="006705DD">
      <w:r>
        <w:separator/>
      </w:r>
    </w:p>
  </w:endnote>
  <w:endnote w:type="continuationSeparator" w:id="0">
    <w:p w14:paraId="0995140C" w14:textId="77777777" w:rsidR="00F5568C" w:rsidRDefault="00F5568C"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4CF3ABD8"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51C69"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r w:rsidR="00FE1B47">
      <w:rPr>
        <w:rFonts w:ascii="Book Antiqua" w:hAnsi="Book Antiqua"/>
        <w:i/>
        <w:sz w:val="22"/>
        <w:szCs w:val="22"/>
        <w:lang w:val="es-ES"/>
      </w:rPr>
      <w:t xml:space="preserve"> </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94608" w14:textId="77777777" w:rsidR="00F5568C" w:rsidRDefault="00F5568C" w:rsidP="006705DD">
      <w:r>
        <w:separator/>
      </w:r>
    </w:p>
  </w:footnote>
  <w:footnote w:type="continuationSeparator" w:id="0">
    <w:p w14:paraId="121550F9" w14:textId="77777777" w:rsidR="00F5568C" w:rsidRDefault="00F5568C"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48D4504C"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021FF1"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887B5A">
      <w:rPr>
        <w:rStyle w:val="PageNumber"/>
        <w:rFonts w:ascii="Book Antiqua" w:hAnsi="Book Antiqua"/>
        <w:i/>
        <w:sz w:val="22"/>
        <w:szCs w:val="22"/>
        <w:lang w:val="es-PR"/>
      </w:rPr>
      <w:t xml:space="preserve">P. del S. </w:t>
    </w:r>
    <w:r w:rsidR="000E5DC1">
      <w:rPr>
        <w:rStyle w:val="PageNumber"/>
        <w:rFonts w:ascii="Book Antiqua" w:hAnsi="Book Antiqua"/>
        <w:i/>
        <w:sz w:val="22"/>
        <w:szCs w:val="22"/>
        <w:lang w:val="es-PR"/>
      </w:rPr>
      <w:t>18</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2"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8"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13"/>
  </w:num>
  <w:num w:numId="3" w16cid:durableId="150217024">
    <w:abstractNumId w:val="14"/>
  </w:num>
  <w:num w:numId="4" w16cid:durableId="1144077218">
    <w:abstractNumId w:val="7"/>
  </w:num>
  <w:num w:numId="5" w16cid:durableId="1391071492">
    <w:abstractNumId w:val="16"/>
  </w:num>
  <w:num w:numId="6" w16cid:durableId="1887521205">
    <w:abstractNumId w:val="15"/>
  </w:num>
  <w:num w:numId="7" w16cid:durableId="17200089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2"/>
  </w:num>
  <w:num w:numId="9" w16cid:durableId="978419079">
    <w:abstractNumId w:val="6"/>
  </w:num>
  <w:num w:numId="10" w16cid:durableId="1920630375">
    <w:abstractNumId w:val="5"/>
  </w:num>
  <w:num w:numId="11" w16cid:durableId="1876967153">
    <w:abstractNumId w:val="2"/>
  </w:num>
  <w:num w:numId="12" w16cid:durableId="1030955634">
    <w:abstractNumId w:val="18"/>
  </w:num>
  <w:num w:numId="13" w16cid:durableId="1443761483">
    <w:abstractNumId w:val="10"/>
  </w:num>
  <w:num w:numId="14" w16cid:durableId="317928374">
    <w:abstractNumId w:val="19"/>
  </w:num>
  <w:num w:numId="15" w16cid:durableId="1784879955">
    <w:abstractNumId w:val="20"/>
  </w:num>
  <w:num w:numId="16" w16cid:durableId="1263222138">
    <w:abstractNumId w:val="3"/>
  </w:num>
  <w:num w:numId="17" w16cid:durableId="663701081">
    <w:abstractNumId w:val="1"/>
  </w:num>
  <w:num w:numId="18" w16cid:durableId="2086878990">
    <w:abstractNumId w:val="11"/>
  </w:num>
  <w:num w:numId="19" w16cid:durableId="953445716">
    <w:abstractNumId w:val="17"/>
  </w:num>
  <w:num w:numId="20" w16cid:durableId="1211067804">
    <w:abstractNumId w:val="4"/>
  </w:num>
  <w:num w:numId="21" w16cid:durableId="18273579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647C"/>
    <w:rsid w:val="00040D4F"/>
    <w:rsid w:val="0004232E"/>
    <w:rsid w:val="0004456A"/>
    <w:rsid w:val="000507DD"/>
    <w:rsid w:val="000549AC"/>
    <w:rsid w:val="00061538"/>
    <w:rsid w:val="00062C12"/>
    <w:rsid w:val="0006657A"/>
    <w:rsid w:val="00084B35"/>
    <w:rsid w:val="00093070"/>
    <w:rsid w:val="00093599"/>
    <w:rsid w:val="000A0DD0"/>
    <w:rsid w:val="000A13AD"/>
    <w:rsid w:val="000A36B0"/>
    <w:rsid w:val="000A3926"/>
    <w:rsid w:val="000A55EE"/>
    <w:rsid w:val="000C66D1"/>
    <w:rsid w:val="000D4ACC"/>
    <w:rsid w:val="000E2315"/>
    <w:rsid w:val="000E328C"/>
    <w:rsid w:val="000E4B80"/>
    <w:rsid w:val="000E5DC1"/>
    <w:rsid w:val="000E66EE"/>
    <w:rsid w:val="00103081"/>
    <w:rsid w:val="00104793"/>
    <w:rsid w:val="00105310"/>
    <w:rsid w:val="00105E0D"/>
    <w:rsid w:val="00115CCE"/>
    <w:rsid w:val="00126B90"/>
    <w:rsid w:val="001319DA"/>
    <w:rsid w:val="00144AFF"/>
    <w:rsid w:val="0014633D"/>
    <w:rsid w:val="00147634"/>
    <w:rsid w:val="00152E5E"/>
    <w:rsid w:val="001632EC"/>
    <w:rsid w:val="00163B5C"/>
    <w:rsid w:val="00165840"/>
    <w:rsid w:val="00170953"/>
    <w:rsid w:val="0017614C"/>
    <w:rsid w:val="001A39D1"/>
    <w:rsid w:val="001B2971"/>
    <w:rsid w:val="001C6904"/>
    <w:rsid w:val="001D0ABB"/>
    <w:rsid w:val="001E2BBC"/>
    <w:rsid w:val="001E571B"/>
    <w:rsid w:val="001E58FE"/>
    <w:rsid w:val="001F0094"/>
    <w:rsid w:val="001F2A92"/>
    <w:rsid w:val="00214189"/>
    <w:rsid w:val="002169FB"/>
    <w:rsid w:val="0023264E"/>
    <w:rsid w:val="002335EA"/>
    <w:rsid w:val="00235393"/>
    <w:rsid w:val="002360B5"/>
    <w:rsid w:val="002370D3"/>
    <w:rsid w:val="00244C04"/>
    <w:rsid w:val="00245609"/>
    <w:rsid w:val="00253858"/>
    <w:rsid w:val="00261114"/>
    <w:rsid w:val="00276BDD"/>
    <w:rsid w:val="002808F0"/>
    <w:rsid w:val="00281A3B"/>
    <w:rsid w:val="00284479"/>
    <w:rsid w:val="00290C4B"/>
    <w:rsid w:val="00296D3F"/>
    <w:rsid w:val="002971A4"/>
    <w:rsid w:val="002B3B61"/>
    <w:rsid w:val="002B670A"/>
    <w:rsid w:val="002D4B38"/>
    <w:rsid w:val="002D5796"/>
    <w:rsid w:val="002F2243"/>
    <w:rsid w:val="002F2860"/>
    <w:rsid w:val="002F58EB"/>
    <w:rsid w:val="002F60E4"/>
    <w:rsid w:val="00304C16"/>
    <w:rsid w:val="00327EDE"/>
    <w:rsid w:val="00330D59"/>
    <w:rsid w:val="00352C61"/>
    <w:rsid w:val="00353EC5"/>
    <w:rsid w:val="00361144"/>
    <w:rsid w:val="003618E3"/>
    <w:rsid w:val="00364DCF"/>
    <w:rsid w:val="00365790"/>
    <w:rsid w:val="003700E9"/>
    <w:rsid w:val="00381FCA"/>
    <w:rsid w:val="00397AC7"/>
    <w:rsid w:val="003A69EF"/>
    <w:rsid w:val="003B1D9A"/>
    <w:rsid w:val="003B644B"/>
    <w:rsid w:val="003B6C74"/>
    <w:rsid w:val="003D07D2"/>
    <w:rsid w:val="003E749F"/>
    <w:rsid w:val="003F0372"/>
    <w:rsid w:val="003F2DE1"/>
    <w:rsid w:val="003F7352"/>
    <w:rsid w:val="003F7F49"/>
    <w:rsid w:val="004000AE"/>
    <w:rsid w:val="0042474F"/>
    <w:rsid w:val="00427040"/>
    <w:rsid w:val="00437BDC"/>
    <w:rsid w:val="00440C62"/>
    <w:rsid w:val="00441AE7"/>
    <w:rsid w:val="00441DE5"/>
    <w:rsid w:val="004538A3"/>
    <w:rsid w:val="004641B9"/>
    <w:rsid w:val="00465358"/>
    <w:rsid w:val="004663D5"/>
    <w:rsid w:val="004719B8"/>
    <w:rsid w:val="004733FF"/>
    <w:rsid w:val="004833A3"/>
    <w:rsid w:val="004C0E27"/>
    <w:rsid w:val="004D66E8"/>
    <w:rsid w:val="004E1C6B"/>
    <w:rsid w:val="0050015A"/>
    <w:rsid w:val="0050357A"/>
    <w:rsid w:val="0052307A"/>
    <w:rsid w:val="005300B1"/>
    <w:rsid w:val="00531976"/>
    <w:rsid w:val="00540C4E"/>
    <w:rsid w:val="00553376"/>
    <w:rsid w:val="005665D9"/>
    <w:rsid w:val="005670CC"/>
    <w:rsid w:val="00573AAB"/>
    <w:rsid w:val="00575591"/>
    <w:rsid w:val="00584F82"/>
    <w:rsid w:val="005852B6"/>
    <w:rsid w:val="005865D6"/>
    <w:rsid w:val="00592912"/>
    <w:rsid w:val="00597725"/>
    <w:rsid w:val="005B5660"/>
    <w:rsid w:val="005D4247"/>
    <w:rsid w:val="005E32A2"/>
    <w:rsid w:val="005E345A"/>
    <w:rsid w:val="005F2117"/>
    <w:rsid w:val="005F57EA"/>
    <w:rsid w:val="00605B06"/>
    <w:rsid w:val="00610D55"/>
    <w:rsid w:val="00624B6C"/>
    <w:rsid w:val="00625848"/>
    <w:rsid w:val="00627101"/>
    <w:rsid w:val="006439F1"/>
    <w:rsid w:val="00651F6C"/>
    <w:rsid w:val="00663552"/>
    <w:rsid w:val="006705DD"/>
    <w:rsid w:val="00677ADE"/>
    <w:rsid w:val="006A2B0F"/>
    <w:rsid w:val="006A2E89"/>
    <w:rsid w:val="006A384C"/>
    <w:rsid w:val="006A627D"/>
    <w:rsid w:val="006B0E23"/>
    <w:rsid w:val="006C6F08"/>
    <w:rsid w:val="006D2DAD"/>
    <w:rsid w:val="006E01C3"/>
    <w:rsid w:val="006F31C3"/>
    <w:rsid w:val="006F45AD"/>
    <w:rsid w:val="0070231A"/>
    <w:rsid w:val="00706B87"/>
    <w:rsid w:val="0071164C"/>
    <w:rsid w:val="00716D4F"/>
    <w:rsid w:val="00726C66"/>
    <w:rsid w:val="00744889"/>
    <w:rsid w:val="007526B6"/>
    <w:rsid w:val="00757B0E"/>
    <w:rsid w:val="0076466B"/>
    <w:rsid w:val="0076672E"/>
    <w:rsid w:val="007767FD"/>
    <w:rsid w:val="00787CC3"/>
    <w:rsid w:val="00796D86"/>
    <w:rsid w:val="007A3330"/>
    <w:rsid w:val="007A43CD"/>
    <w:rsid w:val="007A4D9A"/>
    <w:rsid w:val="007A52BD"/>
    <w:rsid w:val="007B1F4C"/>
    <w:rsid w:val="007B737C"/>
    <w:rsid w:val="007C1FB4"/>
    <w:rsid w:val="007C5402"/>
    <w:rsid w:val="007D483B"/>
    <w:rsid w:val="007D502B"/>
    <w:rsid w:val="007E56F0"/>
    <w:rsid w:val="00801D43"/>
    <w:rsid w:val="0080494A"/>
    <w:rsid w:val="0082461D"/>
    <w:rsid w:val="0083160D"/>
    <w:rsid w:val="00835666"/>
    <w:rsid w:val="00855DDC"/>
    <w:rsid w:val="00856C3D"/>
    <w:rsid w:val="00866623"/>
    <w:rsid w:val="00873014"/>
    <w:rsid w:val="0087387B"/>
    <w:rsid w:val="0087700A"/>
    <w:rsid w:val="00887B5A"/>
    <w:rsid w:val="008945B2"/>
    <w:rsid w:val="008B5837"/>
    <w:rsid w:val="008C4E1E"/>
    <w:rsid w:val="008D3AED"/>
    <w:rsid w:val="008E3FE1"/>
    <w:rsid w:val="008E55BC"/>
    <w:rsid w:val="008E5C47"/>
    <w:rsid w:val="008F3240"/>
    <w:rsid w:val="0090782C"/>
    <w:rsid w:val="00916851"/>
    <w:rsid w:val="0091696B"/>
    <w:rsid w:val="00931E0E"/>
    <w:rsid w:val="00944B6E"/>
    <w:rsid w:val="00947E95"/>
    <w:rsid w:val="00950543"/>
    <w:rsid w:val="0098155A"/>
    <w:rsid w:val="00981CB1"/>
    <w:rsid w:val="00986544"/>
    <w:rsid w:val="009866B1"/>
    <w:rsid w:val="00986838"/>
    <w:rsid w:val="0099092B"/>
    <w:rsid w:val="009912EA"/>
    <w:rsid w:val="00995340"/>
    <w:rsid w:val="00995C19"/>
    <w:rsid w:val="009A0D8D"/>
    <w:rsid w:val="009A24F9"/>
    <w:rsid w:val="009B6AF1"/>
    <w:rsid w:val="009D50C3"/>
    <w:rsid w:val="009D7AE4"/>
    <w:rsid w:val="009E097D"/>
    <w:rsid w:val="009F1CEE"/>
    <w:rsid w:val="009F71A9"/>
    <w:rsid w:val="00A00B79"/>
    <w:rsid w:val="00A06D24"/>
    <w:rsid w:val="00A107E2"/>
    <w:rsid w:val="00A2744F"/>
    <w:rsid w:val="00A338D0"/>
    <w:rsid w:val="00A361F6"/>
    <w:rsid w:val="00A42BD2"/>
    <w:rsid w:val="00A43C41"/>
    <w:rsid w:val="00A51AED"/>
    <w:rsid w:val="00A56BC5"/>
    <w:rsid w:val="00A608EE"/>
    <w:rsid w:val="00A6590F"/>
    <w:rsid w:val="00A83496"/>
    <w:rsid w:val="00A975A9"/>
    <w:rsid w:val="00AC0B45"/>
    <w:rsid w:val="00AE53C7"/>
    <w:rsid w:val="00B11907"/>
    <w:rsid w:val="00B30485"/>
    <w:rsid w:val="00B34FF4"/>
    <w:rsid w:val="00B41EA0"/>
    <w:rsid w:val="00B42919"/>
    <w:rsid w:val="00B64DBC"/>
    <w:rsid w:val="00B656A1"/>
    <w:rsid w:val="00B75683"/>
    <w:rsid w:val="00B76FC7"/>
    <w:rsid w:val="00B95434"/>
    <w:rsid w:val="00B958BB"/>
    <w:rsid w:val="00B97282"/>
    <w:rsid w:val="00BB04FE"/>
    <w:rsid w:val="00BC388C"/>
    <w:rsid w:val="00BC4AEA"/>
    <w:rsid w:val="00BE62B2"/>
    <w:rsid w:val="00BF2933"/>
    <w:rsid w:val="00BF2EA2"/>
    <w:rsid w:val="00BF399D"/>
    <w:rsid w:val="00C0097E"/>
    <w:rsid w:val="00C0489D"/>
    <w:rsid w:val="00C04CC4"/>
    <w:rsid w:val="00C05074"/>
    <w:rsid w:val="00C20727"/>
    <w:rsid w:val="00C23448"/>
    <w:rsid w:val="00C31BB0"/>
    <w:rsid w:val="00C445E0"/>
    <w:rsid w:val="00C54F93"/>
    <w:rsid w:val="00C55349"/>
    <w:rsid w:val="00C70147"/>
    <w:rsid w:val="00C72BDF"/>
    <w:rsid w:val="00C746E5"/>
    <w:rsid w:val="00C759E8"/>
    <w:rsid w:val="00CA25B9"/>
    <w:rsid w:val="00CA25DD"/>
    <w:rsid w:val="00CB5F06"/>
    <w:rsid w:val="00CB75CE"/>
    <w:rsid w:val="00CC0AC2"/>
    <w:rsid w:val="00CD7998"/>
    <w:rsid w:val="00CE1E51"/>
    <w:rsid w:val="00CE50B0"/>
    <w:rsid w:val="00CE6859"/>
    <w:rsid w:val="00CE7FD0"/>
    <w:rsid w:val="00CF3279"/>
    <w:rsid w:val="00CF59F5"/>
    <w:rsid w:val="00D01039"/>
    <w:rsid w:val="00D10164"/>
    <w:rsid w:val="00D128BF"/>
    <w:rsid w:val="00D36F4D"/>
    <w:rsid w:val="00D44AB3"/>
    <w:rsid w:val="00D752D6"/>
    <w:rsid w:val="00D75329"/>
    <w:rsid w:val="00D86496"/>
    <w:rsid w:val="00D905F2"/>
    <w:rsid w:val="00DA02ED"/>
    <w:rsid w:val="00DA09E1"/>
    <w:rsid w:val="00DA29A7"/>
    <w:rsid w:val="00DA7015"/>
    <w:rsid w:val="00DB74EB"/>
    <w:rsid w:val="00DD1DC0"/>
    <w:rsid w:val="00DD1FCB"/>
    <w:rsid w:val="00E05AD7"/>
    <w:rsid w:val="00E102E9"/>
    <w:rsid w:val="00E227DF"/>
    <w:rsid w:val="00E24F6A"/>
    <w:rsid w:val="00E27A93"/>
    <w:rsid w:val="00E3239A"/>
    <w:rsid w:val="00E35958"/>
    <w:rsid w:val="00E359DB"/>
    <w:rsid w:val="00E44ACE"/>
    <w:rsid w:val="00E46361"/>
    <w:rsid w:val="00E47CDB"/>
    <w:rsid w:val="00E51889"/>
    <w:rsid w:val="00E54D41"/>
    <w:rsid w:val="00E61D3F"/>
    <w:rsid w:val="00E662B1"/>
    <w:rsid w:val="00E66D25"/>
    <w:rsid w:val="00E70E1E"/>
    <w:rsid w:val="00E8150B"/>
    <w:rsid w:val="00E87DFC"/>
    <w:rsid w:val="00EA1A07"/>
    <w:rsid w:val="00EA3AB4"/>
    <w:rsid w:val="00EB166E"/>
    <w:rsid w:val="00EB1E3E"/>
    <w:rsid w:val="00EC6777"/>
    <w:rsid w:val="00EC6989"/>
    <w:rsid w:val="00ED6D04"/>
    <w:rsid w:val="00EE5D67"/>
    <w:rsid w:val="00EE6540"/>
    <w:rsid w:val="00F043A8"/>
    <w:rsid w:val="00F04A9A"/>
    <w:rsid w:val="00F11058"/>
    <w:rsid w:val="00F173C8"/>
    <w:rsid w:val="00F179C6"/>
    <w:rsid w:val="00F21142"/>
    <w:rsid w:val="00F447FF"/>
    <w:rsid w:val="00F4737F"/>
    <w:rsid w:val="00F503BB"/>
    <w:rsid w:val="00F53856"/>
    <w:rsid w:val="00F5568C"/>
    <w:rsid w:val="00F664B4"/>
    <w:rsid w:val="00F719B8"/>
    <w:rsid w:val="00FC11CC"/>
    <w:rsid w:val="00FC7A0C"/>
    <w:rsid w:val="00FD11BF"/>
    <w:rsid w:val="00FD12EB"/>
    <w:rsid w:val="00FD661C"/>
    <w:rsid w:val="00FE1B47"/>
    <w:rsid w:val="00FE4E48"/>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56A"/>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E86AC-B1C1-407B-A811-28B7086AA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1995</Words>
  <Characters>10824</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2025-06-03T13:42:00Z</cp:lastPrinted>
  <dcterms:created xsi:type="dcterms:W3CDTF">2025-06-10T19:08:00Z</dcterms:created>
  <dcterms:modified xsi:type="dcterms:W3CDTF">2025-06-10T19:08:00Z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