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shd w:val="clear" w:color="auto" w:fill="auto"/>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shd w:val="clear" w:color="auto" w:fill="auto"/>
          </w:tcPr>
          <w:p w14:paraId="48FE9142" w14:textId="77777777" w:rsidR="007535BB" w:rsidRPr="00B35ECA" w:rsidRDefault="007535BB" w:rsidP="00D95836">
            <w:pPr>
              <w:jc w:val="center"/>
              <w:rPr>
                <w:rFonts w:ascii="Book Antiqua" w:hAnsi="Book Antiqua"/>
                <w:sz w:val="36"/>
                <w:lang w:val="es-ES_tradnl"/>
              </w:rPr>
            </w:pPr>
          </w:p>
        </w:tc>
        <w:tc>
          <w:tcPr>
            <w:tcW w:w="3268" w:type="dxa"/>
            <w:shd w:val="clear" w:color="auto" w:fill="auto"/>
          </w:tcPr>
          <w:p w14:paraId="69176C76" w14:textId="77777777" w:rsidR="007535BB" w:rsidRPr="00B35ECA" w:rsidRDefault="007535BB" w:rsidP="00D95836">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t>1</w:t>
            </w:r>
            <w:r w:rsidRPr="00B35ECA">
              <w:rPr>
                <w:rFonts w:ascii="Book Antiqua" w:hAnsi="Book Antiqua"/>
                <w:vertAlign w:val="superscript"/>
                <w:lang w:val="es-ES_tradnl"/>
              </w:rPr>
              <w:t>ra.</w:t>
            </w:r>
            <w:r w:rsidRPr="00B35ECA">
              <w:rPr>
                <w:rFonts w:ascii="Book Antiqua" w:hAnsi="Book Antiqua"/>
                <w:lang w:val="es-ES_tradnl"/>
              </w:rPr>
              <w:t xml:space="preserve"> Sesión</w:t>
            </w:r>
          </w:p>
          <w:p w14:paraId="42A8E2C1" w14:textId="77777777"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w:t>
            </w:r>
            <w:r w:rsidR="001B5218">
              <w:rPr>
                <w:rFonts w:ascii="Book Antiqua" w:hAnsi="Book Antiqua"/>
                <w:lang w:val="es-ES_tradnl"/>
              </w:rPr>
              <w:t xml:space="preserve">    </w:t>
            </w:r>
            <w:r w:rsidRPr="00B35ECA">
              <w:rPr>
                <w:rFonts w:ascii="Book Antiqua" w:hAnsi="Book Antiqua"/>
                <w:lang w:val="es-ES_tradnl"/>
              </w:rPr>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77777777"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4D2BC7">
        <w:rPr>
          <w:rFonts w:ascii="Book Antiqua" w:hAnsi="Book Antiqua"/>
          <w:b/>
          <w:sz w:val="52"/>
          <w:lang w:val="es-ES_tradnl"/>
        </w:rPr>
        <w:t>19</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2ED1E94B" w:rsidR="001B5218" w:rsidRPr="005E150B" w:rsidRDefault="006C0248" w:rsidP="0027212A">
      <w:pPr>
        <w:spacing w:line="360" w:lineRule="auto"/>
        <w:jc w:val="center"/>
        <w:rPr>
          <w:rFonts w:ascii="Book Antiqua" w:hAnsi="Book Antiqua"/>
          <w:lang w:val="es-ES_tradnl"/>
        </w:rPr>
      </w:pPr>
      <w:r>
        <w:rPr>
          <w:rFonts w:ascii="Book Antiqua" w:hAnsi="Book Antiqua"/>
          <w:lang w:val="es-ES_tradnl"/>
        </w:rPr>
        <w:t>7</w:t>
      </w:r>
      <w:r w:rsidR="001B5218" w:rsidRPr="005E150B">
        <w:rPr>
          <w:rFonts w:ascii="Book Antiqua" w:hAnsi="Book Antiqua"/>
          <w:lang w:val="es-ES_tradnl"/>
        </w:rPr>
        <w:t xml:space="preserve"> de </w:t>
      </w:r>
      <w:r w:rsidR="00D13D23" w:rsidRPr="005E150B">
        <w:rPr>
          <w:rFonts w:ascii="Book Antiqua" w:hAnsi="Book Antiqua"/>
          <w:lang w:val="es-ES_tradnl"/>
        </w:rPr>
        <w:t>marzo de 2025</w:t>
      </w:r>
    </w:p>
    <w:bookmarkEnd w:id="2"/>
    <w:bookmarkEnd w:id="3"/>
    <w:p w14:paraId="518A096B" w14:textId="77777777" w:rsidR="005B2884" w:rsidRPr="00E14B9C" w:rsidRDefault="001B5218" w:rsidP="001B5218">
      <w:pPr>
        <w:tabs>
          <w:tab w:val="left" w:pos="-720"/>
        </w:tabs>
        <w:suppressAutoHyphens/>
        <w:spacing w:before="240" w:after="240" w:line="240" w:lineRule="atLeast"/>
        <w:rPr>
          <w:rFonts w:ascii="Book Antiqua" w:hAnsi="Book Antiqua"/>
          <w:szCs w:val="24"/>
          <w:lang w:val="es-ES_tradnl"/>
        </w:rPr>
      </w:pPr>
      <w:r>
        <w:rPr>
          <w:rFonts w:ascii="Book Antiqua" w:hAnsi="Book Antiqua"/>
          <w:b/>
          <w:szCs w:val="24"/>
          <w:lang w:val="es-ES_tradnl"/>
        </w:rPr>
        <w:t xml:space="preserve">AL SENADO DE DE PUERTO RICO: </w:t>
      </w:r>
    </w:p>
    <w:p w14:paraId="37982730" w14:textId="77777777" w:rsidR="005B2884" w:rsidRPr="00540DDE" w:rsidRDefault="00A52CD9" w:rsidP="00006DDC">
      <w:pPr>
        <w:suppressAutoHyphens/>
        <w:jc w:val="both"/>
        <w:rPr>
          <w:rFonts w:ascii="Book Antiqua" w:hAnsi="Book Antiqua"/>
          <w:spacing w:val="-3"/>
          <w:lang w:val="es-ES_tradnl"/>
        </w:rPr>
      </w:pPr>
      <w:r>
        <w:rPr>
          <w:rFonts w:ascii="Book Antiqua" w:hAnsi="Book Antiqua"/>
          <w:spacing w:val="-3"/>
          <w:lang w:val="es-ES_tradnl"/>
        </w:rPr>
        <w:t xml:space="preserve">      </w:t>
      </w:r>
      <w:r w:rsidR="001B5218">
        <w:rPr>
          <w:rFonts w:ascii="Book Antiqua" w:hAnsi="Book Antiqua"/>
          <w:spacing w:val="-3"/>
          <w:lang w:val="es-ES_tradnl"/>
        </w:rPr>
        <w:t>La Comisión de Vivienda y Bienestar Social del Senado de Puerto Rico, previo estudio concienzudo y consideración, tiene a bien recomendar a este Alto Cuerpo la aprobación del Proyecto del Senado 19, con las enmiendas contenidas en el entirillado electrónico que se acompaña</w:t>
      </w:r>
      <w:r w:rsidR="002C402D">
        <w:rPr>
          <w:rFonts w:ascii="Book Antiqua" w:hAnsi="Book Antiqua"/>
          <w:spacing w:val="-3"/>
          <w:lang w:val="es-ES_tradnl"/>
        </w:rPr>
        <w:t xml:space="preserve">. </w:t>
      </w:r>
    </w:p>
    <w:p w14:paraId="632423B1" w14:textId="77777777" w:rsidR="0024131E" w:rsidRPr="001B5218" w:rsidRDefault="001B5218" w:rsidP="0027212A">
      <w:pPr>
        <w:tabs>
          <w:tab w:val="left" w:pos="-720"/>
        </w:tabs>
        <w:suppressAutoHyphens/>
        <w:spacing w:before="240" w:after="240"/>
        <w:jc w:val="center"/>
        <w:rPr>
          <w:rFonts w:ascii="Book Antiqua" w:hAnsi="Book Antiqua"/>
          <w:b/>
          <w:bCs/>
          <w:szCs w:val="24"/>
          <w:lang w:val="es-ES_tradnl"/>
        </w:rPr>
      </w:pPr>
      <w:r>
        <w:rPr>
          <w:rFonts w:ascii="Book Antiqua" w:hAnsi="Book Antiqua"/>
          <w:b/>
          <w:bCs/>
          <w:szCs w:val="24"/>
          <w:lang w:val="es-ES_tradnl"/>
        </w:rPr>
        <w:t xml:space="preserve">ALCANCE DE LA MEDIDA </w:t>
      </w:r>
    </w:p>
    <w:p w14:paraId="7C7A3389" w14:textId="77777777" w:rsidR="006F51A8" w:rsidRDefault="001B5218" w:rsidP="00006DDC">
      <w:pPr>
        <w:tabs>
          <w:tab w:val="left" w:pos="-720"/>
        </w:tabs>
        <w:suppressAutoHyphens/>
        <w:ind w:firstLine="360"/>
        <w:jc w:val="both"/>
        <w:rPr>
          <w:rFonts w:ascii="Book Antiqua" w:hAnsi="Book Antiqua"/>
          <w:lang w:val="es-PR"/>
        </w:rPr>
      </w:pPr>
      <w:r>
        <w:rPr>
          <w:rFonts w:ascii="Book Antiqua" w:hAnsi="Book Antiqua"/>
          <w:lang w:val="es-PR"/>
        </w:rPr>
        <w:t>El Proyecto del Senado 19, según radicado, tiene como propósito, “</w:t>
      </w:r>
      <w:r w:rsidRPr="001B5218">
        <w:rPr>
          <w:rFonts w:ascii="Book Antiqua" w:hAnsi="Book Antiqua"/>
          <w:lang w:val="es-PR"/>
        </w:rPr>
        <w:t>enmendar la Sección 2 de la Ley 132-2010, según enmendada, conocida como Ley de Estímulo al Mercado de Propiedades Inmuebles a los fines de extender por 15 años la exención contributiva por el ingreso devengado por concepto de renta de propiedad residencial; excluir de la definición del término arrendador elegible el arrendamiento de alojamiento suplementario a corto plazo</w:t>
      </w:r>
      <w:r>
        <w:rPr>
          <w:rFonts w:ascii="Book Antiqua" w:hAnsi="Book Antiqua"/>
          <w:lang w:val="es-PR"/>
        </w:rPr>
        <w:t>.”</w:t>
      </w:r>
      <w:r w:rsidR="006F226E">
        <w:rPr>
          <w:rFonts w:ascii="Book Antiqua" w:hAnsi="Book Antiqua"/>
          <w:lang w:val="es-PR"/>
        </w:rPr>
        <w:t xml:space="preserve"> Primordialmente, su finalidad consiste en acrecentar el impacto negativo que ha provocado la inflación </w:t>
      </w:r>
      <w:r w:rsidR="006F51A8">
        <w:rPr>
          <w:rFonts w:ascii="Book Antiqua" w:hAnsi="Book Antiqua"/>
          <w:lang w:val="es-PR"/>
        </w:rPr>
        <w:t xml:space="preserve">en los costos del arrendamiento de propiedades residenciales. La inflación elevaría el impacto negativo de manera dramática si expira en 2025 la exención sobre los ingresos devengados por el arrendamiento de propiedades residenciales. </w:t>
      </w:r>
    </w:p>
    <w:p w14:paraId="771800BC" w14:textId="77777777" w:rsidR="00A06A16" w:rsidRDefault="00A06A16" w:rsidP="006F51A8">
      <w:pPr>
        <w:tabs>
          <w:tab w:val="left" w:pos="-720"/>
        </w:tabs>
        <w:suppressAutoHyphens/>
        <w:spacing w:line="360" w:lineRule="auto"/>
        <w:ind w:firstLine="360"/>
        <w:jc w:val="center"/>
        <w:rPr>
          <w:rFonts w:ascii="Book Antiqua" w:hAnsi="Book Antiqua"/>
          <w:b/>
          <w:bCs/>
          <w:lang w:val="es-PR"/>
        </w:rPr>
      </w:pPr>
    </w:p>
    <w:p w14:paraId="6EE110C6" w14:textId="77777777" w:rsidR="006F51A8" w:rsidRPr="00201B8C" w:rsidRDefault="00AF12FB" w:rsidP="006F51A8">
      <w:pPr>
        <w:tabs>
          <w:tab w:val="left" w:pos="-720"/>
        </w:tabs>
        <w:suppressAutoHyphens/>
        <w:spacing w:line="360" w:lineRule="auto"/>
        <w:ind w:firstLine="360"/>
        <w:jc w:val="center"/>
        <w:rPr>
          <w:rFonts w:ascii="Book Antiqua" w:hAnsi="Book Antiqua"/>
          <w:b/>
          <w:bCs/>
          <w:lang w:val="es-PR"/>
        </w:rPr>
      </w:pPr>
      <w:r>
        <w:rPr>
          <w:rFonts w:ascii="Book Antiqua" w:hAnsi="Book Antiqua"/>
          <w:b/>
          <w:bCs/>
          <w:lang w:val="es-PR"/>
        </w:rPr>
        <w:t>INTRODUCCI</w:t>
      </w:r>
      <w:r w:rsidRPr="00AF12FB">
        <w:rPr>
          <w:rFonts w:ascii="Book Antiqua" w:hAnsi="Book Antiqua"/>
          <w:b/>
          <w:bCs/>
          <w:lang w:val="es-PR"/>
        </w:rPr>
        <w:t>ÓN</w:t>
      </w:r>
      <w:r>
        <w:rPr>
          <w:rFonts w:ascii="Book Antiqua" w:hAnsi="Book Antiqua"/>
          <w:b/>
          <w:bCs/>
          <w:lang w:val="es-PR"/>
        </w:rPr>
        <w:t xml:space="preserve"> </w:t>
      </w:r>
    </w:p>
    <w:p w14:paraId="4B4D6C19" w14:textId="77777777" w:rsidR="006F51A8" w:rsidRDefault="006F51A8" w:rsidP="00006DDC">
      <w:pPr>
        <w:tabs>
          <w:tab w:val="left" w:pos="-720"/>
        </w:tabs>
        <w:suppressAutoHyphens/>
        <w:ind w:firstLine="360"/>
        <w:jc w:val="both"/>
        <w:rPr>
          <w:rFonts w:ascii="Book Antiqua" w:hAnsi="Book Antiqua"/>
          <w:lang w:val="es-PR"/>
        </w:rPr>
      </w:pPr>
      <w:r>
        <w:rPr>
          <w:rFonts w:ascii="Book Antiqua" w:hAnsi="Book Antiqua"/>
          <w:lang w:val="es-PR"/>
        </w:rPr>
        <w:t xml:space="preserve">La </w:t>
      </w:r>
      <w:r w:rsidR="00530395">
        <w:rPr>
          <w:rFonts w:ascii="Book Antiqua" w:hAnsi="Book Antiqua"/>
          <w:lang w:val="es-PR"/>
        </w:rPr>
        <w:t>Comisión</w:t>
      </w:r>
      <w:r>
        <w:rPr>
          <w:rFonts w:ascii="Book Antiqua" w:hAnsi="Book Antiqua"/>
          <w:lang w:val="es-PR"/>
        </w:rPr>
        <w:t xml:space="preserve"> </w:t>
      </w:r>
      <w:r w:rsidR="00AF12FB">
        <w:rPr>
          <w:rFonts w:ascii="Book Antiqua" w:hAnsi="Book Antiqua"/>
          <w:lang w:val="es-PR"/>
        </w:rPr>
        <w:t>de Vivienda y Bienestar Social estudi</w:t>
      </w:r>
      <w:r w:rsidR="00530395">
        <w:rPr>
          <w:rFonts w:ascii="Book Antiqua" w:hAnsi="Book Antiqua"/>
          <w:lang w:val="es-PR"/>
        </w:rPr>
        <w:t>ó</w:t>
      </w:r>
      <w:r>
        <w:rPr>
          <w:rFonts w:ascii="Book Antiqua" w:hAnsi="Book Antiqua"/>
          <w:lang w:val="es-PR"/>
        </w:rPr>
        <w:t xml:space="preserve"> </w:t>
      </w:r>
      <w:r w:rsidR="00DD48C9">
        <w:rPr>
          <w:rFonts w:ascii="Book Antiqua" w:hAnsi="Book Antiqua"/>
          <w:lang w:val="es-PR"/>
        </w:rPr>
        <w:t>el texto de los Artículos 1, Sección 1, inciso (b) y Sección 2, inciso (b), en los cuales la Ley 132 – 2010, en primer lugar, define la figura del “Arrendador Elegible” y describe toda persona natural o jurídica que la conforma. En segund</w:t>
      </w:r>
      <w:r w:rsidR="00AF12FB">
        <w:rPr>
          <w:rFonts w:ascii="Book Antiqua" w:hAnsi="Book Antiqua"/>
          <w:lang w:val="es-PR"/>
        </w:rPr>
        <w:t>a instancia</w:t>
      </w:r>
      <w:r w:rsidR="00DD48C9">
        <w:rPr>
          <w:rFonts w:ascii="Book Antiqua" w:hAnsi="Book Antiqua"/>
          <w:lang w:val="es-PR"/>
        </w:rPr>
        <w:t xml:space="preserve">, </w:t>
      </w:r>
      <w:r w:rsidR="00AF12FB">
        <w:rPr>
          <w:rFonts w:ascii="Book Antiqua" w:hAnsi="Book Antiqua"/>
          <w:lang w:val="es-PR"/>
        </w:rPr>
        <w:t>la Comisión de Vivienda y Bienestar Social examinó</w:t>
      </w:r>
      <w:r w:rsidR="00DD48C9">
        <w:rPr>
          <w:rFonts w:ascii="Book Antiqua" w:hAnsi="Book Antiqua"/>
          <w:lang w:val="es-PR"/>
        </w:rPr>
        <w:t xml:space="preserve"> el </w:t>
      </w:r>
      <w:r w:rsidR="00530395">
        <w:rPr>
          <w:rFonts w:ascii="Book Antiqua" w:hAnsi="Book Antiqua"/>
          <w:lang w:val="es-PR"/>
        </w:rPr>
        <w:t>término</w:t>
      </w:r>
      <w:r w:rsidR="00DD48C9">
        <w:rPr>
          <w:rFonts w:ascii="Book Antiqua" w:hAnsi="Book Antiqua"/>
          <w:lang w:val="es-PR"/>
        </w:rPr>
        <w:t xml:space="preserve"> de la exención</w:t>
      </w:r>
      <w:r w:rsidR="00530395">
        <w:rPr>
          <w:rFonts w:ascii="Book Antiqua" w:hAnsi="Book Antiqua"/>
          <w:lang w:val="es-PR"/>
        </w:rPr>
        <w:t xml:space="preserve">, el cual establece que solo aplicará por un </w:t>
      </w:r>
      <w:r w:rsidR="00530395">
        <w:rPr>
          <w:rFonts w:ascii="Book Antiqua" w:hAnsi="Book Antiqua"/>
          <w:lang w:val="es-PR"/>
        </w:rPr>
        <w:lastRenderedPageBreak/>
        <w:t xml:space="preserve">periodo de quince (15) años contributivos, comenzando el 1 de enero de 2011 y terminando el 31 de diciembre de 2025. </w:t>
      </w:r>
    </w:p>
    <w:p w14:paraId="7438D1C5" w14:textId="77777777" w:rsidR="00970DEB" w:rsidRDefault="00970DEB" w:rsidP="00006DDC">
      <w:pPr>
        <w:tabs>
          <w:tab w:val="left" w:pos="-720"/>
        </w:tabs>
        <w:suppressAutoHyphens/>
        <w:ind w:firstLine="360"/>
        <w:jc w:val="center"/>
        <w:rPr>
          <w:rFonts w:ascii="Book Antiqua" w:hAnsi="Book Antiqua"/>
          <w:b/>
          <w:bCs/>
          <w:lang w:val="es-PR"/>
        </w:rPr>
      </w:pPr>
    </w:p>
    <w:p w14:paraId="42D478D7" w14:textId="77777777" w:rsidR="00A06A16" w:rsidRPr="00A06A16" w:rsidRDefault="00A06A16" w:rsidP="00006DDC">
      <w:pPr>
        <w:tabs>
          <w:tab w:val="left" w:pos="-720"/>
        </w:tabs>
        <w:suppressAutoHyphens/>
        <w:ind w:firstLine="360"/>
        <w:jc w:val="center"/>
        <w:rPr>
          <w:rFonts w:ascii="Book Antiqua" w:hAnsi="Book Antiqua"/>
          <w:b/>
          <w:bCs/>
          <w:lang w:val="es-PR"/>
        </w:rPr>
      </w:pPr>
      <w:r w:rsidRPr="00A06A16">
        <w:rPr>
          <w:rFonts w:ascii="Book Antiqua" w:hAnsi="Book Antiqua"/>
          <w:b/>
          <w:bCs/>
          <w:lang w:val="es-PR"/>
        </w:rPr>
        <w:t>A</w:t>
      </w:r>
      <w:r w:rsidR="002C402D">
        <w:rPr>
          <w:rFonts w:ascii="Book Antiqua" w:hAnsi="Book Antiqua"/>
          <w:b/>
          <w:bCs/>
          <w:lang w:val="es-PR"/>
        </w:rPr>
        <w:t>NÁLISIS</w:t>
      </w:r>
      <w:r w:rsidR="002B62DE">
        <w:rPr>
          <w:rFonts w:ascii="Book Antiqua" w:hAnsi="Book Antiqua"/>
          <w:b/>
          <w:bCs/>
          <w:lang w:val="es-PR"/>
        </w:rPr>
        <w:t xml:space="preserve"> </w:t>
      </w:r>
      <w:r w:rsidR="00AF12FB">
        <w:rPr>
          <w:rFonts w:ascii="Book Antiqua" w:hAnsi="Book Antiqua"/>
          <w:b/>
          <w:bCs/>
          <w:lang w:val="es-PR"/>
        </w:rPr>
        <w:t xml:space="preserve">DE LA MEDIDA </w:t>
      </w:r>
    </w:p>
    <w:p w14:paraId="6C2C96C3" w14:textId="77777777" w:rsidR="00006DDC" w:rsidRDefault="00006DDC" w:rsidP="00006DDC">
      <w:pPr>
        <w:tabs>
          <w:tab w:val="left" w:pos="-720"/>
        </w:tabs>
        <w:suppressAutoHyphens/>
        <w:ind w:firstLine="360"/>
        <w:jc w:val="both"/>
        <w:rPr>
          <w:rFonts w:ascii="Book Antiqua" w:hAnsi="Book Antiqua"/>
          <w:lang w:val="es-PR"/>
        </w:rPr>
      </w:pPr>
    </w:p>
    <w:p w14:paraId="05A09BB2" w14:textId="77777777" w:rsidR="006D5838" w:rsidRDefault="006D5838" w:rsidP="00006DDC">
      <w:pPr>
        <w:tabs>
          <w:tab w:val="left" w:pos="-720"/>
        </w:tabs>
        <w:suppressAutoHyphens/>
        <w:ind w:firstLine="360"/>
        <w:jc w:val="both"/>
        <w:rPr>
          <w:rFonts w:ascii="Book Antiqua" w:hAnsi="Book Antiqua"/>
          <w:lang w:val="es-PR"/>
        </w:rPr>
      </w:pPr>
    </w:p>
    <w:p w14:paraId="7D81C205" w14:textId="77777777" w:rsidR="006D5838" w:rsidRDefault="006D5838" w:rsidP="006D5838">
      <w:pPr>
        <w:tabs>
          <w:tab w:val="left" w:pos="-720"/>
        </w:tabs>
        <w:suppressAutoHyphens/>
        <w:ind w:firstLine="360"/>
        <w:jc w:val="both"/>
        <w:rPr>
          <w:rFonts w:ascii="Book Antiqua" w:hAnsi="Book Antiqua"/>
          <w:lang w:val="es-PR"/>
        </w:rPr>
      </w:pPr>
      <w:r>
        <w:rPr>
          <w:rFonts w:ascii="Book Antiqua" w:hAnsi="Book Antiqua"/>
          <w:lang w:val="es-PR"/>
        </w:rPr>
        <w:t>Para una evaluación integral de esta medida la Comisión de Vivienda y Bienestar Social, en aras de analizar y estudiar el P. del S. 19 solicitó memoriales explicativos para sustentar una evaluación laboriosa de la medida.</w:t>
      </w:r>
      <w:r>
        <w:rPr>
          <w:rStyle w:val="FootnoteReference"/>
          <w:rFonts w:ascii="Book Antiqua" w:hAnsi="Book Antiqua"/>
          <w:lang w:val="es-PR"/>
        </w:rPr>
        <w:footnoteReference w:id="1"/>
      </w:r>
      <w:r>
        <w:rPr>
          <w:rFonts w:ascii="Book Antiqua" w:hAnsi="Book Antiqua"/>
          <w:lang w:val="es-PR"/>
        </w:rPr>
        <w:t xml:space="preserve"> Como resultado, se recibieron y observó la ponencia y los comentarios del Departamento de la Vivienda y se suscribió un informe recomendando la aprobación del referido proyecto. </w:t>
      </w:r>
    </w:p>
    <w:p w14:paraId="75FD2928" w14:textId="77777777" w:rsidR="006D5838" w:rsidRDefault="006D5838" w:rsidP="00006DDC">
      <w:pPr>
        <w:tabs>
          <w:tab w:val="left" w:pos="-720"/>
        </w:tabs>
        <w:suppressAutoHyphens/>
        <w:ind w:firstLine="360"/>
        <w:jc w:val="both"/>
        <w:rPr>
          <w:rFonts w:ascii="Book Antiqua" w:hAnsi="Book Antiqua"/>
          <w:lang w:val="es-PR"/>
        </w:rPr>
      </w:pPr>
    </w:p>
    <w:p w14:paraId="0C20E0BD" w14:textId="77777777" w:rsidR="00A06A16" w:rsidRDefault="00A06A16" w:rsidP="00006DDC">
      <w:pPr>
        <w:tabs>
          <w:tab w:val="left" w:pos="-720"/>
        </w:tabs>
        <w:suppressAutoHyphens/>
        <w:ind w:firstLine="360"/>
        <w:jc w:val="both"/>
        <w:rPr>
          <w:rFonts w:ascii="Book Antiqua" w:hAnsi="Book Antiqua"/>
          <w:lang w:val="es-PR"/>
        </w:rPr>
      </w:pPr>
      <w:r>
        <w:rPr>
          <w:rFonts w:ascii="Book Antiqua" w:hAnsi="Book Antiqua"/>
          <w:lang w:val="es-PR"/>
        </w:rPr>
        <w:t xml:space="preserve">La Ley 132-2010 se promulgó en tiempos en que el Pueblo de Puerto Rico se encontraba inmerso </w:t>
      </w:r>
      <w:r w:rsidR="002F79D4">
        <w:rPr>
          <w:rFonts w:ascii="Book Antiqua" w:hAnsi="Book Antiqua"/>
          <w:lang w:val="es-PR"/>
        </w:rPr>
        <w:t xml:space="preserve">en una crisis económica que estaba afectando severamente el sector de construcción y la vivienda. En aquel contexto histórico, a las familias puertorriqueñas se les dificultaba adquirir o construir una residencia histórica. Sabido es que, </w:t>
      </w:r>
      <w:r w:rsidR="002F79D4" w:rsidRPr="002F79D4">
        <w:rPr>
          <w:rFonts w:ascii="Book Antiqua" w:hAnsi="Book Antiqua"/>
          <w:lang w:val="es-PR"/>
        </w:rPr>
        <w:t>la Constitución</w:t>
      </w:r>
      <w:r w:rsidR="002F79D4">
        <w:rPr>
          <w:rFonts w:ascii="Book Antiqua" w:hAnsi="Book Antiqua"/>
          <w:lang w:val="es-PR"/>
        </w:rPr>
        <w:t xml:space="preserve"> </w:t>
      </w:r>
      <w:r w:rsidR="002F79D4" w:rsidRPr="002F79D4">
        <w:rPr>
          <w:rFonts w:ascii="Book Antiqua" w:hAnsi="Book Antiqua"/>
          <w:lang w:val="es-PR"/>
        </w:rPr>
        <w:t>de Puerto Rico reconoce, el derecho fundamental al disfrute de la propiedad. Art. II, Sec. 7, Const</w:t>
      </w:r>
      <w:r w:rsidR="002F79D4">
        <w:rPr>
          <w:rFonts w:ascii="Book Antiqua" w:hAnsi="Book Antiqua"/>
          <w:lang w:val="es-PR"/>
        </w:rPr>
        <w:t>. PR</w:t>
      </w:r>
      <w:r w:rsidR="002F79D4" w:rsidRPr="002F79D4">
        <w:rPr>
          <w:rFonts w:ascii="Book Antiqua" w:hAnsi="Book Antiqua"/>
          <w:lang w:val="es-PR"/>
        </w:rPr>
        <w:t xml:space="preserve"> LPRA, Tomo 1. </w:t>
      </w:r>
      <w:r w:rsidR="002F79D4">
        <w:rPr>
          <w:rFonts w:ascii="Book Antiqua" w:hAnsi="Book Antiqua"/>
          <w:lang w:val="es-PR"/>
        </w:rPr>
        <w:t xml:space="preserve">El Máximo Foro ha </w:t>
      </w:r>
      <w:r w:rsidR="002F79D4" w:rsidRPr="002F79D4">
        <w:rPr>
          <w:rFonts w:ascii="Book Antiqua" w:hAnsi="Book Antiqua"/>
          <w:lang w:val="es-PR"/>
        </w:rPr>
        <w:t xml:space="preserve">establecido que, “junto al derecho a la vida y a la libertad, </w:t>
      </w:r>
      <w:r w:rsidR="002F79D4">
        <w:rPr>
          <w:rFonts w:ascii="Book Antiqua" w:hAnsi="Book Antiqua"/>
          <w:lang w:val="es-PR"/>
        </w:rPr>
        <w:t xml:space="preserve">[el derecho a la propiedad] </w:t>
      </w:r>
      <w:r w:rsidR="002F79D4" w:rsidRPr="002F79D4">
        <w:rPr>
          <w:rFonts w:ascii="Book Antiqua" w:hAnsi="Book Antiqua"/>
          <w:lang w:val="es-PR"/>
        </w:rPr>
        <w:t>es uno de los cimientos de nuestra convivencia social democrática”. SLG Ortiz-Mateo v. ELA, 211 DPR 772, 785 (2023).</w:t>
      </w:r>
      <w:r w:rsidR="002F79D4">
        <w:rPr>
          <w:rStyle w:val="FootnoteReference"/>
          <w:rFonts w:ascii="Book Antiqua" w:hAnsi="Book Antiqua"/>
          <w:lang w:val="es-PR"/>
        </w:rPr>
        <w:footnoteReference w:id="2"/>
      </w:r>
      <w:r w:rsidR="00104CF6">
        <w:rPr>
          <w:rFonts w:ascii="Book Antiqua" w:hAnsi="Book Antiqua"/>
          <w:lang w:val="es-PR"/>
        </w:rPr>
        <w:t xml:space="preserve"> En el presente al igual que en el momento en que la Asamblea Legislativa dio paso a la Ley 132-2010, producto de una inflación global, Puerto Rico enfrenta un grave problema de vivienda asequible, exhorbitantes costos en la construcción y altas tasas de intereses bancarios que reduce sustancialmente el acceso a viviendas a las familias puertorriqueñas.</w:t>
      </w:r>
      <w:r w:rsidR="00316786">
        <w:rPr>
          <w:rFonts w:ascii="Book Antiqua" w:hAnsi="Book Antiqua"/>
          <w:lang w:val="es-PR"/>
        </w:rPr>
        <w:t xml:space="preserve"> </w:t>
      </w:r>
      <w:r w:rsidR="00104CF6">
        <w:rPr>
          <w:rFonts w:ascii="Book Antiqua" w:hAnsi="Book Antiqua"/>
          <w:lang w:val="es-PR"/>
        </w:rPr>
        <w:t xml:space="preserve">Esta Asamblea Legislativa posee el compromiso </w:t>
      </w:r>
      <w:r w:rsidR="00316786">
        <w:rPr>
          <w:rFonts w:ascii="Book Antiqua" w:hAnsi="Book Antiqua"/>
          <w:lang w:val="es-PR"/>
        </w:rPr>
        <w:t xml:space="preserve">de fomentar el desarrollo y la obtención de una vivienda digna. De igual forma, </w:t>
      </w:r>
      <w:r w:rsidR="00316786" w:rsidRPr="00316786">
        <w:rPr>
          <w:rFonts w:ascii="Book Antiqua" w:hAnsi="Book Antiqua"/>
          <w:lang w:val="es-PR"/>
        </w:rPr>
        <w:t>crear un programa de incentivos para la adquisición y arrendamientos de viviendas</w:t>
      </w:r>
      <w:r w:rsidR="00316786">
        <w:rPr>
          <w:rFonts w:ascii="Book Antiqua" w:hAnsi="Book Antiqua"/>
          <w:lang w:val="es-PR"/>
        </w:rPr>
        <w:t xml:space="preserve">, así como la </w:t>
      </w:r>
      <w:r w:rsidR="00316786" w:rsidRPr="00316786">
        <w:rPr>
          <w:rFonts w:ascii="Book Antiqua" w:hAnsi="Book Antiqua"/>
          <w:lang w:val="es-PR"/>
        </w:rPr>
        <w:t>construcción de viviendas prediseñadas</w:t>
      </w:r>
      <w:r w:rsidR="00316786">
        <w:rPr>
          <w:rFonts w:ascii="Book Antiqua" w:hAnsi="Book Antiqua"/>
          <w:lang w:val="es-PR"/>
        </w:rPr>
        <w:t xml:space="preserve">. Extender la exención sobre los ingresos devengados por el arrendamiento de propiedades residenciales evitaría elevar los cánones de arredamiento lo cual sería destructivo para el Pueblo de Puerto Rico. </w:t>
      </w:r>
      <w:r w:rsidR="0096171F">
        <w:rPr>
          <w:rFonts w:ascii="Book Antiqua" w:hAnsi="Book Antiqua"/>
          <w:lang w:val="es-PR"/>
        </w:rPr>
        <w:t xml:space="preserve">Ante ello, mantener vigente la exención contributiva hasta el 31 de diciembre de 2035 permitiría subsanar los impactos nefastos producto de la inflación hasta alcanzar mejores circunstancias económicas. </w:t>
      </w:r>
    </w:p>
    <w:p w14:paraId="645A7A37" w14:textId="77777777" w:rsidR="00A52CD9" w:rsidRDefault="00A52CD9" w:rsidP="00970DEB">
      <w:pPr>
        <w:tabs>
          <w:tab w:val="left" w:pos="-720"/>
        </w:tabs>
        <w:suppressAutoHyphens/>
        <w:spacing w:line="276" w:lineRule="auto"/>
        <w:ind w:firstLine="360"/>
        <w:jc w:val="both"/>
        <w:rPr>
          <w:rFonts w:ascii="Book Antiqua" w:hAnsi="Book Antiqua"/>
          <w:b/>
          <w:bCs/>
          <w:u w:val="single"/>
          <w:lang w:val="es-PR"/>
        </w:rPr>
      </w:pPr>
    </w:p>
    <w:p w14:paraId="7E0F7BB9" w14:textId="77777777" w:rsidR="000F7663" w:rsidRDefault="00AF12FB" w:rsidP="00AF12FB">
      <w:pPr>
        <w:tabs>
          <w:tab w:val="left" w:pos="-720"/>
        </w:tabs>
        <w:suppressAutoHyphens/>
        <w:spacing w:line="276" w:lineRule="auto"/>
        <w:ind w:firstLine="360"/>
        <w:jc w:val="center"/>
        <w:rPr>
          <w:rFonts w:ascii="Book Antiqua" w:hAnsi="Book Antiqua"/>
          <w:b/>
          <w:bCs/>
          <w:lang w:val="es-PR"/>
        </w:rPr>
      </w:pPr>
      <w:r>
        <w:rPr>
          <w:rFonts w:ascii="Book Antiqua" w:hAnsi="Book Antiqua"/>
          <w:b/>
          <w:bCs/>
          <w:lang w:val="es-PR"/>
        </w:rPr>
        <w:t xml:space="preserve">DEPARTAMENTO DE LA VIVIENDA </w:t>
      </w:r>
    </w:p>
    <w:p w14:paraId="330A700E" w14:textId="77777777" w:rsidR="00AF12FB" w:rsidRPr="00AF12FB" w:rsidRDefault="00AF12FB" w:rsidP="00AF12FB">
      <w:pPr>
        <w:tabs>
          <w:tab w:val="left" w:pos="-720"/>
        </w:tabs>
        <w:suppressAutoHyphens/>
        <w:spacing w:line="276" w:lineRule="auto"/>
        <w:ind w:firstLine="360"/>
        <w:jc w:val="center"/>
        <w:rPr>
          <w:rFonts w:ascii="Book Antiqua" w:hAnsi="Book Antiqua"/>
          <w:b/>
          <w:bCs/>
          <w:lang w:val="es-PR"/>
        </w:rPr>
      </w:pPr>
    </w:p>
    <w:p w14:paraId="327988B4" w14:textId="77777777" w:rsidR="002C402D" w:rsidRDefault="000F7663" w:rsidP="00006DDC">
      <w:pPr>
        <w:tabs>
          <w:tab w:val="left" w:pos="-720"/>
        </w:tabs>
        <w:suppressAutoHyphens/>
        <w:ind w:firstLine="360"/>
        <w:jc w:val="both"/>
        <w:rPr>
          <w:rFonts w:ascii="Book Antiqua" w:hAnsi="Book Antiqua"/>
          <w:lang w:val="es-PR"/>
        </w:rPr>
      </w:pPr>
      <w:r>
        <w:rPr>
          <w:rFonts w:ascii="Book Antiqua" w:hAnsi="Book Antiqua"/>
          <w:lang w:val="es-PR"/>
        </w:rPr>
        <w:t xml:space="preserve">El Departamento de la Vivienda de Puerto Rico punteó que durante la discusión y evaluación de la Ley 132 – 2010, apoyó su promulgación, destacando su impacto positivo en la reactivación del mercado inmobiliario en Puerto Rico. Específicamente, indicó </w:t>
      </w:r>
      <w:r w:rsidR="002B62DE">
        <w:rPr>
          <w:rFonts w:ascii="Book Antiqua" w:hAnsi="Book Antiqua"/>
          <w:lang w:val="es-PR"/>
        </w:rPr>
        <w:t>que,</w:t>
      </w:r>
      <w:r>
        <w:rPr>
          <w:rFonts w:ascii="Book Antiqua" w:hAnsi="Book Antiqua"/>
          <w:lang w:val="es-PR"/>
        </w:rPr>
        <w:t xml:space="preserve"> en aquel momento, la política pública del Gobierno de Puerto Rico estuvo enfocada en estimular la compra y venta de propiedades, facilitando incentivos para nuevas construcciones como para unidades existentes. Igualmente, </w:t>
      </w:r>
      <w:r w:rsidR="002B62DE">
        <w:rPr>
          <w:rFonts w:ascii="Book Antiqua" w:hAnsi="Book Antiqua"/>
          <w:lang w:val="es-PR"/>
        </w:rPr>
        <w:t>cimentó</w:t>
      </w:r>
      <w:r>
        <w:rPr>
          <w:rFonts w:ascii="Book Antiqua" w:hAnsi="Book Antiqua"/>
          <w:lang w:val="es-PR"/>
        </w:rPr>
        <w:t xml:space="preserve"> que la exención contributiva de hasta quince (15) años sobre los ingresos generados por el arrendamiento de propiedades residenciales </w:t>
      </w:r>
      <w:r w:rsidR="002B62DE">
        <w:rPr>
          <w:rFonts w:ascii="Book Antiqua" w:hAnsi="Book Antiqua"/>
          <w:lang w:val="es-PR"/>
        </w:rPr>
        <w:t>dinamizó</w:t>
      </w:r>
      <w:r>
        <w:rPr>
          <w:rFonts w:ascii="Book Antiqua" w:hAnsi="Book Antiqua"/>
          <w:lang w:val="es-PR"/>
        </w:rPr>
        <w:t xml:space="preserve"> el mercado inmobiliario, ya que los valores de las propiedades habían dejado de aumentar, y se buscaba facilitar </w:t>
      </w:r>
      <w:r w:rsidR="002B62DE">
        <w:rPr>
          <w:rFonts w:ascii="Book Antiqua" w:hAnsi="Book Antiqua"/>
          <w:lang w:val="es-PR"/>
        </w:rPr>
        <w:t xml:space="preserve">su compraventa y arrendamiento. En ese contexto, el ente administrativo endosa la aprobación del Proyecto del Senado 19, pues entiende que la Ley 132-2010 sigue siendo una herramienta clave para estimular la economía, reactivar el mercado inmobiliario y aumentar la disponibilidad de viviendas para la compra y arrendamiento. </w:t>
      </w:r>
    </w:p>
    <w:p w14:paraId="7B7E1D08" w14:textId="77777777" w:rsidR="000F7663" w:rsidRDefault="000F7663" w:rsidP="000F7663">
      <w:pPr>
        <w:tabs>
          <w:tab w:val="left" w:pos="-720"/>
        </w:tabs>
        <w:suppressAutoHyphens/>
        <w:spacing w:line="360" w:lineRule="auto"/>
        <w:ind w:firstLine="360"/>
        <w:jc w:val="both"/>
        <w:rPr>
          <w:rFonts w:ascii="Book Antiqua" w:hAnsi="Book Antiqua"/>
          <w:lang w:val="es-PR"/>
        </w:rPr>
      </w:pPr>
    </w:p>
    <w:p w14:paraId="302CAC3A" w14:textId="77777777" w:rsidR="00D13D23" w:rsidRDefault="0096171F" w:rsidP="0096171F">
      <w:pPr>
        <w:tabs>
          <w:tab w:val="left" w:pos="-720"/>
        </w:tabs>
        <w:suppressAutoHyphens/>
        <w:spacing w:line="360"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3CD7EB56" w14:textId="77777777" w:rsidR="002C402D" w:rsidRDefault="00D13D23" w:rsidP="00006DDC">
      <w:pPr>
        <w:tabs>
          <w:tab w:val="left" w:pos="-720"/>
        </w:tabs>
        <w:suppressAutoHyphens/>
        <w:ind w:firstLine="360"/>
        <w:jc w:val="both"/>
        <w:rPr>
          <w:rFonts w:ascii="Book Antiqua" w:hAnsi="Book Antiqua"/>
          <w:lang w:val="es-PR"/>
        </w:rPr>
      </w:pPr>
      <w:r>
        <w:rPr>
          <w:rFonts w:ascii="Book Antiqua" w:hAnsi="Book Antiqua"/>
          <w:lang w:val="es-PR"/>
        </w:rPr>
        <w:t>En cumplimiento con el Artículo 1.007 de la Ley Núm. 107 – 2020, según enmendada, conocida como “Código Municipal de Puerto Rico”, la Comisión de Vivienda y Bienestar Social del Senado de Puerto Rico no solicitó comentarios al Centro de Recaudaciones de Ingresos Municipales (CRIM) ni a la Oficina de Gerencial Municipal, toda vez que el Proyecto del Senado 19 no impone una obligación económica en el presupuesto</w:t>
      </w:r>
      <w:r w:rsidR="00946BB4">
        <w:rPr>
          <w:rFonts w:ascii="Book Antiqua" w:hAnsi="Book Antiqua"/>
          <w:lang w:val="es-PR"/>
        </w:rPr>
        <w:t xml:space="preserve"> de los gobiernos municipales. </w:t>
      </w:r>
    </w:p>
    <w:p w14:paraId="426C19E9" w14:textId="77777777" w:rsidR="00946BB4" w:rsidRPr="00946BB4" w:rsidRDefault="00946BB4" w:rsidP="00006DDC">
      <w:pPr>
        <w:tabs>
          <w:tab w:val="left" w:pos="-720"/>
        </w:tabs>
        <w:suppressAutoHyphens/>
        <w:ind w:firstLine="360"/>
        <w:jc w:val="both"/>
        <w:rPr>
          <w:rFonts w:ascii="Book Antiqua" w:hAnsi="Book Antiqua"/>
          <w:lang w:val="es-PR"/>
        </w:rPr>
      </w:pPr>
    </w:p>
    <w:p w14:paraId="482AC70D" w14:textId="77777777" w:rsidR="0096171F" w:rsidRPr="002C402D" w:rsidRDefault="0096171F" w:rsidP="0096171F">
      <w:pPr>
        <w:tabs>
          <w:tab w:val="left" w:pos="-720"/>
        </w:tabs>
        <w:suppressAutoHyphens/>
        <w:spacing w:line="360"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2C231B89" w14:textId="77777777" w:rsidR="00006DDC" w:rsidRDefault="00006DDC" w:rsidP="00006DDC">
      <w:pPr>
        <w:tabs>
          <w:tab w:val="left" w:pos="-720"/>
        </w:tabs>
        <w:suppressAutoHyphens/>
        <w:ind w:firstLine="360"/>
        <w:jc w:val="both"/>
        <w:rPr>
          <w:rFonts w:ascii="Book Antiqua" w:hAnsi="Book Antiqua"/>
          <w:lang w:val="es-PR"/>
        </w:rPr>
      </w:pPr>
      <w:r>
        <w:rPr>
          <w:rFonts w:ascii="Book Antiqua" w:hAnsi="Book Antiqua"/>
          <w:lang w:val="es-PR"/>
        </w:rPr>
        <w:tab/>
        <w:t>La Comisión de Vivienda y Bienestar Social, reconociendo la importancia fundamental del P. del S. 19 y tomando en cuenta las recomendaciones y los comentarios esbozados en el memorial explicativo del Departamento de la Vivienda, efectuó un análisis minucioso. En consecuencia, se presenta este informe con el entirillado correspondiente.</w:t>
      </w:r>
    </w:p>
    <w:p w14:paraId="59E41A21" w14:textId="77777777" w:rsidR="00006DDC" w:rsidRDefault="00006DDC" w:rsidP="00006DDC">
      <w:pPr>
        <w:tabs>
          <w:tab w:val="left" w:pos="-720"/>
        </w:tabs>
        <w:suppressAutoHyphens/>
        <w:spacing w:line="360" w:lineRule="auto"/>
        <w:ind w:firstLine="360"/>
        <w:jc w:val="both"/>
        <w:rPr>
          <w:rFonts w:ascii="Book Antiqua" w:hAnsi="Book Antiqua"/>
          <w:lang w:val="es-PR"/>
        </w:rPr>
      </w:pPr>
    </w:p>
    <w:p w14:paraId="1ECB4925" w14:textId="77777777" w:rsidR="00006DDC" w:rsidRDefault="0096171F" w:rsidP="006D5838">
      <w:pPr>
        <w:tabs>
          <w:tab w:val="left" w:pos="-720"/>
        </w:tabs>
        <w:suppressAutoHyphens/>
        <w:ind w:firstLine="360"/>
        <w:jc w:val="both"/>
        <w:rPr>
          <w:rFonts w:ascii="Book Antiqua" w:hAnsi="Book Antiqua"/>
          <w:lang w:val="es-PR"/>
        </w:rPr>
      </w:pPr>
      <w:r>
        <w:rPr>
          <w:rFonts w:ascii="Book Antiqua" w:hAnsi="Book Antiqua"/>
          <w:lang w:val="es-PR"/>
        </w:rPr>
        <w:t xml:space="preserve">POR TODO LO ANTES EXPUESTO, la Comisión de Vivienda y Bienestar Social del Senado de Puerto Rico, previo estudio y consideración, </w:t>
      </w:r>
      <w:r w:rsidR="00006DDC" w:rsidRPr="00006DDC">
        <w:rPr>
          <w:rFonts w:ascii="Book Antiqua" w:hAnsi="Book Antiqua"/>
          <w:lang w:val="es-PR"/>
        </w:rPr>
        <w:t xml:space="preserve">tienen a bien presentar ante este honorable Alto Cuerpo el Informe Positivo sobre el </w:t>
      </w:r>
      <w:r w:rsidR="00006DDC" w:rsidRPr="00006DDC">
        <w:rPr>
          <w:rFonts w:ascii="Book Antiqua" w:hAnsi="Book Antiqua"/>
          <w:b/>
          <w:bCs/>
          <w:lang w:val="es-PR"/>
        </w:rPr>
        <w:t>Proyecto del Senado 19</w:t>
      </w:r>
      <w:r w:rsidR="00006DDC">
        <w:rPr>
          <w:rFonts w:ascii="Book Antiqua" w:hAnsi="Book Antiqua"/>
          <w:lang w:val="es-PR"/>
        </w:rPr>
        <w:t xml:space="preserve">, recomendando su aprobación con las enmiendas contenidas en el entirillado electrónico que se acompaña. </w:t>
      </w:r>
    </w:p>
    <w:p w14:paraId="77C1CC28" w14:textId="77777777" w:rsidR="006D5838" w:rsidRDefault="006D5838" w:rsidP="006D5838">
      <w:pPr>
        <w:tabs>
          <w:tab w:val="left" w:pos="-720"/>
        </w:tabs>
        <w:suppressAutoHyphens/>
        <w:ind w:firstLine="360"/>
        <w:jc w:val="both"/>
        <w:rPr>
          <w:rFonts w:ascii="Book Antiqua" w:hAnsi="Book Antiqua"/>
          <w:lang w:val="es-PR"/>
        </w:rPr>
      </w:pPr>
    </w:p>
    <w:p w14:paraId="60C211D1" w14:textId="77777777" w:rsidR="002C402D" w:rsidRDefault="002C402D" w:rsidP="0096171F">
      <w:pPr>
        <w:tabs>
          <w:tab w:val="left" w:pos="-720"/>
        </w:tabs>
        <w:suppressAutoHyphens/>
        <w:spacing w:line="360" w:lineRule="auto"/>
        <w:ind w:firstLine="360"/>
        <w:rPr>
          <w:rFonts w:ascii="Book Antiqua" w:hAnsi="Book Antiqua"/>
          <w:lang w:val="es-PR"/>
        </w:rPr>
      </w:pPr>
      <w:r>
        <w:rPr>
          <w:rFonts w:ascii="Book Antiqua" w:hAnsi="Book Antiqua"/>
          <w:lang w:val="es-PR"/>
        </w:rPr>
        <w:t xml:space="preserve">Respetuosamente sometido, </w:t>
      </w:r>
    </w:p>
    <w:p w14:paraId="10325F5D" w14:textId="77777777" w:rsidR="00006DDC" w:rsidRDefault="00006DDC" w:rsidP="00970DEB">
      <w:pPr>
        <w:tabs>
          <w:tab w:val="left" w:pos="-720"/>
        </w:tabs>
        <w:suppressAutoHyphens/>
        <w:spacing w:line="360" w:lineRule="auto"/>
        <w:ind w:firstLine="360"/>
        <w:rPr>
          <w:rFonts w:ascii="Book Antiqua" w:hAnsi="Book Antiqua"/>
          <w:lang w:val="es-PR"/>
        </w:rPr>
      </w:pPr>
    </w:p>
    <w:p w14:paraId="77811D7E" w14:textId="77777777" w:rsidR="00970DEB" w:rsidRDefault="002C402D" w:rsidP="00970DEB">
      <w:pPr>
        <w:tabs>
          <w:tab w:val="left" w:pos="-720"/>
        </w:tabs>
        <w:suppressAutoHyphens/>
        <w:spacing w:line="360" w:lineRule="auto"/>
        <w:ind w:firstLine="360"/>
        <w:rPr>
          <w:rFonts w:ascii="Book Antiqua" w:hAnsi="Book Antiqua"/>
          <w:lang w:val="es-PR"/>
        </w:rPr>
      </w:pPr>
      <w:r>
        <w:rPr>
          <w:rFonts w:ascii="Book Antiqua" w:hAnsi="Book Antiqua"/>
          <w:lang w:val="es-PR"/>
        </w:rPr>
        <w:t>Jamie Barlucea Rodríguez</w:t>
      </w:r>
    </w:p>
    <w:p w14:paraId="2F555925" w14:textId="77777777" w:rsidR="00F85B37" w:rsidRDefault="002C402D" w:rsidP="00F85B37">
      <w:pPr>
        <w:tabs>
          <w:tab w:val="left" w:pos="-720"/>
        </w:tabs>
        <w:suppressAutoHyphens/>
        <w:spacing w:line="360" w:lineRule="auto"/>
        <w:ind w:firstLine="360"/>
        <w:rPr>
          <w:rFonts w:ascii="Book Antiqua" w:hAnsi="Book Antiqua"/>
          <w:lang w:val="es-PR"/>
        </w:rPr>
      </w:pPr>
      <w:r>
        <w:rPr>
          <w:rFonts w:ascii="Book Antiqua" w:hAnsi="Book Antiqua"/>
          <w:lang w:val="es-PR"/>
        </w:rPr>
        <w:t xml:space="preserve">Presidenta </w:t>
      </w:r>
    </w:p>
    <w:p w14:paraId="7849A958" w14:textId="77777777" w:rsidR="000B3411" w:rsidRPr="006D5838" w:rsidRDefault="00970DEB" w:rsidP="006D5838">
      <w:pPr>
        <w:tabs>
          <w:tab w:val="left" w:pos="-720"/>
        </w:tabs>
        <w:suppressAutoHyphens/>
        <w:spacing w:line="360" w:lineRule="auto"/>
        <w:ind w:firstLine="360"/>
        <w:rPr>
          <w:rFonts w:ascii="Book Antiqua" w:hAnsi="Book Antiqua"/>
          <w:lang w:val="es-PR"/>
        </w:rPr>
      </w:pPr>
      <w:r>
        <w:rPr>
          <w:rFonts w:ascii="Book Antiqua" w:hAnsi="Book Antiqua"/>
          <w:lang w:val="es-PR"/>
        </w:rPr>
        <w:t>Comisión de Vivienda y</w:t>
      </w:r>
      <w:r w:rsidR="00F85B37">
        <w:rPr>
          <w:rFonts w:ascii="Book Antiqua" w:hAnsi="Book Antiqua"/>
          <w:lang w:val="es-PR"/>
        </w:rPr>
        <w:t xml:space="preserve"> </w:t>
      </w:r>
      <w:r>
        <w:rPr>
          <w:rFonts w:ascii="Book Antiqua" w:hAnsi="Book Antiqua"/>
          <w:lang w:val="es-PR"/>
        </w:rPr>
        <w:t xml:space="preserve">Bienestar Social </w:t>
      </w:r>
    </w:p>
    <w:sectPr w:rsidR="000B3411" w:rsidRPr="006D5838" w:rsidSect="00C760D6">
      <w:headerReference w:type="even" r:id="rId11"/>
      <w:headerReference w:type="default" r:id="rId12"/>
      <w:headerReference w:type="first" r:id="rId13"/>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8E008" w14:textId="77777777" w:rsidR="007E17BE" w:rsidRDefault="007E17BE">
      <w:r>
        <w:separator/>
      </w:r>
    </w:p>
  </w:endnote>
  <w:endnote w:type="continuationSeparator" w:id="0">
    <w:p w14:paraId="098B9A62" w14:textId="77777777" w:rsidR="007E17BE" w:rsidRDefault="007E1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43E47" w14:textId="77777777" w:rsidR="007E17BE" w:rsidRDefault="007E17BE">
      <w:r>
        <w:separator/>
      </w:r>
    </w:p>
  </w:footnote>
  <w:footnote w:type="continuationSeparator" w:id="0">
    <w:p w14:paraId="0DFCE9ED" w14:textId="77777777" w:rsidR="007E17BE" w:rsidRDefault="007E17BE">
      <w:r>
        <w:continuationSeparator/>
      </w:r>
    </w:p>
  </w:footnote>
  <w:footnote w:id="1">
    <w:p w14:paraId="7A5C4104" w14:textId="42E941AF" w:rsidR="006D5838" w:rsidRPr="006D5838" w:rsidRDefault="006D5838" w:rsidP="006D5838">
      <w:pPr>
        <w:pStyle w:val="FootnoteText"/>
        <w:jc w:val="both"/>
        <w:rPr>
          <w:rFonts w:ascii="Book Antiqua" w:hAnsi="Book Antiqua"/>
          <w:lang w:val="es-PR"/>
        </w:rPr>
      </w:pPr>
      <w:r w:rsidRPr="006D5838">
        <w:rPr>
          <w:rStyle w:val="FootnoteReference"/>
          <w:rFonts w:ascii="Book Antiqua" w:hAnsi="Book Antiqua"/>
        </w:rPr>
        <w:footnoteRef/>
      </w:r>
      <w:r w:rsidRPr="006D5838">
        <w:rPr>
          <w:rFonts w:ascii="Book Antiqua" w:hAnsi="Book Antiqua"/>
          <w:lang w:val="es-PR"/>
        </w:rPr>
        <w:t xml:space="preserve"> El 10 de febrero de 2025 se remitieron las cartas solicitando los memoriales explicativos a la OG</w:t>
      </w:r>
      <w:r w:rsidR="00855CD6">
        <w:rPr>
          <w:rFonts w:ascii="Book Antiqua" w:hAnsi="Book Antiqua"/>
          <w:lang w:val="es-PR"/>
        </w:rPr>
        <w:t>P</w:t>
      </w:r>
      <w:r w:rsidRPr="006D5838">
        <w:rPr>
          <w:rFonts w:ascii="Book Antiqua" w:hAnsi="Book Antiqua"/>
          <w:lang w:val="es-PR"/>
        </w:rPr>
        <w:t xml:space="preserve">, Departamento de Hacienda, AAFAF y Departamento de la Vivienda. </w:t>
      </w:r>
    </w:p>
  </w:footnote>
  <w:footnote w:id="2">
    <w:p w14:paraId="40373143" w14:textId="77777777" w:rsidR="002F79D4" w:rsidRPr="00104CF6" w:rsidRDefault="002F79D4" w:rsidP="006D5838">
      <w:pPr>
        <w:pStyle w:val="FootnoteText"/>
        <w:jc w:val="both"/>
        <w:rPr>
          <w:rFonts w:ascii="Book Antiqua" w:hAnsi="Book Antiqua"/>
          <w:lang w:val="es-PR"/>
        </w:rPr>
      </w:pPr>
      <w:r w:rsidRPr="006D5838">
        <w:rPr>
          <w:rStyle w:val="FootnoteReference"/>
          <w:rFonts w:ascii="Book Antiqua" w:hAnsi="Book Antiqua"/>
        </w:rPr>
        <w:footnoteRef/>
      </w:r>
      <w:r w:rsidRPr="006D5838">
        <w:rPr>
          <w:rFonts w:ascii="Book Antiqua" w:hAnsi="Book Antiqua"/>
          <w:lang w:val="es-PR"/>
        </w:rPr>
        <w:t xml:space="preserve"> </w:t>
      </w:r>
      <w:r w:rsidR="00104CF6" w:rsidRPr="006D5838">
        <w:rPr>
          <w:rFonts w:ascii="Book Antiqua" w:hAnsi="Book Antiqua"/>
          <w:lang w:val="es-PR"/>
        </w:rPr>
        <w:t xml:space="preserve">Véase </w:t>
      </w:r>
      <w:r w:rsidR="00104CF6" w:rsidRPr="006D5838">
        <w:rPr>
          <w:rFonts w:ascii="Book Antiqua" w:hAnsi="Book Antiqua"/>
          <w:i/>
          <w:iCs/>
          <w:lang w:val="es-PR"/>
        </w:rPr>
        <w:t>P</w:t>
      </w:r>
      <w:r w:rsidRPr="006D5838">
        <w:rPr>
          <w:rFonts w:ascii="Book Antiqua" w:hAnsi="Book Antiqua"/>
          <w:i/>
          <w:iCs/>
          <w:lang w:val="es-PR"/>
        </w:rPr>
        <w:t>eña Rivera v. Pacheco Caraballo</w:t>
      </w:r>
      <w:r w:rsidRPr="006D5838">
        <w:rPr>
          <w:rFonts w:ascii="Book Antiqua" w:hAnsi="Book Antiqua"/>
          <w:lang w:val="es-PR"/>
        </w:rPr>
        <w:t xml:space="preserve">, </w:t>
      </w:r>
      <w:r w:rsidR="00104CF6" w:rsidRPr="006D5838">
        <w:rPr>
          <w:rFonts w:ascii="Book Antiqua" w:hAnsi="Book Antiqua"/>
          <w:lang w:val="es-PR"/>
        </w:rPr>
        <w:t xml:space="preserve">2024 TSPR 48; </w:t>
      </w:r>
      <w:r w:rsidR="00D13D23" w:rsidRPr="006D5838">
        <w:rPr>
          <w:rFonts w:ascii="Book Antiqua" w:hAnsi="Book Antiqua"/>
          <w:lang w:val="es-PR"/>
        </w:rPr>
        <w:t>Refiérase,</w:t>
      </w:r>
      <w:r w:rsidR="00104CF6" w:rsidRPr="006D5838">
        <w:rPr>
          <w:rFonts w:ascii="Book Antiqua" w:hAnsi="Book Antiqua"/>
          <w:lang w:val="es-PR"/>
        </w:rPr>
        <w:t xml:space="preserve"> además, </w:t>
      </w:r>
      <w:r w:rsidR="00104CF6" w:rsidRPr="006D5838">
        <w:rPr>
          <w:rFonts w:ascii="Book Antiqua" w:hAnsi="Book Antiqua"/>
          <w:i/>
          <w:iCs/>
          <w:lang w:val="es-PR"/>
        </w:rPr>
        <w:t>Culebra Enterprises Corp. v. ELA</w:t>
      </w:r>
      <w:r w:rsidR="00104CF6" w:rsidRPr="006D5838">
        <w:rPr>
          <w:rFonts w:ascii="Book Antiqua" w:hAnsi="Book Antiqua"/>
          <w:lang w:val="es-PR"/>
        </w:rPr>
        <w:t>., 127 DPR 943, 952 (1991).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77777777" w:rsidR="00C760D6" w:rsidRDefault="00C760D6">
    <w:pPr>
      <w:pStyle w:val="Header"/>
      <w:jc w:val="right"/>
    </w:pPr>
    <w:r>
      <w:fldChar w:fldCharType="begin"/>
    </w:r>
    <w:r>
      <w:instrText xml:space="preserve"> PAGE   \* MERGEFORMAT </w:instrText>
    </w:r>
    <w:r>
      <w:fldChar w:fldCharType="separate"/>
    </w:r>
    <w:r>
      <w:rPr>
        <w:noProof/>
      </w:rPr>
      <w:t>2</w:t>
    </w:r>
    <w:r>
      <w:rPr>
        <w:noProof/>
      </w:rPr>
      <w:fldChar w:fldCharType="end"/>
    </w:r>
  </w:p>
  <w:p w14:paraId="79C74E0D" w14:textId="77777777" w:rsidR="00C760D6" w:rsidRDefault="00C760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144D5" w14:textId="77777777" w:rsidR="00970DEB" w:rsidRPr="00016AE0" w:rsidRDefault="00970DEB">
    <w:pPr>
      <w:pStyle w:val="Header"/>
      <w:rPr>
        <w:rFonts w:ascii="Book Antiqua" w:hAnsi="Book Antiqua"/>
        <w:b/>
        <w:bCs/>
        <w:lang w:val="es-PR"/>
      </w:rPr>
    </w:pPr>
    <w:r w:rsidRPr="00016AE0">
      <w:rPr>
        <w:rFonts w:ascii="Book Antiqua" w:hAnsi="Book Antiqua"/>
        <w:b/>
        <w:bCs/>
        <w:lang w:val="es-PR"/>
      </w:rPr>
      <w:t xml:space="preserve">Comisión de Vivienda y Bienestar Social </w:t>
    </w:r>
  </w:p>
  <w:p w14:paraId="1ABA51CF" w14:textId="77777777" w:rsidR="00970DEB" w:rsidRPr="00016AE0" w:rsidRDefault="00970DEB">
    <w:pPr>
      <w:pStyle w:val="Header"/>
      <w:rPr>
        <w:rFonts w:ascii="Book Antiqua" w:hAnsi="Book Antiqua"/>
        <w:b/>
        <w:bCs/>
        <w:lang w:val="es-PR"/>
      </w:rPr>
    </w:pPr>
    <w:r w:rsidRPr="00016AE0">
      <w:rPr>
        <w:rFonts w:ascii="Book Antiqua" w:hAnsi="Book Antiqua"/>
        <w:b/>
        <w:bCs/>
        <w:lang w:val="es-PR"/>
      </w:rPr>
      <w:t>Info</w:t>
    </w:r>
    <w:r w:rsidR="00F85B37" w:rsidRPr="00016AE0">
      <w:rPr>
        <w:rFonts w:ascii="Book Antiqua" w:hAnsi="Book Antiqua"/>
        <w:b/>
        <w:bCs/>
        <w:lang w:val="es-PR"/>
      </w:rPr>
      <w:t>r</w:t>
    </w:r>
    <w:r w:rsidRPr="00016AE0">
      <w:rPr>
        <w:rFonts w:ascii="Book Antiqua" w:hAnsi="Book Antiqua"/>
        <w:b/>
        <w:bCs/>
        <w:lang w:val="es-PR"/>
      </w:rPr>
      <w:t xml:space="preserve">me Positivo sobre el P. del S. 19 </w:t>
    </w:r>
  </w:p>
  <w:p w14:paraId="78E12F0A" w14:textId="77777777" w:rsidR="00865634" w:rsidRPr="00B216D4" w:rsidRDefault="00865634">
    <w:pPr>
      <w:pStyle w:val="Header"/>
      <w:jc w:val="cent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6AE0"/>
    <w:rsid w:val="00016D64"/>
    <w:rsid w:val="000230E7"/>
    <w:rsid w:val="00045442"/>
    <w:rsid w:val="00046DD2"/>
    <w:rsid w:val="000533CB"/>
    <w:rsid w:val="00066916"/>
    <w:rsid w:val="000879BC"/>
    <w:rsid w:val="000902F9"/>
    <w:rsid w:val="000945D3"/>
    <w:rsid w:val="000A0CEF"/>
    <w:rsid w:val="000A135C"/>
    <w:rsid w:val="000B3411"/>
    <w:rsid w:val="000B39C5"/>
    <w:rsid w:val="000C18B9"/>
    <w:rsid w:val="000E0D6C"/>
    <w:rsid w:val="000E6B35"/>
    <w:rsid w:val="000F7663"/>
    <w:rsid w:val="00104CF6"/>
    <w:rsid w:val="00107712"/>
    <w:rsid w:val="00111E71"/>
    <w:rsid w:val="00114F93"/>
    <w:rsid w:val="00152AEE"/>
    <w:rsid w:val="001A4A02"/>
    <w:rsid w:val="001A7434"/>
    <w:rsid w:val="001B5218"/>
    <w:rsid w:val="001B77D6"/>
    <w:rsid w:val="001C5DEB"/>
    <w:rsid w:val="001E78B4"/>
    <w:rsid w:val="00201B8C"/>
    <w:rsid w:val="00213CAD"/>
    <w:rsid w:val="002214F8"/>
    <w:rsid w:val="0022642B"/>
    <w:rsid w:val="0024131E"/>
    <w:rsid w:val="00243FD8"/>
    <w:rsid w:val="0024587F"/>
    <w:rsid w:val="0025270C"/>
    <w:rsid w:val="00254B92"/>
    <w:rsid w:val="00266EEC"/>
    <w:rsid w:val="002671BE"/>
    <w:rsid w:val="0027212A"/>
    <w:rsid w:val="002779B7"/>
    <w:rsid w:val="002B62DE"/>
    <w:rsid w:val="002C402D"/>
    <w:rsid w:val="002D4AC8"/>
    <w:rsid w:val="002E3F48"/>
    <w:rsid w:val="002E66F9"/>
    <w:rsid w:val="002F0440"/>
    <w:rsid w:val="002F79D4"/>
    <w:rsid w:val="00303FA5"/>
    <w:rsid w:val="003059D5"/>
    <w:rsid w:val="00316786"/>
    <w:rsid w:val="003239C5"/>
    <w:rsid w:val="003465C8"/>
    <w:rsid w:val="0038390D"/>
    <w:rsid w:val="003857EC"/>
    <w:rsid w:val="00386D32"/>
    <w:rsid w:val="0039037B"/>
    <w:rsid w:val="003906D8"/>
    <w:rsid w:val="003D7045"/>
    <w:rsid w:val="00402413"/>
    <w:rsid w:val="00412A61"/>
    <w:rsid w:val="00424144"/>
    <w:rsid w:val="004278D1"/>
    <w:rsid w:val="004440CB"/>
    <w:rsid w:val="00444FD2"/>
    <w:rsid w:val="00445E69"/>
    <w:rsid w:val="004713D2"/>
    <w:rsid w:val="004817F3"/>
    <w:rsid w:val="004918F1"/>
    <w:rsid w:val="004A05FC"/>
    <w:rsid w:val="004A18C6"/>
    <w:rsid w:val="004B0082"/>
    <w:rsid w:val="004C370E"/>
    <w:rsid w:val="004D2BC7"/>
    <w:rsid w:val="004D4E14"/>
    <w:rsid w:val="004F7173"/>
    <w:rsid w:val="0051050B"/>
    <w:rsid w:val="00530395"/>
    <w:rsid w:val="00540B6A"/>
    <w:rsid w:val="00540DDE"/>
    <w:rsid w:val="00541FE3"/>
    <w:rsid w:val="005478C9"/>
    <w:rsid w:val="00550023"/>
    <w:rsid w:val="00550412"/>
    <w:rsid w:val="00555018"/>
    <w:rsid w:val="00571789"/>
    <w:rsid w:val="005741F6"/>
    <w:rsid w:val="00580EC6"/>
    <w:rsid w:val="005A24EF"/>
    <w:rsid w:val="005A4787"/>
    <w:rsid w:val="005B2884"/>
    <w:rsid w:val="005C5E81"/>
    <w:rsid w:val="005E150B"/>
    <w:rsid w:val="005E7E85"/>
    <w:rsid w:val="00615E64"/>
    <w:rsid w:val="00622333"/>
    <w:rsid w:val="00650D8E"/>
    <w:rsid w:val="006B3D07"/>
    <w:rsid w:val="006B7E26"/>
    <w:rsid w:val="006C0248"/>
    <w:rsid w:val="006D01F6"/>
    <w:rsid w:val="006D49D8"/>
    <w:rsid w:val="006D5838"/>
    <w:rsid w:val="006E5B7A"/>
    <w:rsid w:val="006F226E"/>
    <w:rsid w:val="006F51A8"/>
    <w:rsid w:val="00714102"/>
    <w:rsid w:val="00720B6F"/>
    <w:rsid w:val="007229E9"/>
    <w:rsid w:val="00725174"/>
    <w:rsid w:val="0073675F"/>
    <w:rsid w:val="007472C1"/>
    <w:rsid w:val="007535BB"/>
    <w:rsid w:val="007611FE"/>
    <w:rsid w:val="00777E1D"/>
    <w:rsid w:val="00785050"/>
    <w:rsid w:val="007A3379"/>
    <w:rsid w:val="007C04E5"/>
    <w:rsid w:val="007C592E"/>
    <w:rsid w:val="007E17BE"/>
    <w:rsid w:val="00803A23"/>
    <w:rsid w:val="008061C2"/>
    <w:rsid w:val="00815BF2"/>
    <w:rsid w:val="00820C41"/>
    <w:rsid w:val="008235BE"/>
    <w:rsid w:val="00855CD6"/>
    <w:rsid w:val="00865634"/>
    <w:rsid w:val="008A154B"/>
    <w:rsid w:val="008A40E0"/>
    <w:rsid w:val="008C331F"/>
    <w:rsid w:val="00904165"/>
    <w:rsid w:val="00907E93"/>
    <w:rsid w:val="009374E4"/>
    <w:rsid w:val="00946BB4"/>
    <w:rsid w:val="00946E55"/>
    <w:rsid w:val="00947084"/>
    <w:rsid w:val="0096171F"/>
    <w:rsid w:val="009645CD"/>
    <w:rsid w:val="00970DEB"/>
    <w:rsid w:val="00981A1F"/>
    <w:rsid w:val="00984F56"/>
    <w:rsid w:val="009A4FB3"/>
    <w:rsid w:val="009B5669"/>
    <w:rsid w:val="009F68F4"/>
    <w:rsid w:val="00A05EDB"/>
    <w:rsid w:val="00A06A16"/>
    <w:rsid w:val="00A11BDC"/>
    <w:rsid w:val="00A15144"/>
    <w:rsid w:val="00A3182D"/>
    <w:rsid w:val="00A35101"/>
    <w:rsid w:val="00A52A66"/>
    <w:rsid w:val="00A52CD9"/>
    <w:rsid w:val="00A6445C"/>
    <w:rsid w:val="00A870EF"/>
    <w:rsid w:val="00A93C47"/>
    <w:rsid w:val="00AA0006"/>
    <w:rsid w:val="00AC3813"/>
    <w:rsid w:val="00AD4B71"/>
    <w:rsid w:val="00AE555C"/>
    <w:rsid w:val="00AF12FB"/>
    <w:rsid w:val="00AF56F5"/>
    <w:rsid w:val="00B03E1C"/>
    <w:rsid w:val="00B216D4"/>
    <w:rsid w:val="00B24B05"/>
    <w:rsid w:val="00B25721"/>
    <w:rsid w:val="00B316DC"/>
    <w:rsid w:val="00B36F9D"/>
    <w:rsid w:val="00B6135D"/>
    <w:rsid w:val="00BA0F95"/>
    <w:rsid w:val="00BB20A7"/>
    <w:rsid w:val="00BB6946"/>
    <w:rsid w:val="00BB7826"/>
    <w:rsid w:val="00C0210B"/>
    <w:rsid w:val="00C22AFC"/>
    <w:rsid w:val="00C4275E"/>
    <w:rsid w:val="00C6071A"/>
    <w:rsid w:val="00C760D6"/>
    <w:rsid w:val="00C869B3"/>
    <w:rsid w:val="00C9772C"/>
    <w:rsid w:val="00CB5806"/>
    <w:rsid w:val="00CC4859"/>
    <w:rsid w:val="00CE532D"/>
    <w:rsid w:val="00CE7DA0"/>
    <w:rsid w:val="00CF32AA"/>
    <w:rsid w:val="00D0004D"/>
    <w:rsid w:val="00D01A55"/>
    <w:rsid w:val="00D13D23"/>
    <w:rsid w:val="00D16947"/>
    <w:rsid w:val="00D5351E"/>
    <w:rsid w:val="00D61B6F"/>
    <w:rsid w:val="00D759DB"/>
    <w:rsid w:val="00D9263A"/>
    <w:rsid w:val="00D95836"/>
    <w:rsid w:val="00DA1E64"/>
    <w:rsid w:val="00DB25BF"/>
    <w:rsid w:val="00DB3451"/>
    <w:rsid w:val="00DC2909"/>
    <w:rsid w:val="00DC7D84"/>
    <w:rsid w:val="00DD122E"/>
    <w:rsid w:val="00DD48C9"/>
    <w:rsid w:val="00DD58BD"/>
    <w:rsid w:val="00DE189A"/>
    <w:rsid w:val="00DE6362"/>
    <w:rsid w:val="00DF0352"/>
    <w:rsid w:val="00E14B9C"/>
    <w:rsid w:val="00E251EA"/>
    <w:rsid w:val="00E35157"/>
    <w:rsid w:val="00E35171"/>
    <w:rsid w:val="00E36FA6"/>
    <w:rsid w:val="00E722CA"/>
    <w:rsid w:val="00E73DB1"/>
    <w:rsid w:val="00E930DD"/>
    <w:rsid w:val="00E9570B"/>
    <w:rsid w:val="00EA5757"/>
    <w:rsid w:val="00EB0B16"/>
    <w:rsid w:val="00EB1664"/>
    <w:rsid w:val="00EC5454"/>
    <w:rsid w:val="00EC56E8"/>
    <w:rsid w:val="00EF62F7"/>
    <w:rsid w:val="00F042CB"/>
    <w:rsid w:val="00F3003D"/>
    <w:rsid w:val="00F44E24"/>
    <w:rsid w:val="00F566F4"/>
    <w:rsid w:val="00F65FAA"/>
    <w:rsid w:val="00F816B8"/>
    <w:rsid w:val="00F85B37"/>
    <w:rsid w:val="00F90AAD"/>
    <w:rsid w:val="00F969D4"/>
    <w:rsid w:val="00FB10AE"/>
    <w:rsid w:val="00FC5FDD"/>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4SQX5P7U7WPY-958212181-811141</_dlc_DocId>
    <_dlc_DocIdUrl xmlns="c890fddd-4e87-4e08-8b51-545f2a3f7b06">
      <Url>https://senpr.sharepoint.com/sites/obralegislativa/_layouts/15/DocIdRedir.aspx?ID=4SQX5P7U7WPY-958212181-811141</Url>
      <Description>4SQX5P7U7WPY-958212181-811141</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A59A7B83-5B1E-41AF-AC72-740E446AC3E1}"/>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46692195-E9D8-46A6-88E1-A18E46A53D54}"/>
</file>

<file path=docProps/app.xml><?xml version="1.0" encoding="utf-8"?>
<Properties xmlns="http://schemas.openxmlformats.org/officeDocument/2006/extended-properties" xmlns:vt="http://schemas.openxmlformats.org/officeDocument/2006/docPropsVTypes">
  <Template>Medida-V2009</Template>
  <TotalTime>1</TotalTime>
  <Pages>3</Pages>
  <Words>972</Words>
  <Characters>5500</Characters>
  <Application>Microsoft Office Word</Application>
  <DocSecurity>0</DocSecurity>
  <Lines>45</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matorres</dc:creator>
  <cp:keywords/>
  <dc:description/>
  <cp:lastModifiedBy>Eric J. González (Trámites y Récords)</cp:lastModifiedBy>
  <cp:revision>3</cp:revision>
  <cp:lastPrinted>2025-03-06T13:07:00Z</cp:lastPrinted>
  <dcterms:created xsi:type="dcterms:W3CDTF">2025-03-07T15:50:00Z</dcterms:created>
  <dcterms:modified xsi:type="dcterms:W3CDTF">2025-03-07T15:50:00Z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b85798ac-5fb6-4eb7-a3f7-535518dfdf11</vt:lpwstr>
  </property>
  <property fmtid="{D5CDD505-2E9C-101B-9397-08002B2CF9AE}" pid="4" name="MediaServiceImageTags">
    <vt:lpwstr/>
  </property>
</Properties>
</file>