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footer2.xml" ContentType="application/vnd.openxmlformats-officedocument.wordprocessingml.footer+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A353DD" w14:textId="77777777" w:rsidR="000F6729" w:rsidRPr="00BC74F8" w:rsidRDefault="000F6729" w:rsidP="000F6729">
      <w:pPr>
        <w:jc w:val="center"/>
        <w:rPr>
          <w:rFonts w:ascii="Book Antiqua" w:hAnsi="Book Antiqua"/>
          <w:sz w:val="28"/>
          <w:szCs w:val="16"/>
          <w:lang w:val="es-ES_tradnl"/>
        </w:rPr>
      </w:pPr>
      <w:r w:rsidRPr="00BC74F8">
        <w:rPr>
          <w:rFonts w:ascii="Book Antiqua" w:hAnsi="Book Antiqua"/>
          <w:sz w:val="28"/>
          <w:szCs w:val="16"/>
          <w:lang w:val="es-ES_tradnl"/>
        </w:rPr>
        <w:t>GOBIERNO DE PUERTO RICO</w:t>
      </w:r>
    </w:p>
    <w:p w14:paraId="0ED52BDE" w14:textId="77777777" w:rsidR="000F6729" w:rsidRDefault="000F6729" w:rsidP="000F6729">
      <w:pPr>
        <w:jc w:val="center"/>
        <w:rPr>
          <w:rFonts w:ascii="Book Antiqua" w:hAnsi="Book Antiqua"/>
          <w:sz w:val="36"/>
          <w:lang w:val="es-ES_tradnl"/>
        </w:rPr>
      </w:pPr>
    </w:p>
    <w:p w14:paraId="23008A50" w14:textId="77777777" w:rsidR="000F6729" w:rsidRDefault="000F6729" w:rsidP="000F6729">
      <w:pPr>
        <w:pStyle w:val="Title2"/>
        <w:rPr>
          <w:rFonts w:ascii="Book Antiqua" w:hAnsi="Book Antiqua"/>
          <w:lang w:val="es-ES_tradnl"/>
        </w:rPr>
      </w:pPr>
      <w:r>
        <w:rPr>
          <w:rFonts w:ascii="Book Antiqua" w:hAnsi="Book Antiqua"/>
          <w:lang w:val="es-ES_tradnl"/>
        </w:rPr>
        <w:t xml:space="preserve">20 </w:t>
      </w:r>
      <w:r>
        <w:rPr>
          <w:rFonts w:ascii="Book Antiqua" w:hAnsi="Book Antiqua"/>
          <w:vertAlign w:val="superscript"/>
          <w:lang w:val="es-ES_tradnl"/>
        </w:rPr>
        <w:t>ma.</w:t>
      </w:r>
      <w:r>
        <w:rPr>
          <w:rFonts w:ascii="Book Antiqua" w:hAnsi="Book Antiqua"/>
          <w:lang w:val="es-ES_tradnl"/>
        </w:rPr>
        <w:tab/>
        <w:t>Asamblea</w:t>
      </w:r>
      <w:r>
        <w:rPr>
          <w:rFonts w:ascii="Book Antiqua" w:hAnsi="Book Antiqua"/>
          <w:lang w:val="es-ES_tradnl"/>
        </w:rPr>
        <w:tab/>
        <w:t xml:space="preserve">1 </w:t>
      </w:r>
      <w:r>
        <w:rPr>
          <w:rFonts w:ascii="Book Antiqua" w:hAnsi="Book Antiqua"/>
          <w:vertAlign w:val="superscript"/>
          <w:lang w:val="es-ES_tradnl"/>
        </w:rPr>
        <w:t>ra.</w:t>
      </w:r>
      <w:r>
        <w:rPr>
          <w:rFonts w:ascii="Book Antiqua" w:hAnsi="Book Antiqua"/>
          <w:lang w:val="es-ES_tradnl"/>
        </w:rPr>
        <w:tab/>
        <w:t>Sesión</w:t>
      </w:r>
    </w:p>
    <w:p w14:paraId="66C6EE69" w14:textId="77777777" w:rsidR="000F6729" w:rsidRDefault="000F6729" w:rsidP="000F6729">
      <w:pPr>
        <w:pStyle w:val="Title2"/>
        <w:rPr>
          <w:rFonts w:ascii="Book Antiqua" w:hAnsi="Book Antiqua"/>
          <w:lang w:val="es-ES_tradnl"/>
        </w:rPr>
      </w:pPr>
      <w:r>
        <w:rPr>
          <w:rFonts w:ascii="Book Antiqua" w:hAnsi="Book Antiqua"/>
          <w:lang w:val="es-ES_tradnl"/>
        </w:rPr>
        <w:tab/>
        <w:t>Legislativa</w:t>
      </w:r>
      <w:r>
        <w:rPr>
          <w:rFonts w:ascii="Book Antiqua" w:hAnsi="Book Antiqua"/>
          <w:lang w:val="es-ES_tradnl"/>
        </w:rPr>
        <w:tab/>
      </w:r>
      <w:r>
        <w:rPr>
          <w:rFonts w:ascii="Book Antiqua" w:hAnsi="Book Antiqua"/>
          <w:lang w:val="es-ES_tradnl"/>
        </w:rPr>
        <w:tab/>
        <w:t>Ordinaria</w:t>
      </w:r>
    </w:p>
    <w:p w14:paraId="78B519B1" w14:textId="77777777" w:rsidR="000F6729" w:rsidRDefault="000F6729" w:rsidP="000F6729">
      <w:pPr>
        <w:rPr>
          <w:lang w:val="es-ES_tradnl"/>
        </w:rPr>
      </w:pPr>
    </w:p>
    <w:p w14:paraId="56A79C8D" w14:textId="77777777" w:rsidR="000F6729" w:rsidRPr="00BC74F8" w:rsidRDefault="000F6729" w:rsidP="000F6729">
      <w:pPr>
        <w:spacing w:line="360" w:lineRule="auto"/>
        <w:jc w:val="center"/>
        <w:rPr>
          <w:rFonts w:ascii="Book Antiqua" w:hAnsi="Book Antiqua"/>
          <w:b/>
          <w:sz w:val="36"/>
          <w:lang w:val="es-ES_tradnl"/>
        </w:rPr>
      </w:pPr>
      <w:r w:rsidRPr="00BC74F8">
        <w:rPr>
          <w:rFonts w:ascii="Book Antiqua" w:hAnsi="Book Antiqua"/>
          <w:b/>
          <w:sz w:val="36"/>
          <w:lang w:val="es-ES_tradnl"/>
        </w:rPr>
        <w:t>SENADO DE PUERTO RICO</w:t>
      </w:r>
    </w:p>
    <w:p w14:paraId="772DB3CC" w14:textId="77777777" w:rsidR="000F6729" w:rsidRPr="00BC74F8" w:rsidRDefault="000F6729" w:rsidP="000F6729">
      <w:pPr>
        <w:spacing w:line="360" w:lineRule="auto"/>
        <w:jc w:val="center"/>
        <w:rPr>
          <w:rFonts w:ascii="Book Antiqua" w:hAnsi="Book Antiqua"/>
          <w:b/>
          <w:sz w:val="52"/>
          <w:szCs w:val="52"/>
          <w:lang w:val="es-ES_tradnl"/>
        </w:rPr>
      </w:pPr>
      <w:r w:rsidRPr="00BC74F8">
        <w:rPr>
          <w:rFonts w:ascii="Book Antiqua" w:hAnsi="Book Antiqua"/>
          <w:b/>
          <w:sz w:val="52"/>
          <w:szCs w:val="52"/>
          <w:lang w:val="es-ES_tradnl"/>
        </w:rPr>
        <w:t xml:space="preserve">P. del S. </w:t>
      </w:r>
      <w:r w:rsidR="000E06B7" w:rsidRPr="00BC74F8">
        <w:rPr>
          <w:rFonts w:ascii="Book Antiqua" w:hAnsi="Book Antiqua"/>
          <w:b/>
          <w:sz w:val="52"/>
          <w:szCs w:val="52"/>
          <w:lang w:val="es-ES_tradnl"/>
        </w:rPr>
        <w:t>25</w:t>
      </w:r>
    </w:p>
    <w:p w14:paraId="2F578C80" w14:textId="77777777" w:rsidR="000F6729" w:rsidRPr="00DE2902" w:rsidRDefault="000F6729" w:rsidP="00DE2902">
      <w:pPr>
        <w:spacing w:line="360" w:lineRule="auto"/>
        <w:jc w:val="center"/>
        <w:rPr>
          <w:rFonts w:ascii="Book Antiqua" w:hAnsi="Book Antiqua"/>
          <w:b/>
          <w:bCs/>
          <w:lang w:val="es-ES_tradnl"/>
        </w:rPr>
      </w:pPr>
      <w:r>
        <w:rPr>
          <w:rFonts w:ascii="Book Antiqua" w:hAnsi="Book Antiqua"/>
          <w:lang w:val="es-ES_tradnl"/>
        </w:rPr>
        <w:t xml:space="preserve">  </w:t>
      </w:r>
      <w:r w:rsidR="00DE2902" w:rsidRPr="00BC74F8">
        <w:rPr>
          <w:rFonts w:ascii="Book Antiqua" w:hAnsi="Book Antiqua"/>
          <w:b/>
          <w:bCs/>
          <w:sz w:val="28"/>
          <w:szCs w:val="22"/>
          <w:lang w:val="es-ES_tradnl"/>
        </w:rPr>
        <w:t xml:space="preserve">INFORME POSITIVO </w:t>
      </w:r>
    </w:p>
    <w:p w14:paraId="77734161" w14:textId="5BDD57E3" w:rsidR="000F6729" w:rsidRPr="007E538D" w:rsidRDefault="00751EFA" w:rsidP="007E538D">
      <w:pPr>
        <w:spacing w:line="360" w:lineRule="auto"/>
        <w:jc w:val="center"/>
        <w:rPr>
          <w:rFonts w:ascii="Book Antiqua" w:hAnsi="Book Antiqua"/>
          <w:i/>
          <w:szCs w:val="24"/>
          <w:lang w:val="es-419"/>
        </w:rPr>
      </w:pPr>
      <w:r>
        <w:rPr>
          <w:rFonts w:ascii="Book Antiqua" w:hAnsi="Book Antiqua"/>
          <w:lang w:val="es-ES_tradnl"/>
        </w:rPr>
        <w:t>7</w:t>
      </w:r>
      <w:r w:rsidR="00DE2902">
        <w:rPr>
          <w:rFonts w:ascii="Book Antiqua" w:hAnsi="Book Antiqua"/>
          <w:lang w:val="es-ES_tradnl"/>
        </w:rPr>
        <w:t xml:space="preserve"> de marzo de 2025</w:t>
      </w:r>
    </w:p>
    <w:p w14:paraId="1BA0277E" w14:textId="77777777" w:rsidR="00DE2902" w:rsidRDefault="00DE2902" w:rsidP="000F6729">
      <w:pPr>
        <w:jc w:val="center"/>
        <w:rPr>
          <w:rFonts w:ascii="Book Antiqua" w:hAnsi="Book Antiqua"/>
          <w:b/>
          <w:sz w:val="28"/>
          <w:szCs w:val="28"/>
          <w:lang w:val="es-ES_tradnl"/>
        </w:rPr>
      </w:pPr>
    </w:p>
    <w:p w14:paraId="6A17CCFC" w14:textId="77777777" w:rsidR="00DE2902" w:rsidRDefault="00DE2902" w:rsidP="00DE2902">
      <w:pPr>
        <w:rPr>
          <w:rFonts w:ascii="Book Antiqua" w:hAnsi="Book Antiqua"/>
          <w:b/>
          <w:sz w:val="28"/>
          <w:szCs w:val="28"/>
          <w:lang w:val="es-ES_tradnl"/>
        </w:rPr>
      </w:pPr>
      <w:r>
        <w:rPr>
          <w:rFonts w:ascii="Book Antiqua" w:hAnsi="Book Antiqua"/>
          <w:b/>
          <w:sz w:val="28"/>
          <w:szCs w:val="28"/>
          <w:lang w:val="es-ES_tradnl"/>
        </w:rPr>
        <w:t xml:space="preserve">AL SENADO DE PUERTO RICO: </w:t>
      </w:r>
    </w:p>
    <w:p w14:paraId="2E1FD2F0" w14:textId="77777777" w:rsidR="00DE2902" w:rsidRDefault="00DE2902" w:rsidP="000F6729">
      <w:pPr>
        <w:jc w:val="center"/>
        <w:rPr>
          <w:rFonts w:ascii="Book Antiqua" w:hAnsi="Book Antiqua"/>
          <w:b/>
          <w:sz w:val="28"/>
          <w:szCs w:val="28"/>
          <w:lang w:val="es-ES_tradnl"/>
        </w:rPr>
      </w:pPr>
    </w:p>
    <w:p w14:paraId="15EC108A" w14:textId="77777777" w:rsidR="00DE2902" w:rsidRDefault="00DE2902" w:rsidP="007E538D">
      <w:pPr>
        <w:ind w:firstLine="540"/>
        <w:jc w:val="both"/>
        <w:rPr>
          <w:rFonts w:ascii="Book Antiqua" w:hAnsi="Book Antiqua"/>
          <w:bCs/>
          <w:szCs w:val="24"/>
          <w:lang w:val="es-ES_tradnl"/>
        </w:rPr>
      </w:pPr>
      <w:r w:rsidRPr="00DE2902">
        <w:rPr>
          <w:rFonts w:ascii="Book Antiqua" w:hAnsi="Book Antiqua"/>
          <w:bCs/>
          <w:szCs w:val="24"/>
          <w:lang w:val="es-ES_tradnl"/>
        </w:rPr>
        <w:t xml:space="preserve">La Comisión de Vivienda y Bienestar Social del Senado de Puerto Rico, previo estudio concienzudo y consideración, tiene a bien recomendar a este Alto Cuerpo la aprobación del Proyecto del Senado </w:t>
      </w:r>
      <w:r>
        <w:rPr>
          <w:rFonts w:ascii="Book Antiqua" w:hAnsi="Book Antiqua"/>
          <w:bCs/>
          <w:szCs w:val="24"/>
          <w:lang w:val="es-ES_tradnl"/>
        </w:rPr>
        <w:t>25</w:t>
      </w:r>
      <w:r w:rsidRPr="00DE2902">
        <w:rPr>
          <w:rFonts w:ascii="Book Antiqua" w:hAnsi="Book Antiqua"/>
          <w:bCs/>
          <w:szCs w:val="24"/>
          <w:lang w:val="es-ES_tradnl"/>
        </w:rPr>
        <w:t>, con las enmiendas contenidas en el entirillado electrónico que se acompaña.</w:t>
      </w:r>
    </w:p>
    <w:p w14:paraId="1C433F53" w14:textId="77777777" w:rsidR="00DE2902" w:rsidRDefault="00DE2902" w:rsidP="00DE2902">
      <w:pPr>
        <w:ind w:firstLine="540"/>
        <w:jc w:val="both"/>
        <w:rPr>
          <w:rFonts w:ascii="Book Antiqua" w:hAnsi="Book Antiqua"/>
          <w:bCs/>
          <w:szCs w:val="24"/>
          <w:lang w:val="es-ES_tradnl"/>
        </w:rPr>
      </w:pPr>
    </w:p>
    <w:p w14:paraId="5AE107AD" w14:textId="77777777" w:rsidR="00DE2902" w:rsidRDefault="00DE2902" w:rsidP="00DE2902">
      <w:pPr>
        <w:ind w:firstLine="540"/>
        <w:jc w:val="center"/>
        <w:rPr>
          <w:rFonts w:ascii="Book Antiqua" w:hAnsi="Book Antiqua"/>
          <w:b/>
          <w:szCs w:val="24"/>
          <w:lang w:val="es-ES_tradnl"/>
        </w:rPr>
      </w:pPr>
      <w:r w:rsidRPr="00DE2902">
        <w:rPr>
          <w:rFonts w:ascii="Book Antiqua" w:hAnsi="Book Antiqua"/>
          <w:b/>
          <w:szCs w:val="24"/>
          <w:lang w:val="es-ES_tradnl"/>
        </w:rPr>
        <w:t>ALCANCE DE LA MEDIDA</w:t>
      </w:r>
    </w:p>
    <w:p w14:paraId="05F05E5A" w14:textId="77777777" w:rsidR="00DE2902" w:rsidRDefault="00DE2902" w:rsidP="007E538D">
      <w:pPr>
        <w:ind w:firstLine="540"/>
        <w:rPr>
          <w:rFonts w:ascii="Book Antiqua" w:hAnsi="Book Antiqua"/>
          <w:b/>
          <w:szCs w:val="24"/>
          <w:lang w:val="es-ES_tradnl"/>
        </w:rPr>
      </w:pPr>
    </w:p>
    <w:p w14:paraId="716068C0" w14:textId="77777777" w:rsidR="005C2E80" w:rsidRPr="00DE2902" w:rsidRDefault="00DE2902" w:rsidP="007E538D">
      <w:pPr>
        <w:ind w:firstLine="540"/>
        <w:jc w:val="both"/>
        <w:rPr>
          <w:rFonts w:ascii="Book Antiqua" w:hAnsi="Book Antiqua"/>
          <w:bCs/>
          <w:szCs w:val="24"/>
          <w:lang w:val="es-ES_tradnl"/>
        </w:rPr>
      </w:pPr>
      <w:r>
        <w:rPr>
          <w:rFonts w:ascii="Book Antiqua" w:hAnsi="Book Antiqua"/>
          <w:bCs/>
          <w:szCs w:val="24"/>
          <w:lang w:val="es-ES_tradnl"/>
        </w:rPr>
        <w:t xml:space="preserve">El Proyecto del Senado 25 tiene como objetivo </w:t>
      </w:r>
      <w:r w:rsidR="005C2E80" w:rsidRPr="00AE4B90">
        <w:rPr>
          <w:rFonts w:ascii="Book Antiqua" w:hAnsi="Book Antiqua"/>
          <w:szCs w:val="24"/>
          <w:lang w:val="es-ES"/>
        </w:rPr>
        <w:t xml:space="preserve">enmendar el Artículo 8 de la Ley 74-2006, conocida como “Ley del Programa de Ayuda a Jugadores Compulsivos de Puerto Rico”; </w:t>
      </w:r>
      <w:r w:rsidR="00F162B3" w:rsidRPr="00AE4B90">
        <w:rPr>
          <w:rFonts w:ascii="Book Antiqua" w:hAnsi="Book Antiqua"/>
          <w:szCs w:val="24"/>
          <w:lang w:val="es-ES"/>
        </w:rPr>
        <w:t>enmendar el</w:t>
      </w:r>
      <w:r w:rsidR="00951D5A" w:rsidRPr="00AE4B90">
        <w:rPr>
          <w:rFonts w:ascii="Book Antiqua" w:hAnsi="Book Antiqua"/>
          <w:szCs w:val="24"/>
          <w:lang w:val="es-ES"/>
        </w:rPr>
        <w:t xml:space="preserve"> Artículo 13 de la Ley 83 de 2 julio de 1987, seg</w:t>
      </w:r>
      <w:r w:rsidR="006A3F44" w:rsidRPr="00AE4B90">
        <w:rPr>
          <w:rFonts w:ascii="Book Antiqua" w:hAnsi="Book Antiqua"/>
          <w:szCs w:val="24"/>
          <w:lang w:val="es-ES"/>
        </w:rPr>
        <w:t>ú</w:t>
      </w:r>
      <w:r w:rsidR="00951D5A" w:rsidRPr="00AE4B90">
        <w:rPr>
          <w:rFonts w:ascii="Book Antiqua" w:hAnsi="Book Antiqua"/>
          <w:szCs w:val="24"/>
          <w:lang w:val="es-ES"/>
        </w:rPr>
        <w:t xml:space="preserve">n enmendada, conocida como “Ley de la Industria y el Deporte Hípico de Puerto Rico, </w:t>
      </w:r>
      <w:r w:rsidR="007A487E" w:rsidRPr="00AE4B90">
        <w:rPr>
          <w:rFonts w:ascii="Book Antiqua" w:hAnsi="Book Antiqua"/>
          <w:szCs w:val="24"/>
          <w:lang w:val="es-ES"/>
        </w:rPr>
        <w:t>a</w:t>
      </w:r>
      <w:r w:rsidR="005C2E80" w:rsidRPr="00AE4B90">
        <w:rPr>
          <w:rFonts w:ascii="Book Antiqua" w:hAnsi="Book Antiqua"/>
          <w:szCs w:val="24"/>
          <w:lang w:val="es-ES"/>
        </w:rPr>
        <w:t xml:space="preserve"> los fines de establecer un nuevo cómputo por el cual se identificarán y asignarán los fondos necesarios para sufragar los propósitos del Programa de Ayuda a Jugadores Compulsivos de Puerto Rico adscrito a la Administración de Servicios de Salud Mental y Contra la Adicción; y para otros fines relacionados. </w:t>
      </w:r>
    </w:p>
    <w:p w14:paraId="1A9F8796" w14:textId="77777777" w:rsidR="005C2E80" w:rsidRPr="008E4DAB" w:rsidRDefault="00112D46" w:rsidP="005C2E80">
      <w:pPr>
        <w:pStyle w:val="Heading3"/>
        <w:tabs>
          <w:tab w:val="left" w:pos="-720"/>
        </w:tabs>
        <w:jc w:val="center"/>
        <w:rPr>
          <w:rFonts w:ascii="Book Antiqua" w:hAnsi="Book Antiqua"/>
          <w:bCs w:val="0"/>
          <w:sz w:val="24"/>
          <w:szCs w:val="24"/>
          <w:lang w:val="es-US"/>
        </w:rPr>
      </w:pPr>
      <w:r>
        <w:rPr>
          <w:rFonts w:ascii="Book Antiqua" w:hAnsi="Book Antiqua"/>
          <w:bCs w:val="0"/>
          <w:sz w:val="24"/>
          <w:szCs w:val="24"/>
          <w:lang w:val="es-US"/>
        </w:rPr>
        <w:t xml:space="preserve">INTRODUCCIÓN </w:t>
      </w:r>
    </w:p>
    <w:p w14:paraId="75214674" w14:textId="77777777" w:rsidR="005C2E80" w:rsidRPr="000216BB" w:rsidRDefault="005C2E80" w:rsidP="005C2E80">
      <w:pPr>
        <w:rPr>
          <w:rFonts w:ascii="Book Antiqua" w:hAnsi="Book Antiqua"/>
          <w:sz w:val="8"/>
          <w:szCs w:val="8"/>
          <w:lang w:val="es-ES_tradnl"/>
        </w:rPr>
      </w:pPr>
    </w:p>
    <w:p w14:paraId="1898BC7D" w14:textId="77777777" w:rsidR="00112D46" w:rsidRDefault="005C2E80" w:rsidP="007E538D">
      <w:pPr>
        <w:tabs>
          <w:tab w:val="left" w:pos="-720"/>
        </w:tabs>
        <w:suppressAutoHyphens/>
        <w:spacing w:before="120" w:after="120"/>
        <w:jc w:val="both"/>
        <w:rPr>
          <w:rFonts w:ascii="Book Antiqua" w:hAnsi="Book Antiqua"/>
          <w:iCs/>
          <w:spacing w:val="-3"/>
          <w:szCs w:val="24"/>
          <w:lang w:val="es-PR"/>
        </w:rPr>
      </w:pPr>
      <w:r w:rsidRPr="00AE4B90">
        <w:rPr>
          <w:rFonts w:ascii="Book Antiqua" w:hAnsi="Book Antiqua"/>
          <w:i/>
          <w:spacing w:val="-3"/>
          <w:szCs w:val="24"/>
          <w:lang w:val="es-ES_tradnl"/>
        </w:rPr>
        <w:tab/>
      </w:r>
      <w:r w:rsidR="007F2A2C" w:rsidRPr="007F2A2C">
        <w:rPr>
          <w:rFonts w:ascii="Book Antiqua" w:hAnsi="Book Antiqua"/>
          <w:iCs/>
          <w:spacing w:val="-3"/>
          <w:szCs w:val="24"/>
          <w:lang w:val="es-PR"/>
        </w:rPr>
        <w:t xml:space="preserve">En Puerto Rico, durante las últimas décadas, </w:t>
      </w:r>
      <w:r w:rsidR="00112D46">
        <w:rPr>
          <w:rFonts w:ascii="Book Antiqua" w:hAnsi="Book Antiqua"/>
          <w:iCs/>
          <w:spacing w:val="-3"/>
          <w:szCs w:val="24"/>
          <w:lang w:val="es-PR"/>
        </w:rPr>
        <w:t xml:space="preserve">se </w:t>
      </w:r>
      <w:r w:rsidR="007F2A2C" w:rsidRPr="007F2A2C">
        <w:rPr>
          <w:rFonts w:ascii="Book Antiqua" w:hAnsi="Book Antiqua"/>
          <w:iCs/>
          <w:spacing w:val="-3"/>
          <w:szCs w:val="24"/>
          <w:lang w:val="es-PR"/>
        </w:rPr>
        <w:t>ha proliferado s</w:t>
      </w:r>
      <w:r w:rsidR="00112D46">
        <w:rPr>
          <w:rFonts w:ascii="Book Antiqua" w:hAnsi="Book Antiqua"/>
          <w:iCs/>
          <w:spacing w:val="-3"/>
          <w:szCs w:val="24"/>
          <w:lang w:val="es-PR"/>
        </w:rPr>
        <w:t>ignificativa</w:t>
      </w:r>
      <w:r w:rsidR="007F2A2C" w:rsidRPr="007F2A2C">
        <w:rPr>
          <w:rFonts w:ascii="Book Antiqua" w:hAnsi="Book Antiqua"/>
          <w:iCs/>
          <w:spacing w:val="-3"/>
          <w:szCs w:val="24"/>
          <w:lang w:val="es-PR"/>
        </w:rPr>
        <w:t xml:space="preserve">mente la creación de juegos de azar lícitos en diferentes modalidades. Así, de tiempo en tiempo, se han desarrollado numerosas plataformas de juego en las cuales los puertorriqueños realizan sus </w:t>
      </w:r>
      <w:r w:rsidR="00112D46">
        <w:rPr>
          <w:rFonts w:ascii="Book Antiqua" w:hAnsi="Book Antiqua"/>
          <w:iCs/>
          <w:spacing w:val="-3"/>
          <w:szCs w:val="24"/>
          <w:lang w:val="es-PR"/>
        </w:rPr>
        <w:t>apuestas y eligen probar su suerte.</w:t>
      </w:r>
    </w:p>
    <w:p w14:paraId="3683D410" w14:textId="77777777" w:rsidR="00232427" w:rsidRDefault="00112D46" w:rsidP="007E538D">
      <w:pPr>
        <w:tabs>
          <w:tab w:val="left" w:pos="-720"/>
        </w:tabs>
        <w:suppressAutoHyphens/>
        <w:spacing w:before="120" w:after="120"/>
        <w:jc w:val="both"/>
        <w:rPr>
          <w:rFonts w:ascii="Book Antiqua" w:hAnsi="Book Antiqua"/>
          <w:spacing w:val="-3"/>
          <w:szCs w:val="24"/>
          <w:lang w:val="es-ES_tradnl"/>
        </w:rPr>
      </w:pPr>
      <w:r>
        <w:rPr>
          <w:rFonts w:ascii="Book Antiqua" w:hAnsi="Book Antiqua"/>
          <w:iCs/>
          <w:spacing w:val="-3"/>
          <w:szCs w:val="24"/>
          <w:lang w:val="es-PR"/>
        </w:rPr>
        <w:tab/>
        <w:t>Empero</w:t>
      </w:r>
      <w:r w:rsidR="007F2A2C" w:rsidRPr="007F2A2C">
        <w:rPr>
          <w:rFonts w:ascii="Book Antiqua" w:hAnsi="Book Antiqua"/>
          <w:spacing w:val="-3"/>
          <w:szCs w:val="24"/>
          <w:lang w:val="es-PR"/>
        </w:rPr>
        <w:t>, a pesar de que se ha creado un marco regulatorio para esta industria conforme a la ley, acompañado de</w:t>
      </w:r>
      <w:r>
        <w:rPr>
          <w:rFonts w:ascii="Book Antiqua" w:hAnsi="Book Antiqua"/>
          <w:spacing w:val="-3"/>
          <w:szCs w:val="24"/>
          <w:lang w:val="es-PR"/>
        </w:rPr>
        <w:t xml:space="preserve"> un</w:t>
      </w:r>
      <w:r w:rsidR="007F2A2C" w:rsidRPr="007F2A2C">
        <w:rPr>
          <w:rFonts w:ascii="Book Antiqua" w:hAnsi="Book Antiqua"/>
          <w:spacing w:val="-3"/>
          <w:szCs w:val="24"/>
          <w:lang w:val="es-PR"/>
        </w:rPr>
        <w:t xml:space="preserve"> andamiaje que establece las responsabilidades y obligaciones de los actores involucrados, las apuestas y los juegos de azar han tenido un </w:t>
      </w:r>
      <w:r w:rsidR="007F2A2C" w:rsidRPr="007F2A2C">
        <w:rPr>
          <w:rFonts w:ascii="Book Antiqua" w:hAnsi="Book Antiqua"/>
          <w:spacing w:val="-3"/>
          <w:szCs w:val="24"/>
          <w:lang w:val="es-PR"/>
        </w:rPr>
        <w:lastRenderedPageBreak/>
        <w:t>impacto negativo en muchos individuos, familias y comunidades. Esto ha provocado una conducta patológica relacionada con la adicción al juego, convirtiéndose en un problema de salud pública, estrechamente asociado a la participación en juegos de azar</w:t>
      </w:r>
      <w:r>
        <w:rPr>
          <w:rFonts w:ascii="Book Antiqua" w:hAnsi="Book Antiqua"/>
          <w:spacing w:val="-3"/>
          <w:szCs w:val="24"/>
          <w:lang w:val="es-ES_tradnl"/>
        </w:rPr>
        <w:t xml:space="preserve">. Como consecuencia, esto ha </w:t>
      </w:r>
      <w:r w:rsidR="007F2A2C" w:rsidRPr="007F2A2C">
        <w:rPr>
          <w:rFonts w:ascii="Book Antiqua" w:hAnsi="Book Antiqua"/>
          <w:spacing w:val="-3"/>
          <w:szCs w:val="24"/>
          <w:lang w:val="es-PR"/>
        </w:rPr>
        <w:t>t</w:t>
      </w:r>
      <w:r>
        <w:rPr>
          <w:rFonts w:ascii="Book Antiqua" w:hAnsi="Book Antiqua"/>
          <w:spacing w:val="-3"/>
          <w:szCs w:val="24"/>
          <w:lang w:val="es-PR"/>
        </w:rPr>
        <w:t xml:space="preserve">enido </w:t>
      </w:r>
      <w:r w:rsidR="007F2A2C" w:rsidRPr="007F2A2C">
        <w:rPr>
          <w:rFonts w:ascii="Book Antiqua" w:hAnsi="Book Antiqua"/>
          <w:spacing w:val="-3"/>
          <w:szCs w:val="24"/>
          <w:lang w:val="es-PR"/>
        </w:rPr>
        <w:t xml:space="preserve">un efecto directo en </w:t>
      </w:r>
      <w:r>
        <w:rPr>
          <w:rFonts w:ascii="Book Antiqua" w:hAnsi="Book Antiqua"/>
          <w:spacing w:val="-3"/>
          <w:szCs w:val="24"/>
          <w:lang w:val="es-PR"/>
        </w:rPr>
        <w:t>la</w:t>
      </w:r>
      <w:r w:rsidR="007F2A2C" w:rsidRPr="007F2A2C">
        <w:rPr>
          <w:rFonts w:ascii="Book Antiqua" w:hAnsi="Book Antiqua"/>
          <w:spacing w:val="-3"/>
          <w:szCs w:val="24"/>
          <w:lang w:val="es-PR"/>
        </w:rPr>
        <w:t xml:space="preserve"> </w:t>
      </w:r>
      <w:r>
        <w:rPr>
          <w:rFonts w:ascii="Book Antiqua" w:hAnsi="Book Antiqua"/>
          <w:spacing w:val="-3"/>
          <w:szCs w:val="24"/>
          <w:lang w:val="es-PR"/>
        </w:rPr>
        <w:t xml:space="preserve">vida de muchas familias, conduciendo al </w:t>
      </w:r>
      <w:r w:rsidR="007F2A2C" w:rsidRPr="007F2A2C">
        <w:rPr>
          <w:rFonts w:ascii="Book Antiqua" w:hAnsi="Book Antiqua"/>
          <w:spacing w:val="-3"/>
          <w:szCs w:val="24"/>
          <w:lang w:val="es-PR"/>
        </w:rPr>
        <w:t>individuo a sufrir problemas severos de salud mental, depresión, sentimiento de fracaso, entre otros</w:t>
      </w:r>
      <w:r>
        <w:rPr>
          <w:rFonts w:ascii="Book Antiqua" w:hAnsi="Book Antiqua"/>
          <w:spacing w:val="-3"/>
          <w:szCs w:val="24"/>
          <w:lang w:val="es-ES_tradnl"/>
        </w:rPr>
        <w:t xml:space="preserve">. </w:t>
      </w:r>
    </w:p>
    <w:p w14:paraId="7A6B3CAE" w14:textId="77777777" w:rsidR="00232427" w:rsidRDefault="00232427" w:rsidP="007E538D">
      <w:pPr>
        <w:tabs>
          <w:tab w:val="left" w:pos="-720"/>
        </w:tabs>
        <w:suppressAutoHyphens/>
        <w:spacing w:before="120" w:after="120"/>
        <w:jc w:val="both"/>
        <w:rPr>
          <w:rFonts w:ascii="Book Antiqua" w:hAnsi="Book Antiqua"/>
          <w:szCs w:val="24"/>
          <w:lang w:val="es-PR"/>
        </w:rPr>
      </w:pPr>
      <w:r>
        <w:rPr>
          <w:rFonts w:ascii="Book Antiqua" w:hAnsi="Book Antiqua"/>
          <w:spacing w:val="-3"/>
          <w:szCs w:val="24"/>
          <w:lang w:val="es-ES_tradnl"/>
        </w:rPr>
        <w:tab/>
        <w:t>Ante esa realidad</w:t>
      </w:r>
      <w:r w:rsidR="00AE4B90" w:rsidRPr="00AE4B90">
        <w:rPr>
          <w:rFonts w:ascii="Book Antiqua" w:hAnsi="Book Antiqua"/>
          <w:szCs w:val="24"/>
          <w:lang w:val="es-ES"/>
        </w:rPr>
        <w:t>,</w:t>
      </w:r>
      <w:r w:rsidR="005A265A" w:rsidRPr="00AE4B90">
        <w:rPr>
          <w:rFonts w:ascii="Book Antiqua" w:hAnsi="Book Antiqua"/>
          <w:szCs w:val="24"/>
          <w:lang w:val="es-ES"/>
        </w:rPr>
        <w:t xml:space="preserve"> </w:t>
      </w:r>
      <w:r>
        <w:rPr>
          <w:rFonts w:ascii="Book Antiqua" w:hAnsi="Book Antiqua"/>
          <w:szCs w:val="24"/>
          <w:lang w:val="es-ES"/>
        </w:rPr>
        <w:t xml:space="preserve">esta propuesta legislativa </w:t>
      </w:r>
      <w:r w:rsidR="00586B5C" w:rsidRPr="00586B5C">
        <w:rPr>
          <w:rFonts w:ascii="Book Antiqua" w:hAnsi="Book Antiqua"/>
          <w:szCs w:val="24"/>
          <w:lang w:val="es-PR"/>
        </w:rPr>
        <w:t xml:space="preserve">considera oportuno y necesario aumentar las asignaciones de fondos a niveles adecuados </w:t>
      </w:r>
      <w:r>
        <w:rPr>
          <w:rFonts w:ascii="Book Antiqua" w:hAnsi="Book Antiqua"/>
          <w:szCs w:val="24"/>
          <w:lang w:val="es-PR"/>
        </w:rPr>
        <w:t>para que r</w:t>
      </w:r>
      <w:r w:rsidR="00586B5C" w:rsidRPr="00586B5C">
        <w:rPr>
          <w:rFonts w:ascii="Book Antiqua" w:hAnsi="Book Antiqua"/>
          <w:szCs w:val="24"/>
          <w:lang w:val="es-PR"/>
        </w:rPr>
        <w:t xml:space="preserve">esponda a las necesidades y condiciones actuales en Puerto Rico. Este aumento garantizaría que la ASSMCA cuente con los recursos económicos suficientes para alcanzar los objetivos del Programa, permitiéndole llevar a cabo campañas educativas de concienciación dirigidas a toda la población. El propósito no solo es abordar la problemática existente, sino también contar con los medios necesarios para establecer programas preventivos, educativos y servicios de mayor calidad para todos los puertorriqueños. </w:t>
      </w:r>
      <w:r>
        <w:rPr>
          <w:rFonts w:ascii="Book Antiqua" w:hAnsi="Book Antiqua"/>
          <w:szCs w:val="24"/>
          <w:lang w:val="es-PR"/>
        </w:rPr>
        <w:t>Asimismo, esta pieza legislativa coincide efectivamente con la política pública y con la intención del legislador previamente establecida en la Ley 74 de 2006, la cual consistió en “implantar estrategias, dirigidas a detectar a los jugadores compuls</w:t>
      </w:r>
      <w:r w:rsidR="00126D61">
        <w:rPr>
          <w:rFonts w:ascii="Book Antiqua" w:hAnsi="Book Antiqua"/>
          <w:szCs w:val="24"/>
          <w:lang w:val="es-PR"/>
        </w:rPr>
        <w:t xml:space="preserve">ivos par brindarles… orientación, tratamiento y rehabilitación”. </w:t>
      </w:r>
      <w:r w:rsidR="00126D61" w:rsidRPr="00126D61">
        <w:rPr>
          <w:rFonts w:ascii="Book Antiqua" w:hAnsi="Book Antiqua"/>
          <w:szCs w:val="24"/>
          <w:lang w:val="es-PR"/>
        </w:rPr>
        <w:t>24 L</w:t>
      </w:r>
      <w:r w:rsidR="00126D61">
        <w:rPr>
          <w:rFonts w:ascii="Book Antiqua" w:hAnsi="Book Antiqua"/>
          <w:szCs w:val="24"/>
          <w:lang w:val="es-PR"/>
        </w:rPr>
        <w:t xml:space="preserve">PRA </w:t>
      </w:r>
      <w:r w:rsidR="00126D61" w:rsidRPr="00126D61">
        <w:rPr>
          <w:rFonts w:ascii="Book Antiqua" w:hAnsi="Book Antiqua"/>
          <w:szCs w:val="24"/>
          <w:lang w:val="es-PR"/>
        </w:rPr>
        <w:t>§ 6179</w:t>
      </w:r>
      <w:r w:rsidR="00126D61">
        <w:rPr>
          <w:rFonts w:ascii="Book Antiqua" w:hAnsi="Book Antiqua"/>
          <w:szCs w:val="24"/>
          <w:lang w:val="es-PR"/>
        </w:rPr>
        <w:t xml:space="preserve">. </w:t>
      </w:r>
    </w:p>
    <w:p w14:paraId="7F03DB5D" w14:textId="77777777" w:rsidR="00126D61" w:rsidRDefault="00126D61" w:rsidP="007E538D">
      <w:pPr>
        <w:tabs>
          <w:tab w:val="left" w:pos="-720"/>
        </w:tabs>
        <w:suppressAutoHyphens/>
        <w:spacing w:before="120" w:after="120"/>
        <w:jc w:val="both"/>
        <w:rPr>
          <w:rFonts w:ascii="Book Antiqua" w:hAnsi="Book Antiqua"/>
          <w:szCs w:val="24"/>
          <w:lang w:val="es-ES"/>
        </w:rPr>
      </w:pPr>
      <w:r>
        <w:rPr>
          <w:rFonts w:ascii="Book Antiqua" w:hAnsi="Book Antiqua"/>
          <w:szCs w:val="24"/>
          <w:lang w:val="es-PR"/>
        </w:rPr>
        <w:tab/>
        <w:t xml:space="preserve">Por consiguiente, esta enmienda a la Ley 74 – 2006 y a la Ley 83 – 1987 para </w:t>
      </w:r>
      <w:r w:rsidRPr="00AE4B90">
        <w:rPr>
          <w:rFonts w:ascii="Book Antiqua" w:hAnsi="Book Antiqua"/>
          <w:szCs w:val="24"/>
          <w:lang w:val="es-ES"/>
        </w:rPr>
        <w:t>asignar</w:t>
      </w:r>
      <w:r>
        <w:rPr>
          <w:rFonts w:ascii="Book Antiqua" w:hAnsi="Book Antiqua"/>
          <w:szCs w:val="24"/>
          <w:lang w:val="es-ES"/>
        </w:rPr>
        <w:t xml:space="preserve"> una partida de fondos mayor </w:t>
      </w:r>
      <w:r w:rsidRPr="00AE4B90">
        <w:rPr>
          <w:rFonts w:ascii="Book Antiqua" w:hAnsi="Book Antiqua"/>
          <w:szCs w:val="24"/>
          <w:lang w:val="es-ES"/>
        </w:rPr>
        <w:t>para sufragar los propósitos del Programa de Ayuda a Jugadores Compulsivos de Puerto Rico adscrito a la Administración de Servicios de Salud Mental y Contra la Adicción</w:t>
      </w:r>
      <w:r>
        <w:rPr>
          <w:rFonts w:ascii="Book Antiqua" w:hAnsi="Book Antiqua"/>
          <w:szCs w:val="24"/>
          <w:lang w:val="es-ES"/>
        </w:rPr>
        <w:t xml:space="preserve"> representa un paso en la dirección correcta para así garantizar mayor accesibilidad y eficiencia al programa</w:t>
      </w:r>
      <w:r w:rsidR="00627154">
        <w:rPr>
          <w:rFonts w:ascii="Book Antiqua" w:hAnsi="Book Antiqua"/>
          <w:szCs w:val="24"/>
          <w:lang w:val="es-ES"/>
        </w:rPr>
        <w:t xml:space="preserve"> cuya esencia es</w:t>
      </w:r>
      <w:r>
        <w:rPr>
          <w:rFonts w:ascii="Book Antiqua" w:hAnsi="Book Antiqua"/>
          <w:szCs w:val="24"/>
          <w:lang w:val="es-ES"/>
        </w:rPr>
        <w:t xml:space="preserve"> orientar, ayudar y rehab</w:t>
      </w:r>
      <w:r w:rsidR="00627154">
        <w:rPr>
          <w:rFonts w:ascii="Book Antiqua" w:hAnsi="Book Antiqua"/>
          <w:szCs w:val="24"/>
          <w:lang w:val="es-ES"/>
        </w:rPr>
        <w:t xml:space="preserve">ilitar a los ciudadanos. Esta legislación es de vanguardia, se alinea y solidariza con las necesidades </w:t>
      </w:r>
      <w:r w:rsidR="00EF7B8E">
        <w:rPr>
          <w:rFonts w:ascii="Book Antiqua" w:hAnsi="Book Antiqua"/>
          <w:szCs w:val="24"/>
          <w:lang w:val="es-ES"/>
        </w:rPr>
        <w:t xml:space="preserve">actuales </w:t>
      </w:r>
      <w:r w:rsidR="00627154">
        <w:rPr>
          <w:rFonts w:ascii="Book Antiqua" w:hAnsi="Book Antiqua"/>
          <w:szCs w:val="24"/>
          <w:lang w:val="es-ES"/>
        </w:rPr>
        <w:t xml:space="preserve">de Puerto Rico. </w:t>
      </w:r>
    </w:p>
    <w:p w14:paraId="52037E3D" w14:textId="77777777" w:rsidR="00391980" w:rsidRDefault="00391980" w:rsidP="00391980">
      <w:pPr>
        <w:tabs>
          <w:tab w:val="left" w:pos="-720"/>
        </w:tabs>
        <w:suppressAutoHyphens/>
        <w:spacing w:before="120" w:after="120" w:line="360" w:lineRule="auto"/>
        <w:jc w:val="center"/>
        <w:rPr>
          <w:rFonts w:ascii="Book Antiqua" w:hAnsi="Book Antiqua"/>
          <w:b/>
          <w:bCs/>
          <w:szCs w:val="24"/>
          <w:lang w:val="es-ES"/>
        </w:rPr>
      </w:pPr>
      <w:r w:rsidRPr="00391980">
        <w:rPr>
          <w:rFonts w:ascii="Book Antiqua" w:hAnsi="Book Antiqua"/>
          <w:b/>
          <w:bCs/>
          <w:szCs w:val="24"/>
          <w:lang w:val="es-ES"/>
        </w:rPr>
        <w:t xml:space="preserve">ANÁLISIS DE LA MEDIDA </w:t>
      </w:r>
    </w:p>
    <w:p w14:paraId="6B0EC2F3" w14:textId="58F166CC" w:rsidR="002A0893" w:rsidRDefault="00391980" w:rsidP="007E538D">
      <w:pPr>
        <w:tabs>
          <w:tab w:val="left" w:pos="-720"/>
        </w:tabs>
        <w:suppressAutoHyphens/>
        <w:spacing w:before="120" w:after="120"/>
        <w:jc w:val="both"/>
        <w:rPr>
          <w:rFonts w:ascii="Book Antiqua" w:hAnsi="Book Antiqua"/>
          <w:szCs w:val="24"/>
          <w:lang w:val="es-ES"/>
        </w:rPr>
      </w:pPr>
      <w:r>
        <w:rPr>
          <w:rFonts w:ascii="Book Antiqua" w:hAnsi="Book Antiqua"/>
          <w:b/>
          <w:bCs/>
          <w:szCs w:val="24"/>
          <w:lang w:val="es-ES"/>
        </w:rPr>
        <w:tab/>
      </w:r>
      <w:r>
        <w:rPr>
          <w:rFonts w:ascii="Book Antiqua" w:hAnsi="Book Antiqua"/>
          <w:szCs w:val="24"/>
          <w:lang w:val="es-ES"/>
        </w:rPr>
        <w:t>Para una evaluación integral de esta medida la Comisión de Vivienda y Bienestar Social, en aras de analizar y estudiar el P. del S. 25 solicitó memoriales explicativos para sustentar una evaluación laboriosa de la medida.</w:t>
      </w:r>
      <w:r w:rsidR="007E538D">
        <w:rPr>
          <w:rStyle w:val="FootnoteReference"/>
          <w:rFonts w:ascii="Book Antiqua" w:hAnsi="Book Antiqua"/>
          <w:szCs w:val="24"/>
          <w:lang w:val="es-ES"/>
        </w:rPr>
        <w:footnoteReference w:id="1"/>
      </w:r>
      <w:r>
        <w:rPr>
          <w:rFonts w:ascii="Book Antiqua" w:hAnsi="Book Antiqua"/>
          <w:szCs w:val="24"/>
          <w:lang w:val="es-ES"/>
        </w:rPr>
        <w:t xml:space="preserve"> Como resultado, se recibieron y observaron las ponencias y los comentarios de la Comisión de Juegos y de la ASSMCA</w:t>
      </w:r>
      <w:r w:rsidR="002A0893">
        <w:rPr>
          <w:rFonts w:ascii="Book Antiqua" w:hAnsi="Book Antiqua"/>
          <w:szCs w:val="24"/>
          <w:lang w:val="es-ES"/>
        </w:rPr>
        <w:t xml:space="preserve"> y se suscribió un informe recomendando la aprobación del referido proyecto. </w:t>
      </w:r>
    </w:p>
    <w:p w14:paraId="3059C77C" w14:textId="77777777" w:rsidR="00391980" w:rsidRPr="00286C08" w:rsidRDefault="002A0893" w:rsidP="002A0893">
      <w:pPr>
        <w:tabs>
          <w:tab w:val="left" w:pos="-720"/>
        </w:tabs>
        <w:suppressAutoHyphens/>
        <w:spacing w:before="120" w:after="120" w:line="360" w:lineRule="auto"/>
        <w:jc w:val="center"/>
        <w:rPr>
          <w:rFonts w:ascii="Book Antiqua" w:hAnsi="Book Antiqua"/>
          <w:b/>
          <w:bCs/>
          <w:szCs w:val="24"/>
          <w:lang w:val="es-ES"/>
        </w:rPr>
      </w:pPr>
      <w:r w:rsidRPr="00286C08">
        <w:rPr>
          <w:rFonts w:ascii="Book Antiqua" w:hAnsi="Book Antiqua"/>
          <w:b/>
          <w:bCs/>
          <w:szCs w:val="24"/>
          <w:lang w:val="es-ES"/>
        </w:rPr>
        <w:t xml:space="preserve">COMISIÓN DE JUEGOS </w:t>
      </w:r>
    </w:p>
    <w:p w14:paraId="7F46A667" w14:textId="77777777" w:rsidR="002A0893" w:rsidRDefault="002A0893" w:rsidP="007E538D">
      <w:pPr>
        <w:tabs>
          <w:tab w:val="left" w:pos="-720"/>
        </w:tabs>
        <w:suppressAutoHyphens/>
        <w:spacing w:before="120" w:after="120"/>
        <w:jc w:val="both"/>
        <w:rPr>
          <w:rFonts w:ascii="Book Antiqua" w:hAnsi="Book Antiqua"/>
          <w:szCs w:val="24"/>
          <w:lang w:val="es-ES"/>
        </w:rPr>
      </w:pPr>
      <w:r>
        <w:rPr>
          <w:rFonts w:ascii="Book Antiqua" w:hAnsi="Book Antiqua"/>
          <w:szCs w:val="24"/>
          <w:lang w:val="es-ES"/>
        </w:rPr>
        <w:tab/>
        <w:t xml:space="preserve">La Comisión de Juegos realizó un resumen de las facultades que le fueron delegadas al palio de la Ley 81 – 2019. En ese sentido, hizo hincapié en su enfoque de garantizar la protección del jugador compulsivo estableciendo requisitos a las licencias para la tecnología que permite identificar patrones de riesgos para orientar oportunamente al jugador. Asimismo, reconoció que la pieza legislativa propuesta inserta un lenguaje definido y específico que es compatible con la política pública </w:t>
      </w:r>
      <w:r w:rsidR="001119D3">
        <w:rPr>
          <w:rFonts w:ascii="Book Antiqua" w:hAnsi="Book Antiqua"/>
          <w:szCs w:val="24"/>
          <w:lang w:val="es-ES"/>
        </w:rPr>
        <w:t xml:space="preserve">promulgada tanto en la Ley 74 – 2006, como en los estatutos 83 – 1987 y 81 – 2019 respectivamente, por lo que, coinciden entre sí. </w:t>
      </w:r>
    </w:p>
    <w:p w14:paraId="546AACC3" w14:textId="77777777" w:rsidR="001119D3" w:rsidRDefault="001119D3" w:rsidP="007E538D">
      <w:pPr>
        <w:tabs>
          <w:tab w:val="left" w:pos="-720"/>
        </w:tabs>
        <w:suppressAutoHyphens/>
        <w:spacing w:before="120" w:after="120"/>
        <w:jc w:val="both"/>
        <w:rPr>
          <w:rFonts w:ascii="Book Antiqua" w:hAnsi="Book Antiqua"/>
          <w:szCs w:val="24"/>
          <w:lang w:val="es-ES"/>
        </w:rPr>
      </w:pPr>
      <w:r>
        <w:rPr>
          <w:rFonts w:ascii="Book Antiqua" w:hAnsi="Book Antiqua"/>
          <w:szCs w:val="24"/>
          <w:lang w:val="es-ES"/>
        </w:rPr>
        <w:tab/>
        <w:t>Sin embargo, la Comisión de Juegos esbozó unas recomendaciones dirigidas principalmente a observar la importancia actual del “</w:t>
      </w:r>
      <w:r w:rsidRPr="001119D3">
        <w:rPr>
          <w:rFonts w:ascii="Book Antiqua" w:hAnsi="Book Antiqua"/>
          <w:i/>
          <w:iCs/>
          <w:szCs w:val="24"/>
          <w:lang w:val="es-ES"/>
        </w:rPr>
        <w:t>take</w:t>
      </w:r>
      <w:r>
        <w:rPr>
          <w:rFonts w:ascii="Book Antiqua" w:hAnsi="Book Antiqua"/>
          <w:szCs w:val="24"/>
          <w:lang w:val="es-ES"/>
        </w:rPr>
        <w:t>” de las apuestas hípicas en Puerto Rico. Definió tal concepto como “</w:t>
      </w:r>
      <w:r w:rsidRPr="001119D3">
        <w:rPr>
          <w:rFonts w:ascii="Book Antiqua" w:hAnsi="Book Antiqua"/>
          <w:i/>
          <w:iCs/>
          <w:szCs w:val="24"/>
          <w:lang w:val="es-ES"/>
        </w:rPr>
        <w:t>jugadas de pool</w:t>
      </w:r>
      <w:r>
        <w:rPr>
          <w:rFonts w:ascii="Book Antiqua" w:hAnsi="Book Antiqua"/>
          <w:szCs w:val="24"/>
          <w:lang w:val="es-ES"/>
        </w:rPr>
        <w:t xml:space="preserve">” y arguyó que es de los más altos en comparación con el resto de la Nación Americana. Punteó que se debe ser cauteloso en lo propuesto en esta medida, dado que no vaya a causar una caída en las apuestas que resulte contraproducente a las intenciones loables de la medida y a la industria hípica en general. Siendo así, la Comisión de Juegos aseguró no poseer reparos o inconvenientes con la aprobación del P. del S. 25 con las recomendaciones </w:t>
      </w:r>
      <w:r w:rsidR="00EF7B8E">
        <w:rPr>
          <w:rFonts w:ascii="Book Antiqua" w:hAnsi="Book Antiqua"/>
          <w:szCs w:val="24"/>
          <w:lang w:val="es-ES"/>
        </w:rPr>
        <w:t xml:space="preserve">efectuadas. </w:t>
      </w:r>
    </w:p>
    <w:p w14:paraId="1B728BAF" w14:textId="77777777" w:rsidR="00EF7B8E" w:rsidRDefault="00EF7B8E" w:rsidP="007E538D">
      <w:pPr>
        <w:tabs>
          <w:tab w:val="left" w:pos="-720"/>
        </w:tabs>
        <w:suppressAutoHyphens/>
        <w:spacing w:before="120" w:after="120"/>
        <w:jc w:val="center"/>
        <w:rPr>
          <w:rFonts w:ascii="Book Antiqua" w:hAnsi="Book Antiqua"/>
          <w:b/>
          <w:bCs/>
          <w:szCs w:val="24"/>
          <w:lang w:val="es-ES"/>
        </w:rPr>
      </w:pPr>
      <w:r w:rsidRPr="00EF7B8E">
        <w:rPr>
          <w:rFonts w:ascii="Book Antiqua" w:hAnsi="Book Antiqua"/>
          <w:b/>
          <w:bCs/>
          <w:szCs w:val="24"/>
          <w:lang w:val="es-ES"/>
        </w:rPr>
        <w:t>ADMINISTRACIÓN DE SERVICIOS DE SALUD MENTAL Y CONTRA LA ADICCIÓN (ASSMCA)</w:t>
      </w:r>
    </w:p>
    <w:p w14:paraId="1465800F" w14:textId="77777777" w:rsidR="00286C08" w:rsidRDefault="00EF7B8E" w:rsidP="007E538D">
      <w:pPr>
        <w:tabs>
          <w:tab w:val="left" w:pos="-720"/>
        </w:tabs>
        <w:suppressAutoHyphens/>
        <w:spacing w:before="120" w:after="120"/>
        <w:jc w:val="both"/>
        <w:rPr>
          <w:rFonts w:ascii="Book Antiqua" w:hAnsi="Book Antiqua"/>
          <w:szCs w:val="24"/>
          <w:lang w:val="es-ES"/>
        </w:rPr>
      </w:pPr>
      <w:r>
        <w:rPr>
          <w:rFonts w:ascii="Book Antiqua" w:hAnsi="Book Antiqua"/>
          <w:b/>
          <w:bCs/>
          <w:szCs w:val="24"/>
          <w:lang w:val="es-ES"/>
        </w:rPr>
        <w:tab/>
      </w:r>
      <w:r>
        <w:rPr>
          <w:rFonts w:ascii="Book Antiqua" w:hAnsi="Book Antiqua"/>
          <w:szCs w:val="24"/>
          <w:lang w:val="es-ES"/>
        </w:rPr>
        <w:t xml:space="preserve">ASSMCA inició su escrito recapitulando el trasfondo histórico y legal de los juegos de azar y las apuestas. Sustancialmente, enfatizó que los ciudadanos en Puerto Rico son grandes aficionados de los juegos y las apuestas, por lo que, constituyen piedra angular en las actividades económicas y comerciales de la jurisdicción. De la misma manera, ASSMCA </w:t>
      </w:r>
      <w:r w:rsidR="005C03C9">
        <w:rPr>
          <w:rFonts w:ascii="Book Antiqua" w:hAnsi="Book Antiqua"/>
          <w:szCs w:val="24"/>
          <w:lang w:val="es-ES"/>
        </w:rPr>
        <w:t xml:space="preserve">indicó </w:t>
      </w:r>
      <w:r>
        <w:rPr>
          <w:rFonts w:ascii="Book Antiqua" w:hAnsi="Book Antiqua"/>
          <w:szCs w:val="24"/>
          <w:lang w:val="es-ES"/>
        </w:rPr>
        <w:t xml:space="preserve">que en Puerto Rico </w:t>
      </w:r>
      <w:r w:rsidR="005C03C9">
        <w:rPr>
          <w:rFonts w:ascii="Book Antiqua" w:hAnsi="Book Antiqua"/>
          <w:szCs w:val="24"/>
          <w:lang w:val="es-ES"/>
        </w:rPr>
        <w:t>gran parte de las personas que participan en juegos de azar y apuestas normalmente juegan para probar su suerte y socialmente, lo que significa que juegan de forma responsable y controlada sin llegar a perder el control. Igualmente, reconoció que existe otro grupo particular de personas que los juegos de azar y las apuestas se han convertido en un serio problema al punto de afectar gravemente su vida en el ámbito personal, familiar, ocupacional, social y financiero.</w:t>
      </w:r>
      <w:r w:rsidR="00286C08">
        <w:rPr>
          <w:rFonts w:ascii="Book Antiqua" w:hAnsi="Book Antiqua"/>
          <w:szCs w:val="24"/>
          <w:lang w:val="es-ES"/>
        </w:rPr>
        <w:t xml:space="preserve"> </w:t>
      </w:r>
      <w:r w:rsidR="005C03C9">
        <w:rPr>
          <w:rFonts w:ascii="Book Antiqua" w:hAnsi="Book Antiqua"/>
          <w:szCs w:val="24"/>
          <w:lang w:val="es-ES"/>
        </w:rPr>
        <w:t xml:space="preserve">El ente administrativo apoyó que desde la aprobación de la Ley 74 – 2006, según enmendada, el Programa de Ayuda a Jugadores Compulsivo (PAJC), los servicios están disponibles en la modalidad de tratamiento ambulatorio grupal e individual, así como psicoeducación. Añadió que, </w:t>
      </w:r>
      <w:r w:rsidR="005C3438">
        <w:rPr>
          <w:rFonts w:ascii="Book Antiqua" w:hAnsi="Book Antiqua"/>
          <w:szCs w:val="24"/>
          <w:lang w:val="es-ES"/>
        </w:rPr>
        <w:t xml:space="preserve">toda persona que solicite los servicios del programa es evaluada por profesionales clínicos y estos determinan el nivel de cuidado y la necesidad de los servicios. </w:t>
      </w:r>
    </w:p>
    <w:p w14:paraId="14EE7DDE" w14:textId="77777777" w:rsidR="00DE09A9" w:rsidRDefault="00286C08" w:rsidP="007E538D">
      <w:pPr>
        <w:tabs>
          <w:tab w:val="left" w:pos="-720"/>
        </w:tabs>
        <w:suppressAutoHyphens/>
        <w:spacing w:before="120" w:after="120"/>
        <w:jc w:val="both"/>
        <w:rPr>
          <w:rFonts w:ascii="Book Antiqua" w:hAnsi="Book Antiqua"/>
          <w:szCs w:val="24"/>
          <w:lang w:val="es-ES"/>
        </w:rPr>
      </w:pPr>
      <w:r>
        <w:rPr>
          <w:rFonts w:ascii="Book Antiqua" w:hAnsi="Book Antiqua"/>
          <w:szCs w:val="24"/>
          <w:lang w:val="es-ES"/>
        </w:rPr>
        <w:tab/>
        <w:t xml:space="preserve">Adicionalmente, </w:t>
      </w:r>
      <w:r w:rsidR="005C3438">
        <w:rPr>
          <w:rFonts w:ascii="Book Antiqua" w:hAnsi="Book Antiqua"/>
          <w:szCs w:val="24"/>
          <w:lang w:val="es-ES"/>
        </w:rPr>
        <w:t xml:space="preserve">ASSMCA señaló que, en la actualidad, el juego patológico es considerado un trastorno de salud mental incluido dentro de los trastornos adictivos. Incluso, razonó que es el primer trastorno que se incluye como una adicción conductual sin la dependencia de un consumo de alcohol o sustancia, por ser síntomas bien similares a los presentados a otros trastornos adictivos. Describió que en el juego patológico la persona presenta un patrón persistente y recurrente de la conducta de juego a pesar de las consecuencias negativas que esta conducta representa en las diversas áreas de funcionamiento. Inclusive, presentó datos a nivel poblacional general de los Estados Unidos, la tasa de </w:t>
      </w:r>
      <w:r w:rsidR="00DE09A9">
        <w:rPr>
          <w:rFonts w:ascii="Book Antiqua" w:hAnsi="Book Antiqua"/>
          <w:szCs w:val="24"/>
          <w:lang w:val="es-ES"/>
        </w:rPr>
        <w:t>prevalencia en los americanos, a lo largo de sus vidas es de alrededor del 0.4% al 1.0%. Dividió las mencionadas estadísticas en hombres y mujeres. En el caso de las mujeres, la tasa de prevalencia es del 0.2% y en el de los hombres es de 0.6% a lo largo de sus vidas. En términos generales, fundamentó además que la literatura científica ha encontró que menos del 6% al 10% de las personas con problemas relacionados a los juegos de azar o a las apuestas buscan ayuda profesional.</w:t>
      </w:r>
      <w:r w:rsidR="00DE09A9">
        <w:rPr>
          <w:rStyle w:val="FootnoteReference"/>
          <w:rFonts w:ascii="Book Antiqua" w:hAnsi="Book Antiqua"/>
          <w:szCs w:val="24"/>
          <w:lang w:val="es-ES"/>
        </w:rPr>
        <w:footnoteReference w:id="2"/>
      </w:r>
      <w:r w:rsidR="00DE09A9">
        <w:rPr>
          <w:rFonts w:ascii="Book Antiqua" w:hAnsi="Book Antiqua"/>
          <w:szCs w:val="24"/>
          <w:lang w:val="es-ES"/>
        </w:rPr>
        <w:t xml:space="preserve"> Finalmente, expresó que como agencia ha enfrentado grandes dificultades para cumplir sus encomiendas debido a la limitación de fondos o debido al atraso de los pagos. Esencialmente, admitió lo necesario que es la medida y recomendó la aprobación del P. del S. 25</w:t>
      </w:r>
      <w:r w:rsidR="007F30C2">
        <w:rPr>
          <w:rFonts w:ascii="Book Antiqua" w:hAnsi="Book Antiqua"/>
          <w:szCs w:val="24"/>
          <w:lang w:val="es-ES"/>
        </w:rPr>
        <w:t xml:space="preserve">. </w:t>
      </w:r>
    </w:p>
    <w:p w14:paraId="1C5F6CE4" w14:textId="77777777" w:rsidR="007F30C2" w:rsidRPr="007F30C2" w:rsidRDefault="007F30C2" w:rsidP="007F30C2">
      <w:pPr>
        <w:tabs>
          <w:tab w:val="left" w:pos="-720"/>
        </w:tabs>
        <w:suppressAutoHyphens/>
        <w:spacing w:before="120" w:after="120" w:line="360" w:lineRule="auto"/>
        <w:jc w:val="center"/>
        <w:rPr>
          <w:rFonts w:ascii="Book Antiqua" w:hAnsi="Book Antiqua"/>
          <w:b/>
          <w:bCs/>
          <w:szCs w:val="24"/>
          <w:lang w:val="es-ES"/>
        </w:rPr>
      </w:pPr>
      <w:r w:rsidRPr="007F30C2">
        <w:rPr>
          <w:rFonts w:ascii="Book Antiqua" w:hAnsi="Book Antiqua"/>
          <w:b/>
          <w:bCs/>
          <w:szCs w:val="24"/>
          <w:lang w:val="es-ES"/>
        </w:rPr>
        <w:t xml:space="preserve">IMPACTO FISCAL MUNICIPAL </w:t>
      </w:r>
    </w:p>
    <w:p w14:paraId="13E125FF" w14:textId="77777777" w:rsidR="007F30C2" w:rsidRDefault="00286C08" w:rsidP="007E538D">
      <w:pPr>
        <w:tabs>
          <w:tab w:val="left" w:pos="-720"/>
        </w:tabs>
        <w:suppressAutoHyphens/>
        <w:spacing w:before="120" w:after="120"/>
        <w:jc w:val="both"/>
        <w:rPr>
          <w:rFonts w:ascii="Book Antiqua" w:hAnsi="Book Antiqua"/>
          <w:szCs w:val="24"/>
          <w:lang w:val="es-PR"/>
        </w:rPr>
      </w:pPr>
      <w:r>
        <w:rPr>
          <w:rFonts w:ascii="Book Antiqua" w:hAnsi="Book Antiqua"/>
          <w:szCs w:val="24"/>
          <w:lang w:val="es-PR"/>
        </w:rPr>
        <w:tab/>
      </w:r>
      <w:r w:rsidR="007F30C2" w:rsidRPr="007F30C2">
        <w:rPr>
          <w:rFonts w:ascii="Book Antiqua" w:hAnsi="Book Antiqua"/>
          <w:szCs w:val="24"/>
          <w:lang w:val="es-PR"/>
        </w:rPr>
        <w:t>En cumplimiento con el Ar</w:t>
      </w:r>
      <w:r w:rsidR="007F30C2">
        <w:rPr>
          <w:rFonts w:ascii="Book Antiqua" w:hAnsi="Book Antiqua"/>
          <w:szCs w:val="24"/>
          <w:lang w:val="es-PR"/>
        </w:rPr>
        <w:t>tí</w:t>
      </w:r>
      <w:r w:rsidR="007F30C2" w:rsidRPr="007F30C2">
        <w:rPr>
          <w:rFonts w:ascii="Book Antiqua" w:hAnsi="Book Antiqua"/>
          <w:szCs w:val="24"/>
          <w:lang w:val="es-PR"/>
        </w:rPr>
        <w:t>culo 1.</w:t>
      </w:r>
      <w:r w:rsidR="007F30C2">
        <w:rPr>
          <w:rFonts w:ascii="Book Antiqua" w:hAnsi="Book Antiqua"/>
          <w:szCs w:val="24"/>
          <w:lang w:val="es-PR"/>
        </w:rPr>
        <w:t>00</w:t>
      </w:r>
      <w:r w:rsidR="007F30C2" w:rsidRPr="007F30C2">
        <w:rPr>
          <w:rFonts w:ascii="Book Antiqua" w:hAnsi="Book Antiqua"/>
          <w:szCs w:val="24"/>
          <w:lang w:val="es-PR"/>
        </w:rPr>
        <w:t xml:space="preserve">7 de la </w:t>
      </w:r>
      <w:r w:rsidR="007F30C2">
        <w:rPr>
          <w:rFonts w:ascii="Book Antiqua" w:hAnsi="Book Antiqua"/>
          <w:szCs w:val="24"/>
          <w:lang w:val="es-PR"/>
        </w:rPr>
        <w:t>Le</w:t>
      </w:r>
      <w:r w:rsidR="007F30C2" w:rsidRPr="007F30C2">
        <w:rPr>
          <w:rFonts w:ascii="Book Antiqua" w:hAnsi="Book Antiqua"/>
          <w:szCs w:val="24"/>
          <w:lang w:val="es-PR"/>
        </w:rPr>
        <w:t>y 107-2020, seg</w:t>
      </w:r>
      <w:r w:rsidR="007F30C2">
        <w:rPr>
          <w:rFonts w:ascii="Book Antiqua" w:hAnsi="Book Antiqua"/>
          <w:szCs w:val="24"/>
          <w:lang w:val="es-PR"/>
        </w:rPr>
        <w:t>ú</w:t>
      </w:r>
      <w:r w:rsidR="007F30C2" w:rsidRPr="007F30C2">
        <w:rPr>
          <w:rFonts w:ascii="Book Antiqua" w:hAnsi="Book Antiqua"/>
          <w:szCs w:val="24"/>
          <w:lang w:val="es-PR"/>
        </w:rPr>
        <w:t>n enmendada, conocida como "C</w:t>
      </w:r>
      <w:r w:rsidR="007F30C2">
        <w:rPr>
          <w:rFonts w:ascii="Book Antiqua" w:hAnsi="Book Antiqua"/>
          <w:szCs w:val="24"/>
          <w:lang w:val="es-PR"/>
        </w:rPr>
        <w:t>ó</w:t>
      </w:r>
      <w:r w:rsidR="007F30C2" w:rsidRPr="007F30C2">
        <w:rPr>
          <w:rFonts w:ascii="Book Antiqua" w:hAnsi="Book Antiqua"/>
          <w:szCs w:val="24"/>
          <w:lang w:val="es-PR"/>
        </w:rPr>
        <w:t>digo Municipal de Puerto Rico", la Comisi</w:t>
      </w:r>
      <w:r w:rsidR="007F30C2">
        <w:rPr>
          <w:rFonts w:ascii="Book Antiqua" w:hAnsi="Book Antiqua"/>
          <w:szCs w:val="24"/>
          <w:lang w:val="es-PR"/>
        </w:rPr>
        <w:t>ó</w:t>
      </w:r>
      <w:r w:rsidR="007F30C2" w:rsidRPr="007F30C2">
        <w:rPr>
          <w:rFonts w:ascii="Book Antiqua" w:hAnsi="Book Antiqua"/>
          <w:szCs w:val="24"/>
          <w:lang w:val="es-PR"/>
        </w:rPr>
        <w:t xml:space="preserve">n de </w:t>
      </w:r>
      <w:r w:rsidR="007F30C2">
        <w:rPr>
          <w:rFonts w:ascii="Book Antiqua" w:hAnsi="Book Antiqua"/>
          <w:szCs w:val="24"/>
          <w:lang w:val="es-PR"/>
        </w:rPr>
        <w:t>Vivienda y Bienestar Social</w:t>
      </w:r>
      <w:r w:rsidR="007F30C2" w:rsidRPr="007F30C2">
        <w:rPr>
          <w:rFonts w:ascii="Book Antiqua" w:hAnsi="Book Antiqua"/>
          <w:szCs w:val="24"/>
          <w:lang w:val="es-PR"/>
        </w:rPr>
        <w:t xml:space="preserve"> certifica que el P. del S.</w:t>
      </w:r>
      <w:r w:rsidR="007F30C2">
        <w:rPr>
          <w:rFonts w:ascii="Book Antiqua" w:hAnsi="Book Antiqua"/>
          <w:szCs w:val="24"/>
          <w:lang w:val="es-PR"/>
        </w:rPr>
        <w:t>25</w:t>
      </w:r>
      <w:r w:rsidR="007F30C2" w:rsidRPr="007F30C2">
        <w:rPr>
          <w:rFonts w:ascii="Book Antiqua" w:hAnsi="Book Antiqua"/>
          <w:szCs w:val="24"/>
          <w:lang w:val="es-PR"/>
        </w:rPr>
        <w:t xml:space="preserve"> no impone una obligaci</w:t>
      </w:r>
      <w:r w:rsidR="007F30C2">
        <w:rPr>
          <w:rFonts w:ascii="Book Antiqua" w:hAnsi="Book Antiqua"/>
          <w:szCs w:val="24"/>
          <w:lang w:val="es-PR"/>
        </w:rPr>
        <w:t>ón econó</w:t>
      </w:r>
      <w:r w:rsidR="007F30C2" w:rsidRPr="007F30C2">
        <w:rPr>
          <w:rFonts w:ascii="Book Antiqua" w:hAnsi="Book Antiqua"/>
          <w:szCs w:val="24"/>
          <w:lang w:val="es-PR"/>
        </w:rPr>
        <w:t>mica en los presupuestos d</w:t>
      </w:r>
      <w:r w:rsidR="007F30C2">
        <w:rPr>
          <w:rFonts w:ascii="Book Antiqua" w:hAnsi="Book Antiqua"/>
          <w:szCs w:val="24"/>
          <w:lang w:val="es-PR"/>
        </w:rPr>
        <w:t xml:space="preserve">e </w:t>
      </w:r>
      <w:r w:rsidR="007F30C2" w:rsidRPr="007F30C2">
        <w:rPr>
          <w:rFonts w:ascii="Book Antiqua" w:hAnsi="Book Antiqua"/>
          <w:szCs w:val="24"/>
          <w:lang w:val="es-PR"/>
        </w:rPr>
        <w:t>los gobiemos municipales.</w:t>
      </w:r>
    </w:p>
    <w:p w14:paraId="3F7B5FD5" w14:textId="77777777" w:rsidR="007F30C2" w:rsidRDefault="007F30C2" w:rsidP="007F30C2">
      <w:pPr>
        <w:tabs>
          <w:tab w:val="left" w:pos="-720"/>
        </w:tabs>
        <w:suppressAutoHyphens/>
        <w:spacing w:before="120" w:after="120" w:line="360" w:lineRule="auto"/>
        <w:jc w:val="center"/>
        <w:rPr>
          <w:rFonts w:ascii="Book Antiqua" w:hAnsi="Book Antiqua"/>
          <w:b/>
          <w:bCs/>
          <w:szCs w:val="24"/>
          <w:lang w:val="es-PR"/>
        </w:rPr>
      </w:pPr>
      <w:r w:rsidRPr="007F30C2">
        <w:rPr>
          <w:rFonts w:ascii="Book Antiqua" w:hAnsi="Book Antiqua"/>
          <w:b/>
          <w:bCs/>
          <w:szCs w:val="24"/>
          <w:lang w:val="es-PR"/>
        </w:rPr>
        <w:t xml:space="preserve">CONCLUSIÓN </w:t>
      </w:r>
    </w:p>
    <w:p w14:paraId="7B18510E" w14:textId="77777777" w:rsidR="007F30C2" w:rsidRDefault="007F30C2" w:rsidP="007E538D">
      <w:pPr>
        <w:tabs>
          <w:tab w:val="left" w:pos="-720"/>
        </w:tabs>
        <w:suppressAutoHyphens/>
        <w:spacing w:before="120" w:after="120"/>
        <w:jc w:val="both"/>
        <w:rPr>
          <w:rFonts w:ascii="Book Antiqua" w:hAnsi="Book Antiqua"/>
          <w:szCs w:val="24"/>
          <w:lang w:val="es-PR"/>
        </w:rPr>
      </w:pPr>
      <w:r>
        <w:rPr>
          <w:rFonts w:ascii="Book Antiqua" w:hAnsi="Book Antiqua"/>
          <w:szCs w:val="24"/>
          <w:lang w:val="es-PR"/>
        </w:rPr>
        <w:tab/>
        <w:t xml:space="preserve">La Comisión de Vivienda y Bienestar Social, reconociendo la importancia fundamental del P. del S. 25 y tomando en cuenta las recomendaciones y los comentarios esbozados en los memoriales explicativos de la Comisión de Juegos y la ASSMCA, efectuó un análisis minucioso. En consecuencia, se presenta este informe con el entirillado correspondiente. </w:t>
      </w:r>
    </w:p>
    <w:p w14:paraId="6EEA8EC1" w14:textId="77777777" w:rsidR="00286C08" w:rsidRDefault="007F30C2" w:rsidP="007E538D">
      <w:pPr>
        <w:tabs>
          <w:tab w:val="left" w:pos="-720"/>
        </w:tabs>
        <w:suppressAutoHyphens/>
        <w:spacing w:before="120" w:after="120"/>
        <w:jc w:val="both"/>
        <w:rPr>
          <w:rFonts w:ascii="Book Antiqua" w:hAnsi="Book Antiqua"/>
          <w:szCs w:val="24"/>
          <w:lang w:val="es-PR"/>
        </w:rPr>
      </w:pPr>
      <w:r>
        <w:rPr>
          <w:rFonts w:ascii="Book Antiqua" w:hAnsi="Book Antiqua"/>
          <w:szCs w:val="24"/>
          <w:lang w:val="es-PR"/>
        </w:rPr>
        <w:tab/>
        <w:t>POR TODO LO ANTES EXPUESTO, la Comisión de Vivienda y Bienestar Social del Senado de Puerto Rico previo estudio y consideración, tienen a bien presentar ante est</w:t>
      </w:r>
      <w:r w:rsidR="00286C08">
        <w:rPr>
          <w:rFonts w:ascii="Book Antiqua" w:hAnsi="Book Antiqua"/>
          <w:szCs w:val="24"/>
          <w:lang w:val="es-PR"/>
        </w:rPr>
        <w:t xml:space="preserve">e honorable Alto Cuerpo el Informe Positivo sobre el </w:t>
      </w:r>
      <w:r w:rsidR="00286C08" w:rsidRPr="00286C08">
        <w:rPr>
          <w:rFonts w:ascii="Book Antiqua" w:hAnsi="Book Antiqua"/>
          <w:b/>
          <w:bCs/>
          <w:szCs w:val="24"/>
          <w:lang w:val="es-PR"/>
        </w:rPr>
        <w:t>Proyecto del Senado 25</w:t>
      </w:r>
      <w:r w:rsidR="00286C08">
        <w:rPr>
          <w:rFonts w:ascii="Book Antiqua" w:hAnsi="Book Antiqua"/>
          <w:szCs w:val="24"/>
          <w:lang w:val="es-PR"/>
        </w:rPr>
        <w:t xml:space="preserve">, recomendando su aprobación con las enmiendas contenidas en el entirillado electrónico que se acompaña. </w:t>
      </w:r>
    </w:p>
    <w:p w14:paraId="46AF9CD3" w14:textId="42716037" w:rsidR="007E538D" w:rsidRDefault="00286C08" w:rsidP="007E538D">
      <w:pPr>
        <w:tabs>
          <w:tab w:val="left" w:pos="-720"/>
        </w:tabs>
        <w:suppressAutoHyphens/>
        <w:spacing w:before="120" w:after="120" w:line="360" w:lineRule="auto"/>
        <w:rPr>
          <w:rFonts w:ascii="Book Antiqua" w:hAnsi="Book Antiqua"/>
          <w:szCs w:val="24"/>
          <w:lang w:val="es-ES"/>
        </w:rPr>
      </w:pPr>
      <w:r>
        <w:rPr>
          <w:rFonts w:ascii="Book Antiqua" w:hAnsi="Book Antiqua"/>
          <w:szCs w:val="24"/>
          <w:lang w:val="es-PR"/>
        </w:rPr>
        <w:t xml:space="preserve">Respetuosamente sometido, </w:t>
      </w:r>
    </w:p>
    <w:p w14:paraId="61675CB2" w14:textId="64A2AAE3" w:rsidR="00286C08" w:rsidRDefault="00286C08" w:rsidP="007E538D">
      <w:pPr>
        <w:tabs>
          <w:tab w:val="left" w:pos="-720"/>
        </w:tabs>
        <w:suppressAutoHyphens/>
        <w:spacing w:before="120" w:after="120"/>
        <w:rPr>
          <w:rFonts w:ascii="Book Antiqua" w:hAnsi="Book Antiqua"/>
          <w:szCs w:val="24"/>
          <w:lang w:val="es-ES"/>
        </w:rPr>
      </w:pPr>
      <w:r>
        <w:rPr>
          <w:rFonts w:ascii="Book Antiqua" w:hAnsi="Book Antiqua"/>
          <w:szCs w:val="24"/>
          <w:lang w:val="es-ES"/>
        </w:rPr>
        <w:t xml:space="preserve">Hon. Jamie Barlucea Rodríguez </w:t>
      </w:r>
    </w:p>
    <w:p w14:paraId="7AFB2230" w14:textId="77777777" w:rsidR="007E538D" w:rsidRDefault="00286C08" w:rsidP="007E538D">
      <w:pPr>
        <w:tabs>
          <w:tab w:val="left" w:pos="-720"/>
        </w:tabs>
        <w:suppressAutoHyphens/>
        <w:spacing w:before="120" w:after="120"/>
        <w:rPr>
          <w:rFonts w:ascii="Book Antiqua" w:hAnsi="Book Antiqua"/>
          <w:szCs w:val="24"/>
          <w:lang w:val="es-ES"/>
        </w:rPr>
      </w:pPr>
      <w:r>
        <w:rPr>
          <w:rFonts w:ascii="Book Antiqua" w:hAnsi="Book Antiqua"/>
          <w:szCs w:val="24"/>
          <w:lang w:val="es-ES"/>
        </w:rPr>
        <w:t xml:space="preserve">Presidenta </w:t>
      </w:r>
    </w:p>
    <w:p w14:paraId="435931B3" w14:textId="38F71C08" w:rsidR="00286C08" w:rsidRPr="00286C08" w:rsidRDefault="00286C08" w:rsidP="007E538D">
      <w:pPr>
        <w:tabs>
          <w:tab w:val="left" w:pos="-720"/>
        </w:tabs>
        <w:suppressAutoHyphens/>
        <w:spacing w:before="120" w:after="120"/>
        <w:rPr>
          <w:rFonts w:ascii="Book Antiqua" w:hAnsi="Book Antiqua"/>
          <w:szCs w:val="24"/>
          <w:lang w:val="es-ES"/>
        </w:rPr>
      </w:pPr>
      <w:r>
        <w:rPr>
          <w:rFonts w:ascii="Book Antiqua" w:hAnsi="Book Antiqua"/>
          <w:szCs w:val="24"/>
          <w:lang w:val="es-ES"/>
        </w:rPr>
        <w:t>Comisión de Vivienda y Bienestar Social</w:t>
      </w:r>
    </w:p>
    <w:sectPr w:rsidR="00286C08" w:rsidRPr="00286C08" w:rsidSect="00286C08">
      <w:headerReference w:type="default" r:id="rId12"/>
      <w:footerReference w:type="even" r:id="rId13"/>
      <w:footerReference w:type="default" r:id="rId14"/>
      <w:type w:val="continuous"/>
      <w:pgSz w:w="12240" w:h="15840" w:code="1"/>
      <w:pgMar w:top="1440" w:right="1440" w:bottom="1440" w:left="1440"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469D50" w14:textId="77777777" w:rsidR="004915E5" w:rsidRDefault="004915E5">
      <w:r>
        <w:separator/>
      </w:r>
    </w:p>
  </w:endnote>
  <w:endnote w:type="continuationSeparator" w:id="0">
    <w:p w14:paraId="5D1EAFEE" w14:textId="77777777" w:rsidR="004915E5" w:rsidRDefault="004915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G Times(w1)">
    <w:altName w:val="Times New Roman"/>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DXANP N+ Serifa B T,">
    <w:altName w:val="Times New Roman"/>
    <w:charset w:val="00"/>
    <w:family w:val="auto"/>
    <w:pitch w:val="default"/>
  </w:font>
  <w:font w:name="Segoe UI">
    <w:panose1 w:val="020B0502040204020203"/>
    <w:charset w:val="00"/>
    <w:family w:val="swiss"/>
    <w:pitch w:val="variable"/>
    <w:sig w:usb0="E4002EFF" w:usb1="C000E47F" w:usb2="00000009" w:usb3="00000000" w:csb0="000001FF" w:csb1="00000000"/>
  </w:font>
  <w:font w:name="CG Times">
    <w:altName w:val="Times New Roman"/>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Book Antiqua">
    <w:altName w:val="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572085252"/>
      <w:docPartObj>
        <w:docPartGallery w:val="Page Numbers (Bottom of Page)"/>
        <w:docPartUnique/>
      </w:docPartObj>
    </w:sdtPr>
    <w:sdtEndPr>
      <w:rPr>
        <w:rStyle w:val="PageNumber"/>
      </w:rPr>
    </w:sdtEndPr>
    <w:sdtContent>
      <w:p w14:paraId="585102F1" w14:textId="77777777" w:rsidR="00286C08" w:rsidRDefault="00286C08" w:rsidP="0098277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6EAB00B" w14:textId="77777777" w:rsidR="00286C08" w:rsidRDefault="00286C08" w:rsidP="00286C0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672EE7" w14:textId="77777777" w:rsidR="00286C08" w:rsidRDefault="00286C08" w:rsidP="00286C08">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FAC3B7" w14:textId="77777777" w:rsidR="004915E5" w:rsidRDefault="004915E5">
      <w:r>
        <w:separator/>
      </w:r>
    </w:p>
  </w:footnote>
  <w:footnote w:type="continuationSeparator" w:id="0">
    <w:p w14:paraId="1760CDD9" w14:textId="77777777" w:rsidR="004915E5" w:rsidRDefault="004915E5">
      <w:r>
        <w:continuationSeparator/>
      </w:r>
    </w:p>
  </w:footnote>
  <w:footnote w:id="1">
    <w:p w14:paraId="40017980" w14:textId="6B53F948" w:rsidR="007E538D" w:rsidRPr="007E538D" w:rsidRDefault="007E538D" w:rsidP="007E538D">
      <w:pPr>
        <w:pStyle w:val="FootnoteText"/>
        <w:jc w:val="both"/>
        <w:rPr>
          <w:rFonts w:ascii="Book Antiqua" w:hAnsi="Book Antiqua"/>
        </w:rPr>
      </w:pPr>
      <w:r w:rsidRPr="007E538D">
        <w:rPr>
          <w:rStyle w:val="FootnoteReference"/>
          <w:rFonts w:ascii="Book Antiqua" w:hAnsi="Book Antiqua"/>
        </w:rPr>
        <w:footnoteRef/>
      </w:r>
      <w:r w:rsidRPr="007E538D">
        <w:rPr>
          <w:rFonts w:ascii="Book Antiqua" w:hAnsi="Book Antiqua"/>
        </w:rPr>
        <w:t xml:space="preserve"> El 11 de febrero de 2025 se le solicitó mediante misiva memoriales explicativos a la Comisión de Juegos, ASSMCA, A</w:t>
      </w:r>
      <w:r w:rsidR="002C3E4A">
        <w:rPr>
          <w:rFonts w:ascii="Book Antiqua" w:hAnsi="Book Antiqua"/>
        </w:rPr>
        <w:t>A</w:t>
      </w:r>
      <w:r w:rsidRPr="007E538D">
        <w:rPr>
          <w:rFonts w:ascii="Book Antiqua" w:hAnsi="Book Antiqua"/>
        </w:rPr>
        <w:t>F</w:t>
      </w:r>
      <w:r w:rsidR="002C3E4A">
        <w:rPr>
          <w:rFonts w:ascii="Book Antiqua" w:hAnsi="Book Antiqua"/>
        </w:rPr>
        <w:t>A</w:t>
      </w:r>
      <w:r w:rsidRPr="007E538D">
        <w:rPr>
          <w:rFonts w:ascii="Book Antiqua" w:hAnsi="Book Antiqua"/>
        </w:rPr>
        <w:t>F, OG</w:t>
      </w:r>
      <w:r w:rsidR="00F439DC">
        <w:rPr>
          <w:rFonts w:ascii="Book Antiqua" w:hAnsi="Book Antiqua"/>
        </w:rPr>
        <w:t>P</w:t>
      </w:r>
      <w:r w:rsidRPr="007E538D">
        <w:rPr>
          <w:rFonts w:ascii="Book Antiqua" w:hAnsi="Book Antiqua"/>
        </w:rPr>
        <w:t xml:space="preserve"> y al Departamento de </w:t>
      </w:r>
      <w:r>
        <w:rPr>
          <w:rFonts w:ascii="Book Antiqua" w:hAnsi="Book Antiqua"/>
        </w:rPr>
        <w:t xml:space="preserve">Salud. </w:t>
      </w:r>
    </w:p>
  </w:footnote>
  <w:footnote w:id="2">
    <w:p w14:paraId="6A60F819" w14:textId="3116C300" w:rsidR="00DE09A9" w:rsidRPr="007E538D" w:rsidRDefault="00DE09A9" w:rsidP="007E538D">
      <w:pPr>
        <w:pStyle w:val="FootnoteText"/>
        <w:jc w:val="both"/>
        <w:rPr>
          <w:rFonts w:ascii="Book Antiqua" w:hAnsi="Book Antiqua"/>
          <w:lang w:val="es-PR"/>
        </w:rPr>
      </w:pPr>
      <w:r w:rsidRPr="007E538D">
        <w:rPr>
          <w:rStyle w:val="FootnoteReference"/>
          <w:rFonts w:ascii="Book Antiqua" w:hAnsi="Book Antiqua"/>
        </w:rPr>
        <w:footnoteRef/>
      </w:r>
      <w:r w:rsidRPr="007E538D">
        <w:rPr>
          <w:rFonts w:ascii="Book Antiqua" w:hAnsi="Book Antiqua"/>
        </w:rPr>
        <w:t xml:space="preserve"> </w:t>
      </w:r>
      <w:r w:rsidRPr="007E538D">
        <w:rPr>
          <w:rFonts w:ascii="Book Antiqua" w:hAnsi="Book Antiqua"/>
          <w:lang w:val="es-PR"/>
        </w:rPr>
        <w:t xml:space="preserve">El memorial explicativo </w:t>
      </w:r>
      <w:r w:rsidR="007E538D" w:rsidRPr="007E538D">
        <w:rPr>
          <w:rFonts w:ascii="Book Antiqua" w:hAnsi="Book Antiqua"/>
          <w:lang w:val="es-PR"/>
        </w:rPr>
        <w:t>utiliz</w:t>
      </w:r>
      <w:r w:rsidR="007E538D">
        <w:rPr>
          <w:rFonts w:ascii="Book Antiqua" w:hAnsi="Book Antiqua"/>
          <w:lang w:val="es-PR"/>
        </w:rPr>
        <w:t>ó</w:t>
      </w:r>
      <w:r w:rsidRPr="007E538D">
        <w:rPr>
          <w:rFonts w:ascii="Book Antiqua" w:hAnsi="Book Antiqua"/>
          <w:lang w:val="es-PR"/>
        </w:rPr>
        <w:t xml:space="preserve"> de referencia Suurvali, Hodgins, Toneatto y Cunningham, 2011; SAMHSA, 2014.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9DC662" w14:textId="2AF16923" w:rsidR="007E538D" w:rsidRPr="00FF1768" w:rsidRDefault="007E538D" w:rsidP="007E538D">
    <w:pPr>
      <w:pStyle w:val="Header"/>
      <w:rPr>
        <w:rStyle w:val="PageNumber"/>
        <w:rFonts w:ascii="Book Antiqua" w:hAnsi="Book Antiqua"/>
        <w:b/>
        <w:bCs/>
        <w:lang w:val="es-PR"/>
      </w:rPr>
    </w:pPr>
    <w:r w:rsidRPr="007E538D">
      <w:rPr>
        <w:rStyle w:val="PageNumber"/>
        <w:lang w:val="es-PR"/>
      </w:rPr>
      <w:t xml:space="preserve"> </w:t>
    </w:r>
    <w:r>
      <w:rPr>
        <w:rStyle w:val="PageNumber"/>
        <w:lang w:val="es-PR"/>
      </w:rPr>
      <w:t xml:space="preserve">              </w:t>
    </w:r>
    <w:r w:rsidRPr="007E538D">
      <w:rPr>
        <w:rStyle w:val="PageNumber"/>
        <w:lang w:val="es-PR"/>
      </w:rPr>
      <w:t xml:space="preserve"> </w:t>
    </w:r>
    <w:r w:rsidRPr="00FF1768">
      <w:rPr>
        <w:rStyle w:val="PageNumber"/>
        <w:rFonts w:ascii="Book Antiqua" w:hAnsi="Book Antiqua"/>
        <w:b/>
        <w:bCs/>
        <w:lang w:val="es-PR"/>
      </w:rPr>
      <w:t xml:space="preserve">Comisión de Vivienda y Bienestar Social   </w:t>
    </w:r>
  </w:p>
  <w:p w14:paraId="2BAC2E50" w14:textId="5B1D6C55" w:rsidR="006E789B" w:rsidRPr="007E538D" w:rsidRDefault="007E538D" w:rsidP="007E538D">
    <w:pPr>
      <w:pStyle w:val="Header"/>
      <w:rPr>
        <w:lang w:val="es-PR"/>
      </w:rPr>
    </w:pPr>
    <w:r w:rsidRPr="00FF1768">
      <w:rPr>
        <w:rStyle w:val="PageNumber"/>
        <w:rFonts w:ascii="Book Antiqua" w:hAnsi="Book Antiqua"/>
        <w:b/>
        <w:bCs/>
        <w:lang w:val="es-PR"/>
      </w:rPr>
      <w:t xml:space="preserve">                Informe Positivo P. del S. 25</w:t>
    </w:r>
    <w:r w:rsidRPr="00FF1768">
      <w:rPr>
        <w:rStyle w:val="PageNumber"/>
        <w:rFonts w:ascii="Book Antiqua" w:hAnsi="Book Antiqua"/>
        <w:lang w:val="es-PR"/>
      </w:rPr>
      <w:t xml:space="preserve">.                                                                                                                                          </w:t>
    </w:r>
    <w:r w:rsidR="006E789B">
      <w:rPr>
        <w:rStyle w:val="PageNumber"/>
      </w:rPr>
      <w:fldChar w:fldCharType="begin"/>
    </w:r>
    <w:r w:rsidR="006E789B" w:rsidRPr="007E538D">
      <w:rPr>
        <w:rStyle w:val="PageNumber"/>
        <w:lang w:val="es-PR"/>
      </w:rPr>
      <w:instrText xml:space="preserve"> PAGE </w:instrText>
    </w:r>
    <w:r w:rsidR="006E789B">
      <w:rPr>
        <w:rStyle w:val="PageNumber"/>
      </w:rPr>
      <w:fldChar w:fldCharType="separate"/>
    </w:r>
    <w:r w:rsidR="000E6911" w:rsidRPr="007E538D">
      <w:rPr>
        <w:rStyle w:val="PageNumber"/>
        <w:noProof/>
        <w:lang w:val="es-PR"/>
      </w:rPr>
      <w:t>3</w:t>
    </w:r>
    <w:r w:rsidR="006E789B">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4131A01"/>
    <w:multiLevelType w:val="singleLevel"/>
    <w:tmpl w:val="B55C27B6"/>
    <w:lvl w:ilvl="0">
      <w:start w:val="1"/>
      <w:numFmt w:val="lowerLetter"/>
      <w:lvlText w:val="(%1)"/>
      <w:lvlJc w:val="left"/>
      <w:pPr>
        <w:tabs>
          <w:tab w:val="num" w:pos="2160"/>
        </w:tabs>
        <w:ind w:left="2160" w:hanging="720"/>
      </w:pPr>
      <w:rPr>
        <w:rFonts w:hint="default"/>
      </w:rPr>
    </w:lvl>
  </w:abstractNum>
  <w:num w:numId="1" w16cid:durableId="17536274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4"/>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57"/>
  <w:drawingGridVerticalSpacing w:val="39"/>
  <w:displayHorizontalDrawingGridEvery w:val="0"/>
  <w:displayVerticalDrawingGridEvery w:val="0"/>
  <w:noPunctuationKerning/>
  <w:characterSpacingControl w:val="doNotCompress"/>
  <w:savePreviewPicture/>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7E538D"/>
    <w:rsid w:val="000216BB"/>
    <w:rsid w:val="00023454"/>
    <w:rsid w:val="0002603A"/>
    <w:rsid w:val="0004088C"/>
    <w:rsid w:val="000560CB"/>
    <w:rsid w:val="00080E3B"/>
    <w:rsid w:val="000A06C9"/>
    <w:rsid w:val="000B081B"/>
    <w:rsid w:val="000B75FB"/>
    <w:rsid w:val="000C415C"/>
    <w:rsid w:val="000D3AA4"/>
    <w:rsid w:val="000E06B7"/>
    <w:rsid w:val="000E5747"/>
    <w:rsid w:val="000E6911"/>
    <w:rsid w:val="000F6729"/>
    <w:rsid w:val="00104137"/>
    <w:rsid w:val="001119D3"/>
    <w:rsid w:val="00112D46"/>
    <w:rsid w:val="00126D61"/>
    <w:rsid w:val="00137678"/>
    <w:rsid w:val="00156AA0"/>
    <w:rsid w:val="00162460"/>
    <w:rsid w:val="00173F53"/>
    <w:rsid w:val="001A32E4"/>
    <w:rsid w:val="001B20CB"/>
    <w:rsid w:val="001C4866"/>
    <w:rsid w:val="001C4B24"/>
    <w:rsid w:val="001C6503"/>
    <w:rsid w:val="001D1DC4"/>
    <w:rsid w:val="001D3A06"/>
    <w:rsid w:val="001D7277"/>
    <w:rsid w:val="001E3726"/>
    <w:rsid w:val="00201DF5"/>
    <w:rsid w:val="00207735"/>
    <w:rsid w:val="0021453D"/>
    <w:rsid w:val="00232427"/>
    <w:rsid w:val="002370F8"/>
    <w:rsid w:val="00242D7A"/>
    <w:rsid w:val="00243F0D"/>
    <w:rsid w:val="00263E28"/>
    <w:rsid w:val="00286C08"/>
    <w:rsid w:val="002A0893"/>
    <w:rsid w:val="002A14BD"/>
    <w:rsid w:val="002A60B4"/>
    <w:rsid w:val="002B05B3"/>
    <w:rsid w:val="002C3E4A"/>
    <w:rsid w:val="002D0E98"/>
    <w:rsid w:val="0031084D"/>
    <w:rsid w:val="00315B3A"/>
    <w:rsid w:val="00332883"/>
    <w:rsid w:val="00340519"/>
    <w:rsid w:val="00366311"/>
    <w:rsid w:val="00377C61"/>
    <w:rsid w:val="003909DD"/>
    <w:rsid w:val="003912A4"/>
    <w:rsid w:val="00391980"/>
    <w:rsid w:val="003A1341"/>
    <w:rsid w:val="003A4992"/>
    <w:rsid w:val="003B751D"/>
    <w:rsid w:val="003C1518"/>
    <w:rsid w:val="003E5401"/>
    <w:rsid w:val="003E5D3A"/>
    <w:rsid w:val="003F1D78"/>
    <w:rsid w:val="00414EE7"/>
    <w:rsid w:val="004321E3"/>
    <w:rsid w:val="00466547"/>
    <w:rsid w:val="00473E56"/>
    <w:rsid w:val="00477789"/>
    <w:rsid w:val="00484E71"/>
    <w:rsid w:val="004915E5"/>
    <w:rsid w:val="00492156"/>
    <w:rsid w:val="00497331"/>
    <w:rsid w:val="004F1947"/>
    <w:rsid w:val="004F4D10"/>
    <w:rsid w:val="00505AFD"/>
    <w:rsid w:val="00511BD7"/>
    <w:rsid w:val="005133FA"/>
    <w:rsid w:val="0052092C"/>
    <w:rsid w:val="00532097"/>
    <w:rsid w:val="00532580"/>
    <w:rsid w:val="00575139"/>
    <w:rsid w:val="00586B5C"/>
    <w:rsid w:val="005A265A"/>
    <w:rsid w:val="005A27A8"/>
    <w:rsid w:val="005C03C9"/>
    <w:rsid w:val="005C2E80"/>
    <w:rsid w:val="005C3438"/>
    <w:rsid w:val="005D1313"/>
    <w:rsid w:val="005D131F"/>
    <w:rsid w:val="005D5AFB"/>
    <w:rsid w:val="005E2192"/>
    <w:rsid w:val="005F3890"/>
    <w:rsid w:val="00612577"/>
    <w:rsid w:val="00613E0B"/>
    <w:rsid w:val="0062705C"/>
    <w:rsid w:val="00627154"/>
    <w:rsid w:val="00637A2F"/>
    <w:rsid w:val="0067316B"/>
    <w:rsid w:val="00677043"/>
    <w:rsid w:val="00696278"/>
    <w:rsid w:val="006977AA"/>
    <w:rsid w:val="006A3F44"/>
    <w:rsid w:val="006B3F39"/>
    <w:rsid w:val="006B7388"/>
    <w:rsid w:val="006B7E26"/>
    <w:rsid w:val="006E27EE"/>
    <w:rsid w:val="006E789B"/>
    <w:rsid w:val="006F309A"/>
    <w:rsid w:val="006F4E24"/>
    <w:rsid w:val="0074063E"/>
    <w:rsid w:val="00751EFA"/>
    <w:rsid w:val="00783405"/>
    <w:rsid w:val="00787B94"/>
    <w:rsid w:val="007A1A88"/>
    <w:rsid w:val="007A487E"/>
    <w:rsid w:val="007B5941"/>
    <w:rsid w:val="007C0520"/>
    <w:rsid w:val="007C0DA8"/>
    <w:rsid w:val="007E3E6F"/>
    <w:rsid w:val="007E538D"/>
    <w:rsid w:val="007E6362"/>
    <w:rsid w:val="007E6D3F"/>
    <w:rsid w:val="007F2A2C"/>
    <w:rsid w:val="007F30C2"/>
    <w:rsid w:val="00811335"/>
    <w:rsid w:val="00814F2E"/>
    <w:rsid w:val="00826864"/>
    <w:rsid w:val="00827BDF"/>
    <w:rsid w:val="008325EC"/>
    <w:rsid w:val="00834C51"/>
    <w:rsid w:val="008938FB"/>
    <w:rsid w:val="00896242"/>
    <w:rsid w:val="008A438F"/>
    <w:rsid w:val="008B0792"/>
    <w:rsid w:val="008D1849"/>
    <w:rsid w:val="008E4DAB"/>
    <w:rsid w:val="008F3049"/>
    <w:rsid w:val="008F4B5E"/>
    <w:rsid w:val="008F540A"/>
    <w:rsid w:val="0091367E"/>
    <w:rsid w:val="0091791A"/>
    <w:rsid w:val="00922EEE"/>
    <w:rsid w:val="009242F0"/>
    <w:rsid w:val="00924C41"/>
    <w:rsid w:val="00935B73"/>
    <w:rsid w:val="00951D5A"/>
    <w:rsid w:val="0095526D"/>
    <w:rsid w:val="00963AA0"/>
    <w:rsid w:val="00967178"/>
    <w:rsid w:val="00972F33"/>
    <w:rsid w:val="00992673"/>
    <w:rsid w:val="00A03A6E"/>
    <w:rsid w:val="00A128EA"/>
    <w:rsid w:val="00A210E0"/>
    <w:rsid w:val="00A340C6"/>
    <w:rsid w:val="00A50F87"/>
    <w:rsid w:val="00A67ED9"/>
    <w:rsid w:val="00A753F4"/>
    <w:rsid w:val="00A77A85"/>
    <w:rsid w:val="00A77D6F"/>
    <w:rsid w:val="00A82206"/>
    <w:rsid w:val="00A841D5"/>
    <w:rsid w:val="00A847D1"/>
    <w:rsid w:val="00A85389"/>
    <w:rsid w:val="00AA7B63"/>
    <w:rsid w:val="00AE4B90"/>
    <w:rsid w:val="00B01F61"/>
    <w:rsid w:val="00B120AF"/>
    <w:rsid w:val="00B2217C"/>
    <w:rsid w:val="00B226CE"/>
    <w:rsid w:val="00B510E1"/>
    <w:rsid w:val="00B62DBD"/>
    <w:rsid w:val="00B73062"/>
    <w:rsid w:val="00B86A17"/>
    <w:rsid w:val="00B91F6C"/>
    <w:rsid w:val="00BB301A"/>
    <w:rsid w:val="00BC74F8"/>
    <w:rsid w:val="00C12094"/>
    <w:rsid w:val="00C63F6D"/>
    <w:rsid w:val="00C76FA2"/>
    <w:rsid w:val="00C8079A"/>
    <w:rsid w:val="00CA79C3"/>
    <w:rsid w:val="00CE3B80"/>
    <w:rsid w:val="00D13F13"/>
    <w:rsid w:val="00D332DE"/>
    <w:rsid w:val="00D50266"/>
    <w:rsid w:val="00D53F1B"/>
    <w:rsid w:val="00D541C2"/>
    <w:rsid w:val="00D65F72"/>
    <w:rsid w:val="00D777DA"/>
    <w:rsid w:val="00DC065F"/>
    <w:rsid w:val="00DC32CC"/>
    <w:rsid w:val="00DE09A9"/>
    <w:rsid w:val="00DE2902"/>
    <w:rsid w:val="00DE65DE"/>
    <w:rsid w:val="00E231A4"/>
    <w:rsid w:val="00E26E4F"/>
    <w:rsid w:val="00E43801"/>
    <w:rsid w:val="00E450F4"/>
    <w:rsid w:val="00E53CC2"/>
    <w:rsid w:val="00E65D3F"/>
    <w:rsid w:val="00E72311"/>
    <w:rsid w:val="00EA4F74"/>
    <w:rsid w:val="00EA67A4"/>
    <w:rsid w:val="00ED552B"/>
    <w:rsid w:val="00EE189D"/>
    <w:rsid w:val="00EF5E84"/>
    <w:rsid w:val="00EF75F1"/>
    <w:rsid w:val="00EF7B8E"/>
    <w:rsid w:val="00F162A1"/>
    <w:rsid w:val="00F162B3"/>
    <w:rsid w:val="00F24D45"/>
    <w:rsid w:val="00F41601"/>
    <w:rsid w:val="00F439DC"/>
    <w:rsid w:val="00F60CBE"/>
    <w:rsid w:val="00F65E46"/>
    <w:rsid w:val="00F92ADB"/>
    <w:rsid w:val="00FC21C3"/>
    <w:rsid w:val="00FC7067"/>
    <w:rsid w:val="00FD173C"/>
    <w:rsid w:val="00FD79DC"/>
    <w:rsid w:val="00FE1C0E"/>
    <w:rsid w:val="00FF1768"/>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782C951"/>
  <w15:chartTrackingRefBased/>
  <w15:docId w15:val="{C30EB8D0-B395-43C5-A98D-A09C3488E3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PR" w:eastAsia="es-MX"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caption" w:semiHidden="1" w:unhideWhenUsed="1" w:qFormat="1"/>
    <w:lsdException w:name="footnote reference" w:uiPriority="99"/>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lang w:val="en-US" w:eastAsia="en-US"/>
    </w:rPr>
  </w:style>
  <w:style w:type="paragraph" w:styleId="Heading1">
    <w:name w:val="heading 1"/>
    <w:basedOn w:val="Normal"/>
    <w:next w:val="Normal"/>
    <w:qFormat/>
    <w:pPr>
      <w:keepNext/>
      <w:autoSpaceDE w:val="0"/>
      <w:autoSpaceDN w:val="0"/>
      <w:jc w:val="center"/>
      <w:outlineLvl w:val="0"/>
    </w:pPr>
    <w:rPr>
      <w:rFonts w:ascii="CG Times(w1)" w:hAnsi="CG Times(w1)"/>
      <w:b/>
      <w:bCs/>
      <w:sz w:val="28"/>
      <w:szCs w:val="28"/>
      <w:lang w:val="es-ES_tradnl"/>
    </w:rPr>
  </w:style>
  <w:style w:type="paragraph" w:styleId="Heading3">
    <w:name w:val="heading 3"/>
    <w:basedOn w:val="Normal"/>
    <w:next w:val="Normal"/>
    <w:link w:val="Heading3Char"/>
    <w:semiHidden/>
    <w:unhideWhenUsed/>
    <w:qFormat/>
    <w:rsid w:val="005C2E80"/>
    <w:pPr>
      <w:keepNext/>
      <w:spacing w:before="240" w:after="60"/>
      <w:outlineLvl w:val="2"/>
    </w:pPr>
    <w:rPr>
      <w:rFonts w:ascii="Calibri Light" w:hAnsi="Calibri Light"/>
      <w:b/>
      <w:bCs/>
      <w:sz w:val="26"/>
      <w:szCs w:val="26"/>
    </w:rPr>
  </w:style>
  <w:style w:type="paragraph" w:styleId="Heading5">
    <w:name w:val="heading 5"/>
    <w:basedOn w:val="Normal"/>
    <w:next w:val="Normal"/>
    <w:qFormat/>
    <w:pPr>
      <w:keepNext/>
      <w:autoSpaceDE w:val="0"/>
      <w:autoSpaceDN w:val="0"/>
      <w:jc w:val="center"/>
      <w:outlineLvl w:val="4"/>
    </w:pPr>
    <w:rPr>
      <w:b/>
      <w:bCs/>
      <w:sz w:val="32"/>
      <w:szCs w:val="32"/>
    </w:rPr>
  </w:style>
  <w:style w:type="paragraph" w:styleId="Heading6">
    <w:name w:val="heading 6"/>
    <w:basedOn w:val="Normal"/>
    <w:next w:val="Normal"/>
    <w:qFormat/>
    <w:pPr>
      <w:keepNext/>
      <w:autoSpaceDE w:val="0"/>
      <w:autoSpaceDN w:val="0"/>
      <w:spacing w:before="240"/>
      <w:jc w:val="center"/>
      <w:outlineLvl w:val="5"/>
    </w:pPr>
    <w:rPr>
      <w:b/>
      <w:bCs/>
      <w:sz w:val="48"/>
      <w:szCs w:val="48"/>
      <w:lang w:val="es-ES_tradn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default">
    <w:name w:val="default"/>
    <w:basedOn w:val="Normal"/>
    <w:rsid w:val="00243F0D"/>
    <w:pPr>
      <w:autoSpaceDE w:val="0"/>
      <w:autoSpaceDN w:val="0"/>
    </w:pPr>
    <w:rPr>
      <w:rFonts w:ascii="DXANP N+ Serifa B T," w:hAnsi="DXANP N+ Serifa B T,"/>
      <w:color w:val="000000"/>
      <w:szCs w:val="24"/>
    </w:rPr>
  </w:style>
  <w:style w:type="paragraph" w:styleId="BalloonText">
    <w:name w:val="Balloon Text"/>
    <w:basedOn w:val="Normal"/>
    <w:link w:val="BalloonTextChar"/>
    <w:rsid w:val="00137678"/>
    <w:rPr>
      <w:rFonts w:ascii="Segoe UI" w:hAnsi="Segoe UI" w:cs="Segoe UI"/>
      <w:sz w:val="18"/>
      <w:szCs w:val="18"/>
    </w:rPr>
  </w:style>
  <w:style w:type="character" w:customStyle="1" w:styleId="BalloonTextChar">
    <w:name w:val="Balloon Text Char"/>
    <w:link w:val="BalloonText"/>
    <w:rsid w:val="00137678"/>
    <w:rPr>
      <w:rFonts w:ascii="Segoe UI" w:hAnsi="Segoe UI" w:cs="Segoe UI"/>
      <w:sz w:val="18"/>
      <w:szCs w:val="18"/>
    </w:rPr>
  </w:style>
  <w:style w:type="paragraph" w:styleId="BodyText3">
    <w:name w:val="Body Text 3"/>
    <w:basedOn w:val="Normal"/>
    <w:link w:val="BodyText3Char"/>
    <w:rsid w:val="005C2E80"/>
    <w:pPr>
      <w:widowControl w:val="0"/>
      <w:tabs>
        <w:tab w:val="left" w:pos="-720"/>
      </w:tabs>
      <w:suppressAutoHyphens/>
      <w:autoSpaceDE w:val="0"/>
      <w:autoSpaceDN w:val="0"/>
      <w:adjustRightInd w:val="0"/>
      <w:spacing w:line="240" w:lineRule="atLeast"/>
      <w:jc w:val="both"/>
    </w:pPr>
    <w:rPr>
      <w:rFonts w:ascii="CG Times" w:hAnsi="CG Times"/>
      <w:spacing w:val="-3"/>
      <w:lang w:val="es-ES_tradnl"/>
    </w:rPr>
  </w:style>
  <w:style w:type="character" w:customStyle="1" w:styleId="BodyText3Char">
    <w:name w:val="Body Text 3 Char"/>
    <w:link w:val="BodyText3"/>
    <w:rsid w:val="005C2E80"/>
    <w:rPr>
      <w:rFonts w:ascii="CG Times" w:hAnsi="CG Times"/>
      <w:spacing w:val="-3"/>
      <w:sz w:val="24"/>
      <w:lang w:val="es-ES_tradnl"/>
    </w:rPr>
  </w:style>
  <w:style w:type="character" w:customStyle="1" w:styleId="Heading3Char">
    <w:name w:val="Heading 3 Char"/>
    <w:link w:val="Heading3"/>
    <w:semiHidden/>
    <w:rsid w:val="005C2E80"/>
    <w:rPr>
      <w:rFonts w:ascii="Calibri Light" w:eastAsia="Times New Roman" w:hAnsi="Calibri Light" w:cs="Times New Roman"/>
      <w:b/>
      <w:bCs/>
      <w:sz w:val="26"/>
      <w:szCs w:val="26"/>
    </w:rPr>
  </w:style>
  <w:style w:type="paragraph" w:styleId="FootnoteText">
    <w:name w:val="footnote text"/>
    <w:basedOn w:val="Normal"/>
    <w:link w:val="FootnoteTextChar"/>
    <w:uiPriority w:val="99"/>
    <w:unhideWhenUsed/>
    <w:rsid w:val="005C2E80"/>
    <w:rPr>
      <w:rFonts w:ascii="Calibri" w:eastAsia="Calibri" w:hAnsi="Calibri"/>
      <w:sz w:val="20"/>
      <w:lang w:val="es-ES_tradnl"/>
    </w:rPr>
  </w:style>
  <w:style w:type="character" w:customStyle="1" w:styleId="FootnoteTextChar">
    <w:name w:val="Footnote Text Char"/>
    <w:link w:val="FootnoteText"/>
    <w:uiPriority w:val="99"/>
    <w:rsid w:val="005C2E80"/>
    <w:rPr>
      <w:rFonts w:ascii="Calibri" w:eastAsia="Calibri" w:hAnsi="Calibri"/>
      <w:lang w:val="es-ES_tradnl"/>
    </w:rPr>
  </w:style>
  <w:style w:type="character" w:styleId="FootnoteReference">
    <w:name w:val="footnote reference"/>
    <w:uiPriority w:val="99"/>
    <w:unhideWhenUsed/>
    <w:rsid w:val="005C2E80"/>
    <w:rPr>
      <w:vertAlign w:val="superscript"/>
    </w:rPr>
  </w:style>
  <w:style w:type="paragraph" w:styleId="NormalWeb">
    <w:name w:val="Normal (Web)"/>
    <w:basedOn w:val="Normal"/>
    <w:uiPriority w:val="99"/>
    <w:unhideWhenUsed/>
    <w:rsid w:val="00827BDF"/>
    <w:pPr>
      <w:spacing w:before="100" w:beforeAutospacing="1" w:after="100" w:afterAutospacing="1"/>
    </w:pPr>
    <w:rPr>
      <w:szCs w:val="24"/>
    </w:rPr>
  </w:style>
  <w:style w:type="character" w:styleId="Strong">
    <w:name w:val="Strong"/>
    <w:uiPriority w:val="22"/>
    <w:qFormat/>
    <w:rsid w:val="00C8079A"/>
    <w:rPr>
      <w:b/>
      <w:bCs/>
    </w:rPr>
  </w:style>
  <w:style w:type="table" w:styleId="TableGrid">
    <w:name w:val="Table Grid"/>
    <w:basedOn w:val="TableNormal"/>
    <w:rsid w:val="0091367E"/>
    <w:rPr>
      <w:lang w:eastAsia="es-P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068988">
      <w:bodyDiv w:val="1"/>
      <w:marLeft w:val="0"/>
      <w:marRight w:val="0"/>
      <w:marTop w:val="0"/>
      <w:marBottom w:val="0"/>
      <w:divBdr>
        <w:top w:val="none" w:sz="0" w:space="0" w:color="auto"/>
        <w:left w:val="none" w:sz="0" w:space="0" w:color="auto"/>
        <w:bottom w:val="none" w:sz="0" w:space="0" w:color="auto"/>
        <w:right w:val="none" w:sz="0" w:space="0" w:color="auto"/>
      </w:divBdr>
      <w:divsChild>
        <w:div w:id="1980958454">
          <w:marLeft w:val="0"/>
          <w:marRight w:val="0"/>
          <w:marTop w:val="0"/>
          <w:marBottom w:val="0"/>
          <w:divBdr>
            <w:top w:val="none" w:sz="0" w:space="0" w:color="auto"/>
            <w:left w:val="none" w:sz="0" w:space="0" w:color="auto"/>
            <w:bottom w:val="none" w:sz="0" w:space="0" w:color="auto"/>
            <w:right w:val="none" w:sz="0" w:space="0" w:color="auto"/>
          </w:divBdr>
          <w:divsChild>
            <w:div w:id="762535125">
              <w:marLeft w:val="0"/>
              <w:marRight w:val="0"/>
              <w:marTop w:val="0"/>
              <w:marBottom w:val="0"/>
              <w:divBdr>
                <w:top w:val="none" w:sz="0" w:space="0" w:color="auto"/>
                <w:left w:val="none" w:sz="0" w:space="0" w:color="auto"/>
                <w:bottom w:val="none" w:sz="0" w:space="0" w:color="auto"/>
                <w:right w:val="none" w:sz="0" w:space="0" w:color="auto"/>
              </w:divBdr>
              <w:divsChild>
                <w:div w:id="1737511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685882">
      <w:bodyDiv w:val="1"/>
      <w:marLeft w:val="0"/>
      <w:marRight w:val="0"/>
      <w:marTop w:val="0"/>
      <w:marBottom w:val="0"/>
      <w:divBdr>
        <w:top w:val="none" w:sz="0" w:space="0" w:color="auto"/>
        <w:left w:val="none" w:sz="0" w:space="0" w:color="auto"/>
        <w:bottom w:val="none" w:sz="0" w:space="0" w:color="auto"/>
        <w:right w:val="none" w:sz="0" w:space="0" w:color="auto"/>
      </w:divBdr>
      <w:divsChild>
        <w:div w:id="1260872157">
          <w:marLeft w:val="0"/>
          <w:marRight w:val="0"/>
          <w:marTop w:val="0"/>
          <w:marBottom w:val="0"/>
          <w:divBdr>
            <w:top w:val="none" w:sz="0" w:space="0" w:color="auto"/>
            <w:left w:val="none" w:sz="0" w:space="0" w:color="auto"/>
            <w:bottom w:val="none" w:sz="0" w:space="0" w:color="auto"/>
            <w:right w:val="none" w:sz="0" w:space="0" w:color="auto"/>
          </w:divBdr>
          <w:divsChild>
            <w:div w:id="1783956746">
              <w:marLeft w:val="0"/>
              <w:marRight w:val="0"/>
              <w:marTop w:val="0"/>
              <w:marBottom w:val="0"/>
              <w:divBdr>
                <w:top w:val="none" w:sz="0" w:space="0" w:color="auto"/>
                <w:left w:val="none" w:sz="0" w:space="0" w:color="auto"/>
                <w:bottom w:val="none" w:sz="0" w:space="0" w:color="auto"/>
                <w:right w:val="none" w:sz="0" w:space="0" w:color="auto"/>
              </w:divBdr>
              <w:divsChild>
                <w:div w:id="1676490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869462">
      <w:bodyDiv w:val="1"/>
      <w:marLeft w:val="0"/>
      <w:marRight w:val="0"/>
      <w:marTop w:val="0"/>
      <w:marBottom w:val="0"/>
      <w:divBdr>
        <w:top w:val="none" w:sz="0" w:space="0" w:color="auto"/>
        <w:left w:val="none" w:sz="0" w:space="0" w:color="auto"/>
        <w:bottom w:val="none" w:sz="0" w:space="0" w:color="auto"/>
        <w:right w:val="none" w:sz="0" w:space="0" w:color="auto"/>
      </w:divBdr>
    </w:div>
    <w:div w:id="592978893">
      <w:bodyDiv w:val="1"/>
      <w:marLeft w:val="0"/>
      <w:marRight w:val="0"/>
      <w:marTop w:val="0"/>
      <w:marBottom w:val="0"/>
      <w:divBdr>
        <w:top w:val="none" w:sz="0" w:space="0" w:color="auto"/>
        <w:left w:val="none" w:sz="0" w:space="0" w:color="auto"/>
        <w:bottom w:val="none" w:sz="0" w:space="0" w:color="auto"/>
        <w:right w:val="none" w:sz="0" w:space="0" w:color="auto"/>
      </w:divBdr>
      <w:divsChild>
        <w:div w:id="860705869">
          <w:marLeft w:val="0"/>
          <w:marRight w:val="0"/>
          <w:marTop w:val="0"/>
          <w:marBottom w:val="0"/>
          <w:divBdr>
            <w:top w:val="none" w:sz="0" w:space="0" w:color="auto"/>
            <w:left w:val="none" w:sz="0" w:space="0" w:color="auto"/>
            <w:bottom w:val="none" w:sz="0" w:space="0" w:color="auto"/>
            <w:right w:val="none" w:sz="0" w:space="0" w:color="auto"/>
          </w:divBdr>
          <w:divsChild>
            <w:div w:id="72169107">
              <w:marLeft w:val="0"/>
              <w:marRight w:val="0"/>
              <w:marTop w:val="0"/>
              <w:marBottom w:val="0"/>
              <w:divBdr>
                <w:top w:val="none" w:sz="0" w:space="0" w:color="auto"/>
                <w:left w:val="none" w:sz="0" w:space="0" w:color="auto"/>
                <w:bottom w:val="none" w:sz="0" w:space="0" w:color="auto"/>
                <w:right w:val="none" w:sz="0" w:space="0" w:color="auto"/>
              </w:divBdr>
              <w:divsChild>
                <w:div w:id="567569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4535749">
      <w:bodyDiv w:val="1"/>
      <w:marLeft w:val="0"/>
      <w:marRight w:val="0"/>
      <w:marTop w:val="0"/>
      <w:marBottom w:val="0"/>
      <w:divBdr>
        <w:top w:val="none" w:sz="0" w:space="0" w:color="auto"/>
        <w:left w:val="none" w:sz="0" w:space="0" w:color="auto"/>
        <w:bottom w:val="none" w:sz="0" w:space="0" w:color="auto"/>
        <w:right w:val="none" w:sz="0" w:space="0" w:color="auto"/>
      </w:divBdr>
      <w:divsChild>
        <w:div w:id="910701980">
          <w:marLeft w:val="0"/>
          <w:marRight w:val="0"/>
          <w:marTop w:val="0"/>
          <w:marBottom w:val="0"/>
          <w:divBdr>
            <w:top w:val="none" w:sz="0" w:space="0" w:color="auto"/>
            <w:left w:val="none" w:sz="0" w:space="0" w:color="auto"/>
            <w:bottom w:val="none" w:sz="0" w:space="0" w:color="auto"/>
            <w:right w:val="none" w:sz="0" w:space="0" w:color="auto"/>
          </w:divBdr>
          <w:divsChild>
            <w:div w:id="392002727">
              <w:marLeft w:val="0"/>
              <w:marRight w:val="0"/>
              <w:marTop w:val="0"/>
              <w:marBottom w:val="0"/>
              <w:divBdr>
                <w:top w:val="none" w:sz="0" w:space="0" w:color="auto"/>
                <w:left w:val="none" w:sz="0" w:space="0" w:color="auto"/>
                <w:bottom w:val="none" w:sz="0" w:space="0" w:color="auto"/>
                <w:right w:val="none" w:sz="0" w:space="0" w:color="auto"/>
              </w:divBdr>
              <w:divsChild>
                <w:div w:id="270086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6453654">
      <w:bodyDiv w:val="1"/>
      <w:marLeft w:val="0"/>
      <w:marRight w:val="0"/>
      <w:marTop w:val="0"/>
      <w:marBottom w:val="0"/>
      <w:divBdr>
        <w:top w:val="none" w:sz="0" w:space="0" w:color="auto"/>
        <w:left w:val="none" w:sz="0" w:space="0" w:color="auto"/>
        <w:bottom w:val="none" w:sz="0" w:space="0" w:color="auto"/>
        <w:right w:val="none" w:sz="0" w:space="0" w:color="auto"/>
      </w:divBdr>
      <w:divsChild>
        <w:div w:id="227227427">
          <w:marLeft w:val="0"/>
          <w:marRight w:val="0"/>
          <w:marTop w:val="0"/>
          <w:marBottom w:val="0"/>
          <w:divBdr>
            <w:top w:val="none" w:sz="0" w:space="0" w:color="auto"/>
            <w:left w:val="none" w:sz="0" w:space="0" w:color="auto"/>
            <w:bottom w:val="none" w:sz="0" w:space="0" w:color="auto"/>
            <w:right w:val="none" w:sz="0" w:space="0" w:color="auto"/>
          </w:divBdr>
          <w:divsChild>
            <w:div w:id="1840853092">
              <w:marLeft w:val="0"/>
              <w:marRight w:val="0"/>
              <w:marTop w:val="0"/>
              <w:marBottom w:val="0"/>
              <w:divBdr>
                <w:top w:val="none" w:sz="0" w:space="0" w:color="auto"/>
                <w:left w:val="none" w:sz="0" w:space="0" w:color="auto"/>
                <w:bottom w:val="none" w:sz="0" w:space="0" w:color="auto"/>
                <w:right w:val="none" w:sz="0" w:space="0" w:color="auto"/>
              </w:divBdr>
              <w:divsChild>
                <w:div w:id="261568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1542713">
      <w:bodyDiv w:val="1"/>
      <w:marLeft w:val="0"/>
      <w:marRight w:val="0"/>
      <w:marTop w:val="0"/>
      <w:marBottom w:val="0"/>
      <w:divBdr>
        <w:top w:val="none" w:sz="0" w:space="0" w:color="auto"/>
        <w:left w:val="none" w:sz="0" w:space="0" w:color="auto"/>
        <w:bottom w:val="none" w:sz="0" w:space="0" w:color="auto"/>
        <w:right w:val="none" w:sz="0" w:space="0" w:color="auto"/>
      </w:divBdr>
    </w:div>
    <w:div w:id="1900968674">
      <w:bodyDiv w:val="1"/>
      <w:marLeft w:val="0"/>
      <w:marRight w:val="0"/>
      <w:marTop w:val="0"/>
      <w:marBottom w:val="0"/>
      <w:divBdr>
        <w:top w:val="none" w:sz="0" w:space="0" w:color="auto"/>
        <w:left w:val="none" w:sz="0" w:space="0" w:color="auto"/>
        <w:bottom w:val="none" w:sz="0" w:space="0" w:color="auto"/>
        <w:right w:val="none" w:sz="0" w:space="0" w:color="auto"/>
      </w:divBdr>
      <w:divsChild>
        <w:div w:id="503127168">
          <w:marLeft w:val="0"/>
          <w:marRight w:val="0"/>
          <w:marTop w:val="0"/>
          <w:marBottom w:val="0"/>
          <w:divBdr>
            <w:top w:val="none" w:sz="0" w:space="0" w:color="auto"/>
            <w:left w:val="none" w:sz="0" w:space="0" w:color="auto"/>
            <w:bottom w:val="none" w:sz="0" w:space="0" w:color="auto"/>
            <w:right w:val="none" w:sz="0" w:space="0" w:color="auto"/>
          </w:divBdr>
          <w:divsChild>
            <w:div w:id="1703939504">
              <w:marLeft w:val="0"/>
              <w:marRight w:val="0"/>
              <w:marTop w:val="0"/>
              <w:marBottom w:val="0"/>
              <w:divBdr>
                <w:top w:val="none" w:sz="0" w:space="0" w:color="auto"/>
                <w:left w:val="none" w:sz="0" w:space="0" w:color="auto"/>
                <w:bottom w:val="none" w:sz="0" w:space="0" w:color="auto"/>
                <w:right w:val="none" w:sz="0" w:space="0" w:color="auto"/>
              </w:divBdr>
              <w:divsChild>
                <w:div w:id="1028875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1790061">
      <w:bodyDiv w:val="1"/>
      <w:marLeft w:val="0"/>
      <w:marRight w:val="0"/>
      <w:marTop w:val="0"/>
      <w:marBottom w:val="0"/>
      <w:divBdr>
        <w:top w:val="none" w:sz="0" w:space="0" w:color="auto"/>
        <w:left w:val="none" w:sz="0" w:space="0" w:color="auto"/>
        <w:bottom w:val="none" w:sz="0" w:space="0" w:color="auto"/>
        <w:right w:val="none" w:sz="0" w:space="0" w:color="auto"/>
      </w:divBdr>
      <w:divsChild>
        <w:div w:id="350954208">
          <w:marLeft w:val="0"/>
          <w:marRight w:val="0"/>
          <w:marTop w:val="0"/>
          <w:marBottom w:val="0"/>
          <w:divBdr>
            <w:top w:val="none" w:sz="0" w:space="0" w:color="auto"/>
            <w:left w:val="none" w:sz="0" w:space="0" w:color="auto"/>
            <w:bottom w:val="none" w:sz="0" w:space="0" w:color="auto"/>
            <w:right w:val="none" w:sz="0" w:space="0" w:color="auto"/>
          </w:divBdr>
          <w:divsChild>
            <w:div w:id="1248267392">
              <w:marLeft w:val="0"/>
              <w:marRight w:val="0"/>
              <w:marTop w:val="0"/>
              <w:marBottom w:val="0"/>
              <w:divBdr>
                <w:top w:val="none" w:sz="0" w:space="0" w:color="auto"/>
                <w:left w:val="none" w:sz="0" w:space="0" w:color="auto"/>
                <w:bottom w:val="none" w:sz="0" w:space="0" w:color="auto"/>
                <w:right w:val="none" w:sz="0" w:space="0" w:color="auto"/>
              </w:divBdr>
              <w:divsChild>
                <w:div w:id="1355301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9135463">
      <w:bodyDiv w:val="1"/>
      <w:marLeft w:val="0"/>
      <w:marRight w:val="0"/>
      <w:marTop w:val="0"/>
      <w:marBottom w:val="0"/>
      <w:divBdr>
        <w:top w:val="none" w:sz="0" w:space="0" w:color="auto"/>
        <w:left w:val="none" w:sz="0" w:space="0" w:color="auto"/>
        <w:bottom w:val="none" w:sz="0" w:space="0" w:color="auto"/>
        <w:right w:val="none" w:sz="0" w:space="0" w:color="auto"/>
      </w:divBdr>
      <w:divsChild>
        <w:div w:id="1387602059">
          <w:marLeft w:val="0"/>
          <w:marRight w:val="0"/>
          <w:marTop w:val="0"/>
          <w:marBottom w:val="0"/>
          <w:divBdr>
            <w:top w:val="none" w:sz="0" w:space="0" w:color="auto"/>
            <w:left w:val="none" w:sz="0" w:space="0" w:color="auto"/>
            <w:bottom w:val="none" w:sz="0" w:space="0" w:color="auto"/>
            <w:right w:val="none" w:sz="0" w:space="0" w:color="auto"/>
          </w:divBdr>
          <w:divsChild>
            <w:div w:id="2135323962">
              <w:marLeft w:val="0"/>
              <w:marRight w:val="0"/>
              <w:marTop w:val="0"/>
              <w:marBottom w:val="0"/>
              <w:divBdr>
                <w:top w:val="none" w:sz="0" w:space="0" w:color="auto"/>
                <w:left w:val="none" w:sz="0" w:space="0" w:color="auto"/>
                <w:bottom w:val="none" w:sz="0" w:space="0" w:color="auto"/>
                <w:right w:val="none" w:sz="0" w:space="0" w:color="auto"/>
              </w:divBdr>
              <w:divsChild>
                <w:div w:id="1702633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2118979">
      <w:bodyDiv w:val="1"/>
      <w:marLeft w:val="0"/>
      <w:marRight w:val="0"/>
      <w:marTop w:val="0"/>
      <w:marBottom w:val="0"/>
      <w:divBdr>
        <w:top w:val="none" w:sz="0" w:space="0" w:color="auto"/>
        <w:left w:val="none" w:sz="0" w:space="0" w:color="auto"/>
        <w:bottom w:val="none" w:sz="0" w:space="0" w:color="auto"/>
        <w:right w:val="none" w:sz="0" w:space="0" w:color="auto"/>
      </w:divBdr>
      <w:divsChild>
        <w:div w:id="315303915">
          <w:marLeft w:val="0"/>
          <w:marRight w:val="0"/>
          <w:marTop w:val="0"/>
          <w:marBottom w:val="0"/>
          <w:divBdr>
            <w:top w:val="none" w:sz="0" w:space="0" w:color="auto"/>
            <w:left w:val="none" w:sz="0" w:space="0" w:color="auto"/>
            <w:bottom w:val="none" w:sz="0" w:space="0" w:color="auto"/>
            <w:right w:val="none" w:sz="0" w:space="0" w:color="auto"/>
          </w:divBdr>
          <w:divsChild>
            <w:div w:id="1485776529">
              <w:marLeft w:val="0"/>
              <w:marRight w:val="0"/>
              <w:marTop w:val="0"/>
              <w:marBottom w:val="0"/>
              <w:divBdr>
                <w:top w:val="none" w:sz="0" w:space="0" w:color="auto"/>
                <w:left w:val="none" w:sz="0" w:space="0" w:color="auto"/>
                <w:bottom w:val="none" w:sz="0" w:space="0" w:color="auto"/>
                <w:right w:val="none" w:sz="0" w:space="0" w:color="auto"/>
              </w:divBdr>
              <w:divsChild>
                <w:div w:id="1821577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customXml" Target="../customXml/item6.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lbtorres\AppData\Local\Microsoft\Olk\Attachments\ooa-10e2907c-88ca-4897-a4ed-26e1b9adc88a\2c03f9ccf9710e304b35b4ba5fdb473118473fc94d2ac3cbc30f92285de84281\Informe%20Positivo%20P.%20Del%20S.%2025%20atm%20.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LongProperties xmlns="http://schemas.microsoft.com/office/2006/metadata/longProperties"/>
</file>

<file path=customXml/item5.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p:properties xmlns:p="http://schemas.microsoft.com/office/2006/metadata/properties" xmlns:xsi="http://www.w3.org/2001/XMLSchema-instance" xmlns:pc="http://schemas.microsoft.com/office/infopath/2007/PartnerControls">
  <documentManagement>
    <_ip_UnifiedCompliancePolicyProperties xmlns="http://schemas.microsoft.com/sharepoint/v3" xsi:nil="true"/>
    <_dlc_DocId xmlns="c890fddd-4e87-4e08-8b51-545f2a3f7b06">4SQX5P7U7WPY-958212181-811143</_dlc_DocId>
    <_ip_UnifiedCompliancePolicyUIAction xmlns="http://schemas.microsoft.com/sharepoint/v3" xsi:nil="true"/>
    <_dlc_DocIdUrl xmlns="c890fddd-4e87-4e08-8b51-545f2a3f7b06">
      <Url>https://senpr.sharepoint.com/sites/obralegislativa/_layouts/15/DocIdRedir.aspx?ID=4SQX5P7U7WPY-958212181-811143</Url>
      <Description>4SQX5P7U7WPY-958212181-811143</Description>
    </_dlc_DocIdUrl>
    <TaxCatchAll xmlns="c890fddd-4e87-4e08-8b51-545f2a3f7b06" xsi:nil="true"/>
    <lcf76f155ced4ddcb4097134ff3c332f xmlns="f29de0d1-023e-4363-82d3-bb472b30be6a">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B99F812C-A276-4D0C-B378-DFD98FA8A8E0}">
  <ds:schemaRefs>
    <ds:schemaRef ds:uri="http://schemas.microsoft.com/sharepoint/events"/>
  </ds:schemaRefs>
</ds:datastoreItem>
</file>

<file path=customXml/itemProps2.xml><?xml version="1.0" encoding="utf-8"?>
<ds:datastoreItem xmlns:ds="http://schemas.openxmlformats.org/officeDocument/2006/customXml" ds:itemID="{6A295861-D080-4256-98D7-B34A9225BFC0}">
  <ds:schemaRefs>
    <ds:schemaRef ds:uri="http://schemas.microsoft.com/sharepoint/v3/contenttype/forms"/>
  </ds:schemaRefs>
</ds:datastoreItem>
</file>

<file path=customXml/itemProps3.xml><?xml version="1.0" encoding="utf-8"?>
<ds:datastoreItem xmlns:ds="http://schemas.openxmlformats.org/officeDocument/2006/customXml" ds:itemID="{3356A390-63BA-4A31-851B-2545B9D6DD32}">
  <ds:schemaRefs>
    <ds:schemaRef ds:uri="http://schemas.openxmlformats.org/officeDocument/2006/bibliography"/>
  </ds:schemaRefs>
</ds:datastoreItem>
</file>

<file path=customXml/itemProps4.xml><?xml version="1.0" encoding="utf-8"?>
<ds:datastoreItem xmlns:ds="http://schemas.openxmlformats.org/officeDocument/2006/customXml" ds:itemID="{FE5B52DA-2F6E-4A67-9BE3-979352623EA3}">
  <ds:schemaRefs>
    <ds:schemaRef ds:uri="http://schemas.microsoft.com/office/2006/metadata/longProperties"/>
  </ds:schemaRefs>
</ds:datastoreItem>
</file>

<file path=customXml/itemProps5.xml><?xml version="1.0" encoding="utf-8"?>
<ds:datastoreItem xmlns:ds="http://schemas.openxmlformats.org/officeDocument/2006/customXml" ds:itemID="{C82015DC-D24F-4440-9C55-93FA5B82DED7}"/>
</file>

<file path=customXml/itemProps6.xml><?xml version="1.0" encoding="utf-8"?>
<ds:datastoreItem xmlns:ds="http://schemas.openxmlformats.org/officeDocument/2006/customXml" ds:itemID="{19A629A0-2CC2-49A6-B6D4-6E66CFF8FEA2}"/>
</file>

<file path=docProps/app.xml><?xml version="1.0" encoding="utf-8"?>
<Properties xmlns="http://schemas.openxmlformats.org/officeDocument/2006/extended-properties" xmlns:vt="http://schemas.openxmlformats.org/officeDocument/2006/docPropsVTypes">
  <Template>Informe Positivo P. Del S. 25 atm </Template>
  <TotalTime>1</TotalTime>
  <Pages>4</Pages>
  <Words>1475</Words>
  <Characters>7890</Characters>
  <Application>Microsoft Office Word</Application>
  <DocSecurity>0</DocSecurity>
  <Lines>65</Lines>
  <Paragraphs>18</Paragraphs>
  <ScaleCrop>false</ScaleCrop>
  <HeadingPairs>
    <vt:vector size="6" baseType="variant">
      <vt:variant>
        <vt:lpstr>Title</vt:lpstr>
      </vt:variant>
      <vt:variant>
        <vt:i4>1</vt:i4>
      </vt:variant>
      <vt:variant>
        <vt:lpstr>Headings</vt:lpstr>
      </vt:variant>
      <vt:variant>
        <vt:i4>1</vt:i4>
      </vt:variant>
      <vt:variant>
        <vt:lpstr>Título</vt:lpstr>
      </vt:variant>
      <vt:variant>
        <vt:i4>1</vt:i4>
      </vt:variant>
    </vt:vector>
  </HeadingPairs>
  <TitlesOfParts>
    <vt:vector size="3" baseType="lpstr">
      <vt:lpstr>ESTADO LIBRE ASOCIADO DE PUERTO RICO</vt:lpstr>
      <vt:lpstr>        INTRODUCCIÓN </vt:lpstr>
      <vt:lpstr>ESTADO LIBRE ASOCIADO DE PUERTO RICO</vt:lpstr>
    </vt:vector>
  </TitlesOfParts>
  <Company>Asamblea Legislativa</Company>
  <LinksUpToDate>false</LinksUpToDate>
  <CharactersWithSpaces>9347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Albert Torres Mercado (Sen. Jamie Barlucea)</dc:creator>
  <cp:keywords/>
  <cp:lastModifiedBy>Eric J. González (Trámites y Récords)</cp:lastModifiedBy>
  <cp:revision>3</cp:revision>
  <cp:lastPrinted>2025-03-06T13:06:00Z</cp:lastPrinted>
  <dcterms:created xsi:type="dcterms:W3CDTF">2025-03-07T14:49:00Z</dcterms:created>
  <dcterms:modified xsi:type="dcterms:W3CDTF">2025-03-07T14:49:00Z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4SQX5P7U7WPY-958212181-780786</vt:lpwstr>
  </property>
  <property fmtid="{D5CDD505-2E9C-101B-9397-08002B2CF9AE}" pid="3" name="_dlc_DocIdItemGuid">
    <vt:lpwstr>075f1749-dff4-4d2e-bbe7-2f3819b7dd4e</vt:lpwstr>
  </property>
  <property fmtid="{D5CDD505-2E9C-101B-9397-08002B2CF9AE}" pid="4" name="_dlc_DocIdUrl">
    <vt:lpwstr>https://senpr.sharepoint.com/sites/obralegislativa/_layouts/15/DocIdRedir.aspx?ID=4SQX5P7U7WPY-958212181-780786, 4SQX5P7U7WPY-958212181-780786</vt:lpwstr>
  </property>
  <property fmtid="{D5CDD505-2E9C-101B-9397-08002B2CF9AE}" pid="5" name="_ip_UnifiedCompliancePolicyUIAction">
    <vt:lpwstr/>
  </property>
  <property fmtid="{D5CDD505-2E9C-101B-9397-08002B2CF9AE}" pid="6" name="_ip_UnifiedCompliancePolicyProperties">
    <vt:lpwstr/>
  </property>
  <property fmtid="{D5CDD505-2E9C-101B-9397-08002B2CF9AE}" pid="7" name="ContentTypeId">
    <vt:lpwstr>0x0101008C58FC75B682744FB4A53C756BEDC3A3</vt:lpwstr>
  </property>
  <property fmtid="{D5CDD505-2E9C-101B-9397-08002B2CF9AE}" pid="8" name="MediaServiceImageTags">
    <vt:lpwstr/>
  </property>
</Properties>
</file>