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56AE397B"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8D5F9A">
        <w:rPr>
          <w:rFonts w:ascii="Book Antiqua" w:hAnsi="Book Antiqua"/>
          <w:b/>
          <w:sz w:val="52"/>
          <w:lang w:val="es-ES_tradnl"/>
        </w:rPr>
        <w:t>36</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5DE77116" w:rsidR="001B5218" w:rsidRPr="005E150B" w:rsidRDefault="007153FA" w:rsidP="0027212A">
      <w:pPr>
        <w:spacing w:line="360" w:lineRule="auto"/>
        <w:jc w:val="center"/>
        <w:rPr>
          <w:rFonts w:ascii="Book Antiqua" w:hAnsi="Book Antiqua"/>
          <w:lang w:val="es-ES_tradnl"/>
        </w:rPr>
      </w:pPr>
      <w:r>
        <w:rPr>
          <w:rFonts w:ascii="Book Antiqua" w:hAnsi="Book Antiqua"/>
          <w:lang w:val="es-ES_tradnl"/>
        </w:rPr>
        <w:t xml:space="preserve">14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C975EE">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2F02B658" w:rsidR="005B2884" w:rsidRPr="00A11ED0" w:rsidRDefault="00A52CD9" w:rsidP="00C975EE">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8D5F9A">
        <w:rPr>
          <w:rFonts w:ascii="Book Antiqua" w:hAnsi="Book Antiqua"/>
          <w:spacing w:val="-3"/>
          <w:lang w:val="es-ES_tradnl"/>
        </w:rPr>
        <w:t>Proyecto del Senado 36</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9D6EEC">
        <w:rPr>
          <w:rFonts w:ascii="Book Antiqua" w:hAnsi="Book Antiqua"/>
          <w:spacing w:val="-3"/>
          <w:lang w:val="es-ES_tradnl"/>
        </w:rPr>
        <w:t>con las enmiendas contenidas en el entirillado electrónico que se acompaña</w:t>
      </w:r>
      <w:r w:rsidR="008D5F9A" w:rsidRPr="009D6EEC">
        <w:rPr>
          <w:rFonts w:ascii="Book Antiqua" w:hAnsi="Book Antiqua"/>
          <w:spacing w:val="-3"/>
          <w:lang w:val="es-ES_tradnl"/>
        </w:rPr>
        <w:t>.</w:t>
      </w:r>
    </w:p>
    <w:p w14:paraId="1C36686D" w14:textId="77777777" w:rsidR="000C52A1" w:rsidRPr="00A11ED0" w:rsidRDefault="000C52A1" w:rsidP="00C975EE">
      <w:pPr>
        <w:suppressAutoHyphens/>
        <w:spacing w:line="276" w:lineRule="auto"/>
        <w:jc w:val="both"/>
        <w:rPr>
          <w:rFonts w:ascii="Book Antiqua" w:hAnsi="Book Antiqua"/>
          <w:spacing w:val="-3"/>
          <w:lang w:val="es-ES_tradnl"/>
        </w:rPr>
      </w:pPr>
    </w:p>
    <w:p w14:paraId="632423B1" w14:textId="77777777" w:rsidR="0024131E" w:rsidRPr="00A11ED0" w:rsidRDefault="001B5218" w:rsidP="00C975EE">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C975EE">
      <w:pPr>
        <w:tabs>
          <w:tab w:val="left" w:pos="-720"/>
        </w:tabs>
        <w:suppressAutoHyphens/>
        <w:spacing w:line="276" w:lineRule="auto"/>
        <w:rPr>
          <w:rFonts w:ascii="Book Antiqua" w:hAnsi="Book Antiqua"/>
          <w:b/>
          <w:bCs/>
          <w:szCs w:val="24"/>
          <w:lang w:val="es-ES_tradnl"/>
        </w:rPr>
      </w:pPr>
    </w:p>
    <w:p w14:paraId="7C7A3389" w14:textId="408FC0A9" w:rsidR="006F51A8" w:rsidRPr="00A11ED0" w:rsidRDefault="009F427F" w:rsidP="00C975EE">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8D5F9A">
        <w:rPr>
          <w:rFonts w:ascii="Book Antiqua" w:hAnsi="Book Antiqua"/>
          <w:lang w:val="es-PR"/>
        </w:rPr>
        <w:t>36</w:t>
      </w:r>
      <w:r w:rsidRPr="00A11ED0">
        <w:rPr>
          <w:rFonts w:ascii="Book Antiqua" w:hAnsi="Book Antiqua"/>
          <w:lang w:val="es-PR"/>
        </w:rPr>
        <w:t xml:space="preserve"> </w:t>
      </w:r>
      <w:r w:rsidRPr="00337BB7">
        <w:rPr>
          <w:rFonts w:ascii="Book Antiqua" w:hAnsi="Book Antiqua"/>
          <w:lang w:val="es-PR"/>
        </w:rPr>
        <w:t xml:space="preserve">(en adelante, P. del S. </w:t>
      </w:r>
      <w:r w:rsidR="008D5F9A">
        <w:rPr>
          <w:rFonts w:ascii="Book Antiqua" w:hAnsi="Book Antiqua"/>
          <w:lang w:val="es-PR"/>
        </w:rPr>
        <w:t>36</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7A652C">
        <w:rPr>
          <w:rFonts w:ascii="Book Antiqua" w:hAnsi="Book Antiqua"/>
          <w:lang w:val="es-PR"/>
        </w:rPr>
        <w:t xml:space="preserve"> </w:t>
      </w:r>
      <w:r w:rsidR="007A652C" w:rsidRPr="003317B7">
        <w:rPr>
          <w:rFonts w:ascii="Book Antiqua" w:hAnsi="Book Antiqua"/>
          <w:lang w:val="es-ES_tradnl"/>
        </w:rPr>
        <w:t xml:space="preserve">enmendar </w:t>
      </w:r>
      <w:bookmarkStart w:id="5" w:name="_Hlk182117729"/>
      <w:r w:rsidR="007A652C" w:rsidRPr="003317B7">
        <w:rPr>
          <w:rFonts w:ascii="Book Antiqua" w:hAnsi="Book Antiqua"/>
          <w:lang w:val="es-ES_tradnl"/>
        </w:rPr>
        <w:t>l</w:t>
      </w:r>
      <w:r w:rsidR="007A652C">
        <w:rPr>
          <w:rFonts w:ascii="Book Antiqua" w:hAnsi="Book Antiqua"/>
          <w:lang w:val="es-ES_tradnl"/>
        </w:rPr>
        <w:t xml:space="preserve">a Sección 3 </w:t>
      </w:r>
      <w:bookmarkEnd w:id="5"/>
      <w:r w:rsidR="007A652C" w:rsidRPr="00407D0C">
        <w:rPr>
          <w:rFonts w:ascii="Book Antiqua" w:hAnsi="Book Antiqua"/>
          <w:lang w:val="es-ES_tradnl"/>
        </w:rPr>
        <w:t xml:space="preserve">de la </w:t>
      </w:r>
      <w:r w:rsidR="007A652C" w:rsidRPr="00407D0C">
        <w:rPr>
          <w:rFonts w:ascii="Book Antiqua" w:hAnsi="Book Antiqua"/>
          <w:lang w:val="es-PR"/>
        </w:rPr>
        <w:t>Ley Núm. 83 de 25 de junio de 1963, según enmendada</w:t>
      </w:r>
      <w:r w:rsidR="007A652C" w:rsidRPr="003317B7">
        <w:rPr>
          <w:rFonts w:ascii="Book Antiqua" w:hAnsi="Book Antiqua"/>
          <w:lang w:val="es-PR"/>
        </w:rPr>
        <w:t>, conocida como</w:t>
      </w:r>
      <w:r w:rsidR="007A652C" w:rsidRPr="00407D0C">
        <w:rPr>
          <w:rFonts w:ascii="Book Antiqua" w:hAnsi="Book Antiqua"/>
          <w:lang w:val="es-PR"/>
        </w:rPr>
        <w:t xml:space="preserve"> “Ley de la Pirotecnia de Puerto Rico</w:t>
      </w:r>
      <w:r w:rsidR="007A652C" w:rsidRPr="003317B7">
        <w:rPr>
          <w:rFonts w:ascii="Book Antiqua" w:hAnsi="Book Antiqua"/>
          <w:lang w:val="es-ES_tradnl"/>
        </w:rPr>
        <w:t xml:space="preserve">” a los fines de atemperar sus disposiciones y delitos al sistema de penas establecido en la </w:t>
      </w:r>
      <w:r w:rsidR="007A652C" w:rsidRPr="003317B7">
        <w:rPr>
          <w:rFonts w:ascii="Book Antiqua" w:hAnsi="Book Antiqua"/>
          <w:lang w:val="es-PR"/>
        </w:rPr>
        <w:t>Ley Núm. 146 de 30 de julio de 2012, según enmendada, conocida como “Código Penal de Puerto Rico”</w:t>
      </w:r>
      <w:r w:rsidR="007A652C">
        <w:rPr>
          <w:rFonts w:ascii="Book Antiqua" w:hAnsi="Book Antiqua"/>
          <w:lang w:val="es-PR"/>
        </w:rPr>
        <w:t>.</w:t>
      </w:r>
    </w:p>
    <w:bookmarkEnd w:id="4"/>
    <w:p w14:paraId="771800BC" w14:textId="77777777" w:rsidR="00A06A16" w:rsidRPr="00A11ED0" w:rsidRDefault="00A06A16" w:rsidP="00C975EE">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C975EE">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C975EE">
      <w:pPr>
        <w:tabs>
          <w:tab w:val="left" w:pos="-720"/>
        </w:tabs>
        <w:suppressAutoHyphens/>
        <w:spacing w:line="276" w:lineRule="auto"/>
        <w:ind w:firstLine="360"/>
        <w:jc w:val="center"/>
        <w:rPr>
          <w:rFonts w:ascii="Book Antiqua" w:hAnsi="Book Antiqua"/>
          <w:b/>
          <w:bCs/>
          <w:lang w:val="es-PR"/>
        </w:rPr>
      </w:pPr>
    </w:p>
    <w:p w14:paraId="43680D65" w14:textId="4015151B" w:rsidR="00E82DF6" w:rsidRPr="00E82DF6" w:rsidRDefault="009F524F"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E82DF6" w:rsidRPr="00E82DF6">
        <w:rPr>
          <w:rFonts w:ascii="Book Antiqua" w:hAnsi="Book Antiqua"/>
          <w:lang w:val="es-PR"/>
        </w:rPr>
        <w:t xml:space="preserve">La Ley Núm. 83 de 25 de junio de 1963, conocida como la </w:t>
      </w:r>
      <w:r w:rsidR="00E82DF6">
        <w:rPr>
          <w:rFonts w:ascii="Book Antiqua" w:hAnsi="Book Antiqua"/>
          <w:lang w:val="es-PR"/>
        </w:rPr>
        <w:t>“</w:t>
      </w:r>
      <w:r w:rsidR="00E82DF6" w:rsidRPr="00E82DF6">
        <w:rPr>
          <w:rFonts w:ascii="Book Antiqua" w:hAnsi="Book Antiqua"/>
          <w:lang w:val="es-PR"/>
        </w:rPr>
        <w:t>Ley de la Pirotecnia de Puerto Rico</w:t>
      </w:r>
      <w:r w:rsidR="00E82DF6">
        <w:rPr>
          <w:rFonts w:ascii="Book Antiqua" w:hAnsi="Book Antiqua"/>
          <w:lang w:val="es-PR"/>
        </w:rPr>
        <w:t>”</w:t>
      </w:r>
      <w:r w:rsidR="00E82DF6" w:rsidRPr="00E82DF6">
        <w:rPr>
          <w:rFonts w:ascii="Book Antiqua" w:hAnsi="Book Antiqua"/>
          <w:lang w:val="es-PR"/>
        </w:rPr>
        <w:t xml:space="preserve">, fue establecida con el propósito de prohibir la tenencia, el uso, la fabricación, la importación, la venta, el ofrecimiento, la entrega o la disposición de artificios o productos de pirotecnia en la isla. </w:t>
      </w:r>
    </w:p>
    <w:p w14:paraId="09D6C45F" w14:textId="62B84ED1" w:rsidR="00E82DF6" w:rsidRPr="00E82DF6" w:rsidRDefault="00B35FCB"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E82DF6" w:rsidRPr="00E82DF6">
        <w:rPr>
          <w:rFonts w:ascii="Book Antiqua" w:hAnsi="Book Antiqua"/>
          <w:lang w:val="es-PR"/>
        </w:rPr>
        <w:t xml:space="preserve">En cuanto a las actividades prohibidas, la ley especifica que no se podrá poseer, usar, fabricar, ni hacer fabricar, importar, vender o tener para la venta, ofrecer, entregar a cualquier persona o disponer de cualquier artificio o producto de </w:t>
      </w:r>
      <w:r w:rsidR="00E82DF6" w:rsidRPr="00E82DF6">
        <w:rPr>
          <w:rFonts w:ascii="Book Antiqua" w:hAnsi="Book Antiqua"/>
          <w:lang w:val="es-PR"/>
        </w:rPr>
        <w:lastRenderedPageBreak/>
        <w:t xml:space="preserve">pirotecnia. La ley define </w:t>
      </w:r>
      <w:r>
        <w:rPr>
          <w:rFonts w:ascii="Book Antiqua" w:hAnsi="Book Antiqua"/>
          <w:lang w:val="es-PR"/>
        </w:rPr>
        <w:t>“</w:t>
      </w:r>
      <w:r w:rsidR="00E82DF6" w:rsidRPr="00E82DF6">
        <w:rPr>
          <w:rFonts w:ascii="Book Antiqua" w:hAnsi="Book Antiqua"/>
          <w:lang w:val="es-PR"/>
        </w:rPr>
        <w:t>pirotecnia</w:t>
      </w:r>
      <w:r>
        <w:rPr>
          <w:rFonts w:ascii="Book Antiqua" w:hAnsi="Book Antiqua"/>
          <w:lang w:val="es-PR"/>
        </w:rPr>
        <w:t>”</w:t>
      </w:r>
      <w:r w:rsidR="00E82DF6" w:rsidRPr="00E82DF6">
        <w:rPr>
          <w:rFonts w:ascii="Book Antiqua" w:hAnsi="Book Antiqua"/>
          <w:lang w:val="es-PR"/>
        </w:rPr>
        <w:t xml:space="preserve"> de manera amplia, abarcando el arte, ciencia o industria de crear fuegos artificiales, cohetes, petardos, triquitraques, buscapiés, luces de bengala (</w:t>
      </w:r>
      <w:r w:rsidR="00E82DF6" w:rsidRPr="00B35FCB">
        <w:rPr>
          <w:rFonts w:ascii="Book Antiqua" w:hAnsi="Book Antiqua"/>
          <w:i/>
          <w:iCs/>
          <w:lang w:val="es-PR"/>
        </w:rPr>
        <w:t>Roman candles</w:t>
      </w:r>
      <w:r w:rsidR="00E82DF6" w:rsidRPr="00E82DF6">
        <w:rPr>
          <w:rFonts w:ascii="Book Antiqua" w:hAnsi="Book Antiqua"/>
          <w:lang w:val="es-PR"/>
        </w:rPr>
        <w:t>), y cualesquiera otros análogos, sean estos aéreos o explosivos. La definición incluye ejemplos concretos como morteros, baterías, correas de petardos, alfombras, big bomb, saturn missile, cohetitos, flash cracker, artillery shell, pulling firecrackers, thunder bomb firecracker, y whistling moon traveler, entre otros. Se refiere a cualquier compuesto químico o mezcla mecánica que contenga unidades oxidantes y combustibles, o cualquier sustancia que, sola o mezclada, pueda ser inflamable en cantidades o proporciones que, al encenderse por fuego, fricción, conmoción, percusión o detonador, produzca una repentina reproducción de gases capaces de generar sonido o fuego o ambos.</w:t>
      </w:r>
    </w:p>
    <w:p w14:paraId="0F381A7A" w14:textId="3FF10C0A" w:rsidR="00E82DF6" w:rsidRPr="00E82DF6" w:rsidRDefault="003C34A4"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E82DF6" w:rsidRPr="00E82DF6">
        <w:rPr>
          <w:rFonts w:ascii="Book Antiqua" w:hAnsi="Book Antiqua"/>
          <w:lang w:val="es-PR"/>
        </w:rPr>
        <w:t>Sin embargo, la Ley de la Pirotecnia de Puerto Rico establece excepciones claras para ciertos productos y situaciones. Las disposiciones de la ley no son aplicables a los fuegos artificiales que son aprobados por las autoridades para despliegue público. Tampoco se aplican a productos de base terrestre, que no son aéreos ni explosivos (</w:t>
      </w:r>
      <w:r w:rsidR="00E82DF6" w:rsidRPr="003C34A4">
        <w:rPr>
          <w:rFonts w:ascii="Book Antiqua" w:hAnsi="Book Antiqua"/>
          <w:i/>
          <w:iCs/>
          <w:lang w:val="es-PR"/>
        </w:rPr>
        <w:t>non aerial non explosive</w:t>
      </w:r>
      <w:r w:rsidR="00E82DF6" w:rsidRPr="00E82DF6">
        <w:rPr>
          <w:rFonts w:ascii="Book Antiqua" w:hAnsi="Book Antiqua"/>
          <w:lang w:val="es-PR"/>
        </w:rPr>
        <w:t>), siempre y cuando contengan hasta cien (100) gramos de mezcla, como las estrellitas (</w:t>
      </w:r>
      <w:r w:rsidR="00E82DF6" w:rsidRPr="003C34A4">
        <w:rPr>
          <w:rFonts w:ascii="Book Antiqua" w:hAnsi="Book Antiqua"/>
          <w:i/>
          <w:iCs/>
          <w:lang w:val="es-PR"/>
        </w:rPr>
        <w:t>wood stick or wire sparklers</w:t>
      </w:r>
      <w:r w:rsidR="00E82DF6" w:rsidRPr="00E82DF6">
        <w:rPr>
          <w:rFonts w:ascii="Book Antiqua" w:hAnsi="Book Antiqua"/>
          <w:lang w:val="es-PR"/>
        </w:rPr>
        <w:t>). Otras excepciones incluyen productos de base (</w:t>
      </w:r>
      <w:r w:rsidR="00E82DF6" w:rsidRPr="003C34A4">
        <w:rPr>
          <w:rFonts w:ascii="Book Antiqua" w:hAnsi="Book Antiqua"/>
          <w:i/>
          <w:iCs/>
          <w:lang w:val="es-PR"/>
        </w:rPr>
        <w:t>ground base sparklers</w:t>
      </w:r>
      <w:r w:rsidR="00E82DF6" w:rsidRPr="00E82DF6">
        <w:rPr>
          <w:rFonts w:ascii="Book Antiqua" w:hAnsi="Book Antiqua"/>
          <w:lang w:val="es-PR"/>
        </w:rPr>
        <w:t>) que no son ni explosivos ni aéreos, que pueden silbar o producir un ruido similar a un crujido, con una composición de hasta 75 gramos por tubo o en tubos múltiples que no excedan los 500 gramos de mezcla pirotécnica, tales como los garbanzos y las estrellitas. Las botellitas con confeti (</w:t>
      </w:r>
      <w:r w:rsidR="00E82DF6" w:rsidRPr="00874ABE">
        <w:rPr>
          <w:rFonts w:ascii="Book Antiqua" w:hAnsi="Book Antiqua"/>
          <w:i/>
          <w:iCs/>
          <w:lang w:val="es-PR"/>
        </w:rPr>
        <w:t>party poppers</w:t>
      </w:r>
      <w:r w:rsidR="00E82DF6" w:rsidRPr="00E82DF6">
        <w:rPr>
          <w:rFonts w:ascii="Book Antiqua" w:hAnsi="Book Antiqua"/>
          <w:lang w:val="es-PR"/>
        </w:rPr>
        <w:t>) que en su empaque contienen hasta 25/100 de gramo de mezcla también están exentas, al igual que los fulminantes de papel (</w:t>
      </w:r>
      <w:r w:rsidR="00E82DF6" w:rsidRPr="00874ABE">
        <w:rPr>
          <w:rFonts w:ascii="Book Antiqua" w:hAnsi="Book Antiqua"/>
          <w:i/>
          <w:iCs/>
          <w:lang w:val="es-PR"/>
        </w:rPr>
        <w:t>roll caps</w:t>
      </w:r>
      <w:r w:rsidR="00E82DF6" w:rsidRPr="00E82DF6">
        <w:rPr>
          <w:rFonts w:ascii="Book Antiqua" w:hAnsi="Book Antiqua"/>
          <w:lang w:val="es-PR"/>
        </w:rPr>
        <w:t>) que se usan con revólveres y pistolas de juguete, y las bolitas de humo.</w:t>
      </w:r>
    </w:p>
    <w:p w14:paraId="3DFA15C6" w14:textId="77777777" w:rsidR="00874ABE" w:rsidRDefault="00874ABE"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E82DF6" w:rsidRPr="00E82DF6">
        <w:rPr>
          <w:rFonts w:ascii="Book Antiqua" w:hAnsi="Book Antiqua"/>
          <w:lang w:val="es-PR"/>
        </w:rPr>
        <w:t xml:space="preserve">En cuanto a las penalidades por infracción, la ley establece distintas sanciones basadas en la cantidad de material pirotécnico incautado. Si a una persona se le ocupan diez (10) unidades o menos de material de pirotecnia, estará sujeta a las penalidades de un delito menos grave, con una multa no menor de quinientos (500) dólares. Por otro lado, si se ocupan más de diez (10) unidades de material de pirotecnia a un individuo o individuos, la infracción se considerará un </w:t>
      </w:r>
      <w:r>
        <w:rPr>
          <w:rFonts w:ascii="Book Antiqua" w:hAnsi="Book Antiqua"/>
          <w:lang w:val="es-PR"/>
        </w:rPr>
        <w:t>“</w:t>
      </w:r>
      <w:r w:rsidR="00E82DF6" w:rsidRPr="00E82DF6">
        <w:rPr>
          <w:rFonts w:ascii="Book Antiqua" w:hAnsi="Book Antiqua"/>
          <w:lang w:val="es-PR"/>
        </w:rPr>
        <w:t>delito grave de cuarto grado</w:t>
      </w:r>
      <w:r>
        <w:rPr>
          <w:rFonts w:ascii="Book Antiqua" w:hAnsi="Book Antiqua"/>
          <w:lang w:val="es-PR"/>
        </w:rPr>
        <w:t>”</w:t>
      </w:r>
      <w:r w:rsidR="00E82DF6" w:rsidRPr="00E82DF6">
        <w:rPr>
          <w:rFonts w:ascii="Book Antiqua" w:hAnsi="Book Antiqua"/>
          <w:lang w:val="es-PR"/>
        </w:rPr>
        <w:t xml:space="preserve">, y la multa impuesta será no menor de cinco mil (5,000) dólares. Para los fines de esta sección, una </w:t>
      </w:r>
      <w:r>
        <w:rPr>
          <w:rFonts w:ascii="Book Antiqua" w:hAnsi="Book Antiqua"/>
          <w:lang w:val="es-PR"/>
        </w:rPr>
        <w:t>“</w:t>
      </w:r>
      <w:r w:rsidR="00E82DF6" w:rsidRPr="00E82DF6">
        <w:rPr>
          <w:rFonts w:ascii="Book Antiqua" w:hAnsi="Book Antiqua"/>
          <w:lang w:val="es-PR"/>
        </w:rPr>
        <w:t>unidad</w:t>
      </w:r>
      <w:r>
        <w:rPr>
          <w:rFonts w:ascii="Book Antiqua" w:hAnsi="Book Antiqua"/>
          <w:lang w:val="es-PR"/>
        </w:rPr>
        <w:t>”</w:t>
      </w:r>
      <w:r w:rsidR="00E82DF6" w:rsidRPr="00E82DF6">
        <w:rPr>
          <w:rFonts w:ascii="Book Antiqua" w:hAnsi="Book Antiqua"/>
          <w:lang w:val="es-PR"/>
        </w:rPr>
        <w:t xml:space="preserve"> se define como aquel artificio o material pirotécnico que se compone de varios artículos integrados de una misma clase en un solo empaque para venta al detal.</w:t>
      </w:r>
    </w:p>
    <w:p w14:paraId="610ECDCA" w14:textId="5C34C346" w:rsidR="00E82DF6" w:rsidRPr="00E82DF6" w:rsidRDefault="00874ABE"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E82DF6" w:rsidRPr="00E82DF6">
        <w:rPr>
          <w:rFonts w:ascii="Book Antiqua" w:hAnsi="Book Antiqua"/>
          <w:lang w:val="es-PR"/>
        </w:rPr>
        <w:t xml:space="preserve">Es importante destacar que esta Ley de la Pirotecnia no deroga, altera, modifica, anula ni deja sin lugar la </w:t>
      </w:r>
      <w:r>
        <w:rPr>
          <w:rFonts w:ascii="Book Antiqua" w:hAnsi="Book Antiqua"/>
          <w:lang w:val="es-PR"/>
        </w:rPr>
        <w:t>“</w:t>
      </w:r>
      <w:r w:rsidR="00E82DF6" w:rsidRPr="00E82DF6">
        <w:rPr>
          <w:rFonts w:ascii="Book Antiqua" w:hAnsi="Book Antiqua"/>
          <w:lang w:val="es-PR"/>
        </w:rPr>
        <w:t>Ley de Explosivos de Puerto Rico</w:t>
      </w:r>
      <w:r>
        <w:rPr>
          <w:rFonts w:ascii="Book Antiqua" w:hAnsi="Book Antiqua"/>
          <w:lang w:val="es-PR"/>
        </w:rPr>
        <w:t>”</w:t>
      </w:r>
      <w:r w:rsidR="00E82DF6" w:rsidRPr="00E82DF6">
        <w:rPr>
          <w:rFonts w:ascii="Book Antiqua" w:hAnsi="Book Antiqua"/>
          <w:lang w:val="es-PR"/>
        </w:rPr>
        <w:t xml:space="preserve">. </w:t>
      </w:r>
    </w:p>
    <w:p w14:paraId="363F3BEC" w14:textId="4B036522" w:rsidR="00245836" w:rsidRPr="00245836" w:rsidRDefault="00530B21"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lastRenderedPageBreak/>
        <w:tab/>
      </w:r>
      <w:r w:rsidR="00245836" w:rsidRPr="00245836">
        <w:rPr>
          <w:rFonts w:ascii="Book Antiqua" w:hAnsi="Book Antiqua"/>
          <w:lang w:val="es-PR"/>
        </w:rPr>
        <w:t xml:space="preserve">La finalidad </w:t>
      </w:r>
      <w:r w:rsidR="00245836">
        <w:rPr>
          <w:rFonts w:ascii="Book Antiqua" w:hAnsi="Book Antiqua"/>
          <w:lang w:val="es-PR"/>
        </w:rPr>
        <w:t>del P. del S. 36</w:t>
      </w:r>
      <w:r w:rsidR="00245836" w:rsidRPr="00245836">
        <w:rPr>
          <w:rFonts w:ascii="Book Antiqua" w:hAnsi="Book Antiqua"/>
          <w:lang w:val="es-PR"/>
        </w:rPr>
        <w:t xml:space="preserve"> es atemperar las disposiciones y delitos de dicha ley al sistema de penas establecido en el nuevo Código Penal de Puerto Rico, la Ley Núm. 146 de 30 de julio de 2012.</w:t>
      </w:r>
      <w:r w:rsidR="00245836">
        <w:rPr>
          <w:rFonts w:ascii="Book Antiqua" w:hAnsi="Book Antiqua"/>
          <w:lang w:val="es-PR"/>
        </w:rPr>
        <w:t xml:space="preserve"> </w:t>
      </w:r>
      <w:r w:rsidR="00245836" w:rsidRPr="00245836">
        <w:rPr>
          <w:rFonts w:ascii="Book Antiqua" w:hAnsi="Book Antiqua"/>
          <w:lang w:val="es-PR"/>
        </w:rPr>
        <w:t>La Exposición de Motivos del P. del S. 36 explica la necesidad de esta armonización. Señala que la Ley 146-2012 introdujo un nuevo Código Penal que reformuló el ordenamiento jurídico penal y modificó las penas aplicables a cada delito, estableciendo un sistema de sentencias fijas. Sin embargo, los delitos graves contemplados en leyes penales especiales (como la Ley de la Pirotecnia) bajo el Código Penal de 2004, seguirían vigentes hasta que estas leyes especiales fueran enmendadas y atemperadas al nuevo sistema. Armonizar estas penas es esencial para garantizar que el sistema de justicia penal se mantenga coherente y alineado con el sistema de sentencias fijas, evitando decisiones inconsistentes en la aplicación de penas y asegurando que el sistema sea justo y equitativo.</w:t>
      </w:r>
    </w:p>
    <w:p w14:paraId="32EA986A" w14:textId="57B9025B" w:rsidR="00245836" w:rsidRPr="00245836" w:rsidRDefault="002922DE"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245836" w:rsidRPr="00245836">
        <w:rPr>
          <w:rFonts w:ascii="Book Antiqua" w:hAnsi="Book Antiqua"/>
          <w:lang w:val="es-PR"/>
        </w:rPr>
        <w:t>El proyecto de ley destaca que la Ley Núm. 83 de la Pirotecnia aún no ha sido atemperada con este nuevo sistema de penas, lo que crea un vacío legal y dificulta la aplicación uniforme de las sanciones, pudiendo generar resultados inconsistentes. Además, esta omisión impide cumplir adecuadamente con el objetivo de rehabilitación y reintegración social que el Código Penal de 2012 promueve a través de su sistema de sentencias fijas. Por lo tanto, la Asamblea Legislativa considera necesario armonizar la legislación para que las sanciones penales se apliquen de manera coherente con el Código Penal vigente.</w:t>
      </w:r>
    </w:p>
    <w:p w14:paraId="130EB176" w14:textId="77777777" w:rsidR="001C386D" w:rsidRDefault="002922DE"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245836" w:rsidRPr="00245836">
        <w:rPr>
          <w:rFonts w:ascii="Book Antiqua" w:hAnsi="Book Antiqua"/>
          <w:lang w:val="es-PR"/>
        </w:rPr>
        <w:t>En concreto, el P. del S. 36 propone modificar la Sección 3, que trata sobre las penalidades, para que se lea de la siguiente manera:</w:t>
      </w:r>
    </w:p>
    <w:p w14:paraId="37555478" w14:textId="77777777" w:rsidR="001C386D" w:rsidRDefault="001C386D" w:rsidP="00C975EE">
      <w:pPr>
        <w:tabs>
          <w:tab w:val="left" w:pos="-720"/>
        </w:tabs>
        <w:suppressAutoHyphens/>
        <w:spacing w:line="276" w:lineRule="auto"/>
        <w:ind w:firstLine="360"/>
        <w:jc w:val="both"/>
        <w:rPr>
          <w:rFonts w:ascii="Book Antiqua" w:hAnsi="Book Antiqua"/>
          <w:lang w:val="es-PR"/>
        </w:rPr>
      </w:pPr>
    </w:p>
    <w:p w14:paraId="5FAAB971" w14:textId="01BBD448" w:rsidR="001C386D" w:rsidRDefault="00245836" w:rsidP="00C975EE">
      <w:pPr>
        <w:pStyle w:val="ListParagraph"/>
        <w:numPr>
          <w:ilvl w:val="0"/>
          <w:numId w:val="7"/>
        </w:numPr>
        <w:tabs>
          <w:tab w:val="left" w:pos="-720"/>
        </w:tabs>
        <w:suppressAutoHyphens/>
        <w:spacing w:line="276" w:lineRule="auto"/>
        <w:jc w:val="both"/>
        <w:rPr>
          <w:rFonts w:ascii="Book Antiqua" w:hAnsi="Book Antiqua"/>
          <w:lang w:val="es-PR"/>
        </w:rPr>
      </w:pPr>
      <w:r w:rsidRPr="001C386D">
        <w:rPr>
          <w:rFonts w:ascii="Book Antiqua" w:hAnsi="Book Antiqua"/>
          <w:lang w:val="es-PR"/>
        </w:rPr>
        <w:t>Para aquellos casos donde se intervenga con un individuo al que se le ocupen diez (10) unidades o menos de material de pirotecnia, seguirá siendo un delito menos grave. La penalidad se regirá por lo dispuesto en la Ley 146-2012 (Código Penal de Puerto Rico), y la multa mínima seguirá siendo no menor de quinientos (500) dólares.</w:t>
      </w:r>
    </w:p>
    <w:p w14:paraId="7A21EE65" w14:textId="7A16DE83" w:rsidR="006239E8" w:rsidRPr="001C386D" w:rsidRDefault="00245836" w:rsidP="00C975EE">
      <w:pPr>
        <w:pStyle w:val="ListParagraph"/>
        <w:numPr>
          <w:ilvl w:val="0"/>
          <w:numId w:val="7"/>
        </w:numPr>
        <w:tabs>
          <w:tab w:val="left" w:pos="-720"/>
        </w:tabs>
        <w:suppressAutoHyphens/>
        <w:spacing w:line="276" w:lineRule="auto"/>
        <w:jc w:val="both"/>
        <w:rPr>
          <w:rFonts w:ascii="Book Antiqua" w:hAnsi="Book Antiqua"/>
          <w:lang w:val="es-PR"/>
        </w:rPr>
      </w:pPr>
      <w:r w:rsidRPr="001C386D">
        <w:rPr>
          <w:rFonts w:ascii="Book Antiqua" w:hAnsi="Book Antiqua"/>
          <w:lang w:val="es-PR"/>
        </w:rPr>
        <w:t xml:space="preserve">Para los casos en que se ocupen más de diez (10) unidades de material de pirotecnia, el delito, que actualmente es un delito grave de cuarto grado, pasaría a ser simplemente un delito grave y, si la persona es convicta, será sancionada con pena de reclusión por un término fijo de tres (3) años. La multa mínima en estos casos se mantendrá en no menos de cinco mil (5,000) dólares. La definición de </w:t>
      </w:r>
      <w:r w:rsidR="00C975EE">
        <w:rPr>
          <w:rFonts w:ascii="Book Antiqua" w:hAnsi="Book Antiqua"/>
          <w:lang w:val="es-PR"/>
        </w:rPr>
        <w:t>“</w:t>
      </w:r>
      <w:r w:rsidRPr="001C386D">
        <w:rPr>
          <w:rFonts w:ascii="Book Antiqua" w:hAnsi="Book Antiqua"/>
          <w:lang w:val="es-PR"/>
        </w:rPr>
        <w:t>unidad</w:t>
      </w:r>
      <w:r w:rsidR="00C975EE">
        <w:rPr>
          <w:rFonts w:ascii="Book Antiqua" w:hAnsi="Book Antiqua"/>
          <w:lang w:val="es-PR"/>
        </w:rPr>
        <w:t>”</w:t>
      </w:r>
      <w:r w:rsidRPr="001C386D">
        <w:rPr>
          <w:rFonts w:ascii="Book Antiqua" w:hAnsi="Book Antiqua"/>
          <w:lang w:val="es-PR"/>
        </w:rPr>
        <w:t xml:space="preserve"> para efectos de esta sección se mantiene como aquel artificio o material pirotécnico que se compone de varios artículos integrados de una misma clase en un solo empaque para venta al detal</w:t>
      </w:r>
      <w:r w:rsidR="00C975EE">
        <w:rPr>
          <w:rFonts w:ascii="Book Antiqua" w:hAnsi="Book Antiqua"/>
          <w:lang w:val="es-PR"/>
        </w:rPr>
        <w:t>.</w:t>
      </w:r>
    </w:p>
    <w:p w14:paraId="111CD0D0" w14:textId="19836766" w:rsidR="001C386D" w:rsidRDefault="001C386D" w:rsidP="00C975EE">
      <w:pPr>
        <w:tabs>
          <w:tab w:val="left" w:pos="-720"/>
        </w:tabs>
        <w:suppressAutoHyphens/>
        <w:spacing w:line="276" w:lineRule="auto"/>
        <w:ind w:left="720"/>
        <w:jc w:val="both"/>
        <w:rPr>
          <w:rFonts w:ascii="Book Antiqua" w:hAnsi="Book Antiqua"/>
          <w:lang w:val="es-PR"/>
        </w:rPr>
      </w:pPr>
    </w:p>
    <w:p w14:paraId="634BDB99" w14:textId="4897C70B" w:rsidR="00393CA6" w:rsidRDefault="001C386D"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lastRenderedPageBreak/>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530B21">
        <w:rPr>
          <w:rFonts w:ascii="Book Antiqua" w:hAnsi="Book Antiqua"/>
          <w:spacing w:val="-3"/>
          <w:lang w:val="es-ES_tradnl"/>
        </w:rPr>
        <w:t>P. del S. 36</w:t>
      </w:r>
      <w:r w:rsidR="00481C39" w:rsidRPr="00A11ED0">
        <w:rPr>
          <w:rFonts w:ascii="Book Antiqua" w:hAnsi="Book Antiqua"/>
          <w:lang w:val="es-PR"/>
        </w:rPr>
        <w:t xml:space="preserve"> </w:t>
      </w:r>
      <w:r w:rsidR="009F524F">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9154BD" w:rsidRPr="00337BB7">
        <w:rPr>
          <w:rFonts w:ascii="Book Antiqua" w:hAnsi="Book Antiqua"/>
          <w:lang w:val="es-PR"/>
        </w:rPr>
        <w:t>a las siguientes agencias y entidades</w:t>
      </w:r>
      <w:r w:rsidR="009313EE">
        <w:rPr>
          <w:rFonts w:ascii="Book Antiqua" w:hAnsi="Book Antiqua"/>
          <w:lang w:val="es-PR"/>
        </w:rPr>
        <w:t>:</w:t>
      </w:r>
      <w:r w:rsidR="00393CA6">
        <w:rPr>
          <w:rFonts w:ascii="Book Antiqua" w:hAnsi="Book Antiqua"/>
          <w:lang w:val="es-PR"/>
        </w:rPr>
        <w:t xml:space="preserve"> </w:t>
      </w:r>
      <w:r w:rsidR="00530B21">
        <w:rPr>
          <w:rFonts w:ascii="Book Antiqua" w:hAnsi="Book Antiqua"/>
          <w:lang w:val="es-PR"/>
        </w:rPr>
        <w:t>Departamento de Justicia.</w:t>
      </w:r>
      <w:r w:rsidR="006D5838" w:rsidRPr="00A11ED0">
        <w:rPr>
          <w:rFonts w:ascii="Book Antiqua" w:hAnsi="Book Antiqua"/>
          <w:lang w:val="es-PR"/>
        </w:rPr>
        <w:t xml:space="preserve"> </w:t>
      </w:r>
    </w:p>
    <w:p w14:paraId="7D81C205" w14:textId="0A79EB58" w:rsidR="006D5838" w:rsidRPr="00337BB7" w:rsidRDefault="009F524F"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C975EE">
      <w:pPr>
        <w:tabs>
          <w:tab w:val="left" w:pos="-720"/>
        </w:tabs>
        <w:suppressAutoHyphens/>
        <w:spacing w:line="276" w:lineRule="auto"/>
        <w:jc w:val="both"/>
        <w:rPr>
          <w:rFonts w:ascii="Book Antiqua" w:hAnsi="Book Antiqua"/>
          <w:b/>
          <w:bCs/>
          <w:u w:val="single"/>
          <w:lang w:val="es-PR"/>
        </w:rPr>
      </w:pPr>
    </w:p>
    <w:p w14:paraId="506697A3" w14:textId="34FFA4FE" w:rsidR="00CA1098" w:rsidRPr="00867243" w:rsidRDefault="00530B21" w:rsidP="00C975EE">
      <w:pPr>
        <w:tabs>
          <w:tab w:val="left" w:pos="-720"/>
        </w:tabs>
        <w:suppressAutoHyphens/>
        <w:spacing w:line="276" w:lineRule="auto"/>
        <w:jc w:val="center"/>
        <w:rPr>
          <w:rFonts w:ascii="Book Antiqua" w:hAnsi="Book Antiqua"/>
          <w:b/>
          <w:bCs/>
          <w:lang w:val="es-PR"/>
        </w:rPr>
      </w:pPr>
      <w:r>
        <w:rPr>
          <w:rFonts w:ascii="Book Antiqua" w:hAnsi="Book Antiqua"/>
          <w:b/>
          <w:bCs/>
          <w:lang w:val="es-PR"/>
        </w:rPr>
        <w:t>DEPARTAMENTO DE JUSTICIA</w:t>
      </w:r>
    </w:p>
    <w:p w14:paraId="471B5547" w14:textId="77777777" w:rsidR="00867243" w:rsidRDefault="00867243" w:rsidP="00C975EE">
      <w:pPr>
        <w:tabs>
          <w:tab w:val="left" w:pos="-720"/>
        </w:tabs>
        <w:suppressAutoHyphens/>
        <w:spacing w:line="276" w:lineRule="auto"/>
        <w:jc w:val="both"/>
        <w:rPr>
          <w:rFonts w:ascii="Book Antiqua" w:hAnsi="Book Antiqua"/>
          <w:lang w:val="es-PR"/>
        </w:rPr>
      </w:pPr>
    </w:p>
    <w:p w14:paraId="59FCBAD8" w14:textId="316A1A9F" w:rsidR="00867243" w:rsidRPr="009313EE" w:rsidRDefault="00867243" w:rsidP="00C975EE">
      <w:pPr>
        <w:tabs>
          <w:tab w:val="left" w:pos="-720"/>
        </w:tabs>
        <w:suppressAutoHyphens/>
        <w:spacing w:line="276" w:lineRule="auto"/>
        <w:jc w:val="both"/>
        <w:rPr>
          <w:rFonts w:ascii="Book Antiqua" w:hAnsi="Book Antiqua"/>
          <w:lang w:val="es-PR"/>
        </w:rPr>
      </w:pPr>
      <w:r>
        <w:rPr>
          <w:rFonts w:ascii="Book Antiqua" w:hAnsi="Book Antiqua"/>
          <w:lang w:val="es-PR"/>
        </w:rPr>
        <w:tab/>
      </w:r>
      <w:r w:rsidR="00530B21">
        <w:rPr>
          <w:rFonts w:ascii="Book Antiqua" w:hAnsi="Book Antiqua"/>
          <w:lang w:val="es-PR"/>
        </w:rPr>
        <w:t xml:space="preserve">El Departamento de Justicia favoreció la aprobación de la medida y </w:t>
      </w:r>
      <w:r w:rsidR="00E91F8D">
        <w:rPr>
          <w:rFonts w:ascii="Book Antiqua" w:hAnsi="Book Antiqua"/>
          <w:lang w:val="es-PR"/>
        </w:rPr>
        <w:t xml:space="preserve">recomendó que se </w:t>
      </w:r>
      <w:r w:rsidR="00E91F8D" w:rsidRPr="00E91F8D">
        <w:rPr>
          <w:rFonts w:ascii="Book Antiqua" w:hAnsi="Book Antiqua"/>
          <w:lang w:val="es-PR"/>
        </w:rPr>
        <w:t>incluya una enmienda adicional a la Sección</w:t>
      </w:r>
      <w:r w:rsidR="00E91F8D">
        <w:rPr>
          <w:rFonts w:ascii="Book Antiqua" w:hAnsi="Book Antiqua"/>
          <w:lang w:val="es-PR"/>
        </w:rPr>
        <w:t xml:space="preserve"> </w:t>
      </w:r>
      <w:r w:rsidR="00E91F8D" w:rsidRPr="00E91F8D">
        <w:rPr>
          <w:rFonts w:ascii="Book Antiqua" w:hAnsi="Book Antiqua"/>
          <w:lang w:val="es-PR"/>
        </w:rPr>
        <w:t xml:space="preserve">3 de la Ley de Pirotecnia, </w:t>
      </w:r>
      <w:r w:rsidR="00E91F8D" w:rsidRPr="00E91F8D">
        <w:rPr>
          <w:rFonts w:ascii="Book Antiqua" w:hAnsi="Book Antiqua"/>
          <w:i/>
          <w:iCs/>
          <w:lang w:val="es-PR"/>
        </w:rPr>
        <w:t>supra</w:t>
      </w:r>
      <w:r w:rsidR="00E91F8D" w:rsidRPr="00E91F8D">
        <w:rPr>
          <w:rFonts w:ascii="Book Antiqua" w:hAnsi="Book Antiqua"/>
          <w:lang w:val="es-PR"/>
        </w:rPr>
        <w:t>, a los efectos de corregir la cita del Código Penal, y sustituir</w:t>
      </w:r>
      <w:r w:rsidR="00E91F8D">
        <w:rPr>
          <w:rFonts w:ascii="Book Antiqua" w:hAnsi="Book Antiqua"/>
          <w:lang w:val="es-PR"/>
        </w:rPr>
        <w:t xml:space="preserve"> </w:t>
      </w:r>
      <w:r w:rsidR="00E91F8D" w:rsidRPr="00E91F8D">
        <w:rPr>
          <w:rFonts w:ascii="Book Antiqua" w:hAnsi="Book Antiqua"/>
          <w:lang w:val="es-PR"/>
        </w:rPr>
        <w:t>la referencia a la “Ley Núm.</w:t>
      </w:r>
      <w:r w:rsidR="00E91F8D">
        <w:rPr>
          <w:rFonts w:ascii="Book Antiqua" w:hAnsi="Book Antiqua"/>
          <w:lang w:val="es-PR"/>
        </w:rPr>
        <w:t xml:space="preserve"> </w:t>
      </w:r>
      <w:r w:rsidR="00E91F8D" w:rsidRPr="00E91F8D">
        <w:rPr>
          <w:rFonts w:ascii="Book Antiqua" w:hAnsi="Book Antiqua"/>
          <w:lang w:val="es-PR"/>
        </w:rPr>
        <w:t>149 de 18 de junio de 2004, según enmendada” por la “Ley</w:t>
      </w:r>
      <w:r w:rsidR="00E91F8D">
        <w:rPr>
          <w:rFonts w:ascii="Book Antiqua" w:hAnsi="Book Antiqua"/>
          <w:lang w:val="es-PR"/>
        </w:rPr>
        <w:t xml:space="preserve"> </w:t>
      </w:r>
      <w:r w:rsidR="00E91F8D" w:rsidRPr="00E91F8D">
        <w:rPr>
          <w:rFonts w:ascii="Book Antiqua" w:hAnsi="Book Antiqua"/>
          <w:lang w:val="es-PR"/>
        </w:rPr>
        <w:t>Núm. 146-2012”.</w:t>
      </w:r>
      <w:r w:rsidR="009351B6">
        <w:rPr>
          <w:rFonts w:ascii="Book Antiqua" w:hAnsi="Book Antiqua"/>
          <w:lang w:val="es-PR"/>
        </w:rPr>
        <w:t xml:space="preserve"> </w:t>
      </w:r>
      <w:r>
        <w:rPr>
          <w:rFonts w:ascii="Book Antiqua" w:hAnsi="Book Antiqua"/>
          <w:lang w:val="es-PR"/>
        </w:rPr>
        <w:t xml:space="preserve"> </w:t>
      </w:r>
    </w:p>
    <w:p w14:paraId="35931FC5" w14:textId="77777777" w:rsidR="00940E84" w:rsidRDefault="00940E84" w:rsidP="00C975EE">
      <w:pPr>
        <w:tabs>
          <w:tab w:val="left" w:pos="-720"/>
        </w:tabs>
        <w:suppressAutoHyphens/>
        <w:spacing w:line="276" w:lineRule="auto"/>
        <w:jc w:val="both"/>
        <w:rPr>
          <w:rFonts w:ascii="Book Antiqua" w:hAnsi="Book Antiqua"/>
          <w:lang w:val="es-PR"/>
        </w:rPr>
      </w:pPr>
    </w:p>
    <w:p w14:paraId="302CAC3A" w14:textId="141F50AB" w:rsidR="00D13D23" w:rsidRDefault="0096171F" w:rsidP="00C975EE">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C975EE">
      <w:pPr>
        <w:tabs>
          <w:tab w:val="left" w:pos="-720"/>
        </w:tabs>
        <w:suppressAutoHyphens/>
        <w:spacing w:line="276" w:lineRule="auto"/>
        <w:ind w:firstLine="360"/>
        <w:jc w:val="center"/>
        <w:rPr>
          <w:rFonts w:ascii="Book Antiqua" w:hAnsi="Book Antiqua"/>
          <w:b/>
          <w:bCs/>
          <w:lang w:val="es-PR"/>
        </w:rPr>
      </w:pPr>
    </w:p>
    <w:p w14:paraId="3CD7EB56" w14:textId="5C186D14" w:rsidR="002C402D" w:rsidRPr="00DF45DC" w:rsidRDefault="004F6E72"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E91F8D">
        <w:rPr>
          <w:rFonts w:ascii="Book Antiqua" w:hAnsi="Book Antiqua"/>
          <w:lang w:val="es-PR"/>
        </w:rPr>
        <w:t>36</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C975EE">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C975EE">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C975EE">
      <w:pPr>
        <w:tabs>
          <w:tab w:val="left" w:pos="-720"/>
        </w:tabs>
        <w:suppressAutoHyphens/>
        <w:spacing w:line="276" w:lineRule="auto"/>
        <w:ind w:firstLine="360"/>
        <w:jc w:val="center"/>
        <w:rPr>
          <w:rFonts w:ascii="Book Antiqua" w:hAnsi="Book Antiqua"/>
          <w:b/>
          <w:bCs/>
          <w:lang w:val="es-PR"/>
        </w:rPr>
      </w:pPr>
    </w:p>
    <w:p w14:paraId="2D81B2DA" w14:textId="7125C5DC" w:rsidR="000B071A" w:rsidRDefault="00006DDC" w:rsidP="00C975EE">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E91F8D">
        <w:rPr>
          <w:rFonts w:ascii="Book Antiqua" w:hAnsi="Book Antiqua"/>
          <w:lang w:val="es-PR"/>
        </w:rPr>
        <w:t>36</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E91F8D">
        <w:rPr>
          <w:rFonts w:ascii="Book Antiqua" w:hAnsi="Book Antiqua"/>
          <w:lang w:val="es-PR"/>
        </w:rPr>
        <w:t xml:space="preserve">la </w:t>
      </w:r>
      <w:r w:rsidR="00E91F8D" w:rsidRPr="00407D0C">
        <w:rPr>
          <w:rFonts w:ascii="Book Antiqua" w:hAnsi="Book Antiqua"/>
          <w:lang w:val="es-PR"/>
        </w:rPr>
        <w:t>Ley Núm. 83 de 25 de junio de 1963, según enmendada</w:t>
      </w:r>
      <w:r w:rsidR="00E91F8D" w:rsidRPr="003317B7">
        <w:rPr>
          <w:rFonts w:ascii="Book Antiqua" w:hAnsi="Book Antiqua"/>
          <w:lang w:val="es-PR"/>
        </w:rPr>
        <w:t>, conocida como</w:t>
      </w:r>
      <w:r w:rsidR="00E91F8D" w:rsidRPr="00407D0C">
        <w:rPr>
          <w:rFonts w:ascii="Book Antiqua" w:hAnsi="Book Antiqua"/>
          <w:lang w:val="es-PR"/>
        </w:rPr>
        <w:t xml:space="preserve"> “Ley de la Pirotecnia de Puerto Rico</w:t>
      </w:r>
      <w:r w:rsidR="00E91F8D" w:rsidRPr="003317B7">
        <w:rPr>
          <w:rFonts w:ascii="Book Antiqua" w:hAnsi="Book Antiqua"/>
          <w:lang w:val="es-ES_tradnl"/>
        </w:rPr>
        <w:t>”</w:t>
      </w:r>
      <w:r w:rsidR="00E91F8D">
        <w:rPr>
          <w:rFonts w:ascii="Book Antiqua" w:hAnsi="Book Antiqua"/>
          <w:lang w:val="es-ES_tradnl"/>
        </w:rPr>
        <w:t xml:space="preserve"> y el memorial del Departamento de Justicia</w:t>
      </w:r>
      <w:r w:rsidR="005354C6">
        <w:rPr>
          <w:rFonts w:ascii="Book Antiqua" w:hAnsi="Book Antiqua"/>
          <w:lang w:val="es-PR"/>
        </w:rPr>
        <w:t xml:space="preserve">. </w:t>
      </w:r>
    </w:p>
    <w:p w14:paraId="14F0ED17" w14:textId="5CE7583C" w:rsidR="00F109D1" w:rsidRPr="00844C00" w:rsidRDefault="00F109D1" w:rsidP="00C975EE">
      <w:pPr>
        <w:tabs>
          <w:tab w:val="left" w:pos="-720"/>
        </w:tabs>
        <w:suppressAutoHyphens/>
        <w:spacing w:line="276" w:lineRule="auto"/>
        <w:jc w:val="both"/>
        <w:rPr>
          <w:rFonts w:ascii="Book Antiqua" w:hAnsi="Book Antiqua"/>
          <w:szCs w:val="24"/>
          <w:lang w:val="es-ES"/>
        </w:rPr>
      </w:pPr>
      <w:r>
        <w:rPr>
          <w:rFonts w:ascii="Book Antiqua" w:hAnsi="Book Antiqua"/>
          <w:szCs w:val="24"/>
          <w:lang w:val="es-PR"/>
        </w:rPr>
        <w:tab/>
      </w:r>
      <w:r w:rsidRPr="00844C00">
        <w:rPr>
          <w:rFonts w:ascii="Book Antiqua" w:hAnsi="Book Antiqua"/>
          <w:szCs w:val="24"/>
          <w:lang w:val="es-ES"/>
        </w:rPr>
        <w:t>La Comisión colige que la aprobación de la medida es necesaria para promover y mantener un ordenamiento jurídico-penal coherente y armonioso, y para que la aplicación de las penas sea uniforme, clara y consecuente, libre de ambigüedades o vacíos legales. 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Pr="00844C00">
        <w:rPr>
          <w:rStyle w:val="FootnoteReference"/>
          <w:rFonts w:ascii="Book Antiqua" w:hAnsi="Book Antiqua"/>
          <w:szCs w:val="24"/>
          <w:lang w:val="es-ES"/>
        </w:rPr>
        <w:footnoteReference w:id="1"/>
      </w:r>
      <w:r w:rsidRPr="00844C00">
        <w:rPr>
          <w:rFonts w:ascii="Book Antiqua" w:hAnsi="Book Antiqua"/>
          <w:szCs w:val="24"/>
          <w:lang w:val="es-ES"/>
        </w:rPr>
        <w:t xml:space="preserve"> Asimismo, mediante la aprobación de la medida ante nuestra consideración se promueve un ejercicio más equilibrado del poder punitivo del Estado, al evitar decisiones arbitrarias o contradictorias derivadas de disposiciones vagas o inconexas. Conviene recordar que </w:t>
      </w:r>
      <w:r w:rsidRPr="00844C00">
        <w:rPr>
          <w:rFonts w:ascii="Book Antiqua" w:hAnsi="Book Antiqua"/>
          <w:szCs w:val="24"/>
          <w:lang w:val="es-ES"/>
        </w:rPr>
        <w:lastRenderedPageBreak/>
        <w:t>las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sidRPr="00844C00">
        <w:rPr>
          <w:rStyle w:val="FootnoteReference"/>
          <w:rFonts w:ascii="Book Antiqua" w:hAnsi="Book Antiqua"/>
          <w:szCs w:val="24"/>
          <w:lang w:val="es-ES"/>
        </w:rPr>
        <w:footnoteReference w:id="2"/>
      </w:r>
      <w:r w:rsidRPr="00844C00">
        <w:rPr>
          <w:rFonts w:ascii="Book Antiqua" w:hAnsi="Book Antiqua"/>
          <w:szCs w:val="24"/>
          <w:lang w:val="es-ES"/>
        </w:rPr>
        <w:t xml:space="preserve"> En esencia, las penas no pueden ser arbitrarias ni caprichosas, porque de serlo, se estaría violando la garantía constitucional contra delitos crueles e inusitados.</w:t>
      </w:r>
      <w:r w:rsidRPr="00844C00">
        <w:rPr>
          <w:rStyle w:val="FootnoteReference"/>
          <w:rFonts w:ascii="Book Antiqua" w:hAnsi="Book Antiqua"/>
          <w:szCs w:val="24"/>
          <w:lang w:val="es-ES"/>
        </w:rPr>
        <w:footnoteReference w:id="3"/>
      </w:r>
      <w:r w:rsidRPr="00844C00">
        <w:rPr>
          <w:rFonts w:ascii="Book Antiqua" w:hAnsi="Book Antiqua"/>
          <w:szCs w:val="24"/>
          <w:lang w:val="es-ES"/>
        </w:rPr>
        <w:t xml:space="preserve"> Medidas legislativas como </w:t>
      </w:r>
      <w:r>
        <w:rPr>
          <w:rFonts w:ascii="Book Antiqua" w:hAnsi="Book Antiqua"/>
          <w:szCs w:val="24"/>
          <w:lang w:val="es-ES"/>
        </w:rPr>
        <w:t>el P. del S. 36</w:t>
      </w:r>
      <w:r w:rsidRPr="00844C00">
        <w:rPr>
          <w:rFonts w:ascii="Book Antiqua" w:hAnsi="Book Antiqua"/>
          <w:szCs w:val="24"/>
          <w:lang w:val="es-ES"/>
        </w:rPr>
        <w:t xml:space="preserve"> “opera[n] como garantía de certeza, de igualdad ante la ley, de eficacia, constituye además, un detente a la arbitrariedad en la toma de decisiones, y sobre todo, abona a la percepción de que se actúa justamente”.</w:t>
      </w:r>
      <w:r w:rsidRPr="00844C00">
        <w:rPr>
          <w:rStyle w:val="FootnoteReference"/>
          <w:rFonts w:ascii="Book Antiqua" w:hAnsi="Book Antiqua"/>
          <w:szCs w:val="24"/>
          <w:lang w:val="es-ES"/>
        </w:rPr>
        <w:footnoteReference w:id="4"/>
      </w:r>
    </w:p>
    <w:p w14:paraId="12984714" w14:textId="77777777" w:rsidR="000B071A" w:rsidRDefault="000B071A" w:rsidP="00C975EE">
      <w:pPr>
        <w:tabs>
          <w:tab w:val="left" w:pos="-720"/>
        </w:tabs>
        <w:suppressAutoHyphens/>
        <w:spacing w:line="276" w:lineRule="auto"/>
        <w:ind w:firstLine="360"/>
        <w:jc w:val="both"/>
        <w:rPr>
          <w:rFonts w:ascii="Book Antiqua" w:hAnsi="Book Antiqua"/>
          <w:b/>
          <w:bCs/>
          <w:lang w:val="es-PR"/>
        </w:rPr>
      </w:pPr>
    </w:p>
    <w:p w14:paraId="7885E90D" w14:textId="1CFEB063" w:rsidR="00DF45DC" w:rsidRPr="00DF45DC" w:rsidRDefault="0096171F" w:rsidP="00C975EE">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F109D1">
        <w:rPr>
          <w:rFonts w:ascii="Book Antiqua" w:hAnsi="Book Antiqua"/>
          <w:b/>
          <w:bCs/>
          <w:lang w:val="es-PR"/>
        </w:rPr>
        <w:t>Proyecto del Senado 36</w:t>
      </w:r>
      <w:r w:rsidR="00006DDC" w:rsidRPr="00DF45DC">
        <w:rPr>
          <w:rFonts w:ascii="Book Antiqua" w:hAnsi="Book Antiqua"/>
          <w:lang w:val="es-PR"/>
        </w:rPr>
        <w:t xml:space="preserve"> recomendando su aprobación </w:t>
      </w:r>
      <w:r w:rsidR="00006DDC" w:rsidRPr="00F109D1">
        <w:rPr>
          <w:rFonts w:ascii="Book Antiqua" w:hAnsi="Book Antiqua"/>
          <w:lang w:val="es-PR"/>
        </w:rPr>
        <w:t>con las enmiendas contenidas en el entirillado electrónico que se acompaña</w:t>
      </w:r>
      <w:r w:rsidR="00F109D1" w:rsidRPr="00F109D1">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1CABC59D" w:rsidR="000B3411" w:rsidRPr="00C975EE" w:rsidRDefault="001D12A7" w:rsidP="00C975EE">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C975EE"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79C43982" w14:textId="77777777" w:rsidR="00F109D1" w:rsidRPr="003622B3" w:rsidRDefault="00F109D1" w:rsidP="00F109D1">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r w:rsidRPr="003622B3">
        <w:rPr>
          <w:rFonts w:ascii="Book Antiqua" w:hAnsi="Book Antiqua"/>
          <w:szCs w:val="24"/>
          <w:lang w:val="es-PR"/>
        </w:rPr>
        <w:t>Jack's Beach Resort, Inc., v. Compañía de Turismo de Puerto Rico, 112 DPR 344, 350 (1982).</w:t>
      </w:r>
    </w:p>
  </w:footnote>
  <w:footnote w:id="2">
    <w:p w14:paraId="77DF2C3B" w14:textId="77777777" w:rsidR="00F109D1" w:rsidRPr="003622B3" w:rsidRDefault="00F109D1" w:rsidP="00F109D1">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r w:rsidRPr="003622B3">
        <w:rPr>
          <w:rFonts w:ascii="Book Antiqua" w:hAnsi="Book Antiqua"/>
          <w:i/>
          <w:iCs/>
          <w:lang w:val="es-ES"/>
        </w:rPr>
        <w:t>Véase</w:t>
      </w:r>
      <w:r w:rsidRPr="003622B3">
        <w:rPr>
          <w:rFonts w:ascii="Book Antiqua" w:hAnsi="Book Antiqua"/>
          <w:lang w:val="es-ES"/>
        </w:rPr>
        <w:t xml:space="preserve"> Pueblo v. González Cotto, KLCE201701152, en la pág. 1 (30 de agosto de 2017).</w:t>
      </w:r>
    </w:p>
  </w:footnote>
  <w:footnote w:id="3">
    <w:p w14:paraId="47B0C4F3" w14:textId="77777777" w:rsidR="00F109D1" w:rsidRPr="003622B3" w:rsidRDefault="00F109D1" w:rsidP="00F109D1">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r w:rsidRPr="003622B3">
        <w:rPr>
          <w:rFonts w:ascii="Book Antiqua" w:hAnsi="Book Antiqua"/>
          <w:i/>
          <w:iCs/>
          <w:lang w:val="es-ES"/>
        </w:rPr>
        <w:t>Véase</w:t>
      </w:r>
      <w:r w:rsidRPr="003622B3">
        <w:rPr>
          <w:rFonts w:ascii="Book Antiqua" w:hAnsi="Book Antiqua"/>
          <w:lang w:val="es-ES"/>
        </w:rPr>
        <w:t xml:space="preserve"> Pueblo v. Pérez Zayas, 116 DPR 197, 201 (1985).</w:t>
      </w:r>
    </w:p>
  </w:footnote>
  <w:footnote w:id="4">
    <w:p w14:paraId="63807F4F" w14:textId="77777777" w:rsidR="00F109D1" w:rsidRPr="003622B3" w:rsidRDefault="00F109D1" w:rsidP="00F109D1">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r w:rsidRPr="003622B3">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02952DB"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B35FCB">
      <w:rPr>
        <w:rFonts w:ascii="Book Antiqua" w:hAnsi="Book Antiqua"/>
        <w:i/>
        <w:iCs/>
        <w:sz w:val="20"/>
        <w:lang w:val="es-PR"/>
      </w:rPr>
      <w:t>P. del S. 36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3CC115B4"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530B21">
      <w:rPr>
        <w:rFonts w:ascii="Book Antiqua" w:hAnsi="Book Antiqua"/>
        <w:i/>
        <w:iCs/>
        <w:sz w:val="20"/>
        <w:lang w:val="es-PR"/>
      </w:rPr>
      <w:t>P. del S. 36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EE420D"/>
    <w:multiLevelType w:val="hybridMultilevel"/>
    <w:tmpl w:val="3C5AA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5"/>
  </w:num>
  <w:num w:numId="6" w16cid:durableId="2085452212">
    <w:abstractNumId w:val="6"/>
  </w:num>
  <w:num w:numId="7" w16cid:durableId="16394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A53E2"/>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386D"/>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36"/>
    <w:rsid w:val="0024587F"/>
    <w:rsid w:val="00246C97"/>
    <w:rsid w:val="0025270C"/>
    <w:rsid w:val="00254B92"/>
    <w:rsid w:val="002663EA"/>
    <w:rsid w:val="00266EEC"/>
    <w:rsid w:val="002671BE"/>
    <w:rsid w:val="0027212A"/>
    <w:rsid w:val="0027266F"/>
    <w:rsid w:val="002779B7"/>
    <w:rsid w:val="002922DE"/>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C34A4"/>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0B21"/>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5B7A"/>
    <w:rsid w:val="006F226E"/>
    <w:rsid w:val="006F51A8"/>
    <w:rsid w:val="00714102"/>
    <w:rsid w:val="007153FA"/>
    <w:rsid w:val="007163D8"/>
    <w:rsid w:val="007167F5"/>
    <w:rsid w:val="00720B6F"/>
    <w:rsid w:val="007229E9"/>
    <w:rsid w:val="00725174"/>
    <w:rsid w:val="0073675F"/>
    <w:rsid w:val="007472C1"/>
    <w:rsid w:val="007535BB"/>
    <w:rsid w:val="007611FE"/>
    <w:rsid w:val="00777E1D"/>
    <w:rsid w:val="00785050"/>
    <w:rsid w:val="00793E19"/>
    <w:rsid w:val="007A652C"/>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74ABE"/>
    <w:rsid w:val="008A154B"/>
    <w:rsid w:val="008A40E0"/>
    <w:rsid w:val="008C18B2"/>
    <w:rsid w:val="008C331F"/>
    <w:rsid w:val="008C39D5"/>
    <w:rsid w:val="008D5F9A"/>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D6EE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5FCB"/>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5EE"/>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82DF6"/>
    <w:rsid w:val="00E91F8D"/>
    <w:rsid w:val="00E930DD"/>
    <w:rsid w:val="00E9570B"/>
    <w:rsid w:val="00EA477A"/>
    <w:rsid w:val="00EA5757"/>
    <w:rsid w:val="00EB0B16"/>
    <w:rsid w:val="00EB1664"/>
    <w:rsid w:val="00EC5454"/>
    <w:rsid w:val="00EC56E8"/>
    <w:rsid w:val="00EE4536"/>
    <w:rsid w:val="00EF237A"/>
    <w:rsid w:val="00EF62F7"/>
    <w:rsid w:val="00F02F4A"/>
    <w:rsid w:val="00F042CB"/>
    <w:rsid w:val="00F109D1"/>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4SQX5P7U7WPY-958212181-817406</_dlc_DocId>
    <_dlc_DocIdUrl xmlns="c890fddd-4e87-4e08-8b51-545f2a3f7b06">
      <Url>https://senpr.sharepoint.com/sites/obralegislativa/_layouts/15/DocIdRedir.aspx?ID=4SQX5P7U7WPY-958212181-817406</Url>
      <Description>4SQX5P7U7WPY-958212181-817406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02BD9BA-19D4-4C8A-899D-12B13589E48B}"/>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961FDF6C-9B6C-45AF-A8DE-869D29F823AA}"/>
</file>

<file path=docProps/app.xml><?xml version="1.0" encoding="utf-8"?>
<Properties xmlns="http://schemas.openxmlformats.org/officeDocument/2006/extended-properties" xmlns:vt="http://schemas.openxmlformats.org/officeDocument/2006/docPropsVTypes">
  <Template>Medida-V2009</Template>
  <TotalTime>0</TotalTime>
  <Pages>5</Pages>
  <Words>1658</Words>
  <Characters>8628</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2025-08-14T14:20:00Z</dcterms:created>
  <dcterms:modified xsi:type="dcterms:W3CDTF">2025-08-14T14:20:00Z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08a2a201-35ef-4f7e-9a55-9b41f62d4e8f</vt:lpwstr>
  </property>
  <property fmtid="{D5CDD505-2E9C-101B-9397-08002B2CF9AE}" pid="4" name="MediaServiceImageTags">
    <vt:lpwstr/>
  </property>
</Properties>
</file>