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12D4C" w14:textId="13EEB095" w:rsidR="00384C04" w:rsidRPr="00A124F0" w:rsidRDefault="00A124F0" w:rsidP="00A124F0">
      <w:pPr>
        <w:suppressLineNumbers/>
        <w:spacing w:after="240"/>
        <w:rPr>
          <w:rFonts w:ascii="Book Antiqua" w:hAnsi="Book Antiqua"/>
          <w:b/>
          <w:bCs/>
          <w:sz w:val="36"/>
          <w:szCs w:val="36"/>
          <w:lang w:val="es-PR"/>
        </w:rPr>
      </w:pPr>
      <w:r>
        <w:rPr>
          <w:rFonts w:ascii="Book Antiqua" w:hAnsi="Book Antiqua"/>
          <w:b/>
          <w:bCs/>
          <w:sz w:val="36"/>
          <w:szCs w:val="36"/>
          <w:lang w:val="es-PR"/>
        </w:rPr>
        <w:t>(</w:t>
      </w:r>
      <w:r w:rsidR="00384C04" w:rsidRPr="00A124F0">
        <w:rPr>
          <w:rFonts w:ascii="Book Antiqua" w:hAnsi="Book Antiqua"/>
          <w:b/>
          <w:bCs/>
          <w:sz w:val="36"/>
          <w:szCs w:val="36"/>
          <w:lang w:val="es-PR"/>
        </w:rPr>
        <w:t xml:space="preserve">P. del S. </w:t>
      </w:r>
      <w:r w:rsidR="00954F6E" w:rsidRPr="00A124F0">
        <w:rPr>
          <w:rFonts w:ascii="Book Antiqua" w:hAnsi="Book Antiqua"/>
          <w:b/>
          <w:bCs/>
          <w:sz w:val="36"/>
          <w:szCs w:val="36"/>
          <w:lang w:val="es-PR"/>
        </w:rPr>
        <w:t>36</w:t>
      </w:r>
      <w:r>
        <w:rPr>
          <w:rFonts w:ascii="Book Antiqua" w:hAnsi="Book Antiqua"/>
          <w:b/>
          <w:bCs/>
          <w:sz w:val="36"/>
          <w:szCs w:val="36"/>
          <w:lang w:val="es-PR"/>
        </w:rPr>
        <w:t>)</w:t>
      </w:r>
    </w:p>
    <w:p w14:paraId="17D2AB4F" w14:textId="77777777" w:rsidR="005A599F" w:rsidRDefault="00384C04" w:rsidP="00961BB4">
      <w:pPr>
        <w:pStyle w:val="Heading1"/>
      </w:pPr>
      <w:r w:rsidRPr="00EB57DE">
        <w:t>LEY</w:t>
      </w:r>
    </w:p>
    <w:p w14:paraId="6C2ED1D7" w14:textId="77777777" w:rsidR="005A599F" w:rsidRPr="00227FD1" w:rsidRDefault="005A599F" w:rsidP="00696179">
      <w:pPr>
        <w:spacing w:after="240"/>
        <w:ind w:left="547" w:hanging="547"/>
        <w:jc w:val="both"/>
        <w:rPr>
          <w:rFonts w:ascii="Book Antiqua" w:hAnsi="Book Antiqua"/>
          <w:lang w:val="es-PR"/>
        </w:rPr>
      </w:pPr>
      <w:r w:rsidRPr="00227FD1">
        <w:rPr>
          <w:rFonts w:ascii="Book Antiqua" w:hAnsi="Book Antiqua"/>
          <w:lang w:val="es-ES_tradnl"/>
        </w:rPr>
        <w:t xml:space="preserve">Para </w:t>
      </w:r>
      <w:r w:rsidR="005A16FA" w:rsidRPr="00227FD1">
        <w:rPr>
          <w:rFonts w:ascii="Book Antiqua" w:hAnsi="Book Antiqua"/>
          <w:lang w:val="es-ES_tradnl"/>
        </w:rPr>
        <w:t>enmendar</w:t>
      </w:r>
      <w:r w:rsidR="005D49DB" w:rsidRPr="00227FD1">
        <w:rPr>
          <w:rFonts w:ascii="Book Antiqua" w:hAnsi="Book Antiqua"/>
          <w:lang w:val="es-ES_tradnl"/>
        </w:rPr>
        <w:t xml:space="preserve"> </w:t>
      </w:r>
      <w:bookmarkStart w:id="0" w:name="_Hlk182117729"/>
      <w:r w:rsidR="00296311" w:rsidRPr="00227FD1">
        <w:rPr>
          <w:rFonts w:ascii="Book Antiqua" w:hAnsi="Book Antiqua"/>
          <w:lang w:val="es-ES_tradnl"/>
        </w:rPr>
        <w:t>l</w:t>
      </w:r>
      <w:r w:rsidR="00407D0C" w:rsidRPr="00227FD1">
        <w:rPr>
          <w:rFonts w:ascii="Book Antiqua" w:hAnsi="Book Antiqua"/>
          <w:lang w:val="es-ES_tradnl"/>
        </w:rPr>
        <w:t xml:space="preserve">a Sección 3 </w:t>
      </w:r>
      <w:bookmarkEnd w:id="0"/>
      <w:r w:rsidR="005D49DB" w:rsidRPr="00227FD1">
        <w:rPr>
          <w:rFonts w:ascii="Book Antiqua" w:hAnsi="Book Antiqua"/>
          <w:lang w:val="es-ES_tradnl"/>
        </w:rPr>
        <w:t xml:space="preserve">de la </w:t>
      </w:r>
      <w:r w:rsidR="00407D0C" w:rsidRPr="00227FD1">
        <w:rPr>
          <w:rFonts w:ascii="Book Antiqua" w:hAnsi="Book Antiqua"/>
          <w:lang w:val="es-PR"/>
        </w:rPr>
        <w:t>Ley Núm. 83 de 25 de junio de 1963, según enmendada</w:t>
      </w:r>
      <w:r w:rsidR="00330132" w:rsidRPr="00227FD1">
        <w:rPr>
          <w:rFonts w:ascii="Book Antiqua" w:hAnsi="Book Antiqua"/>
          <w:lang w:val="es-PR"/>
        </w:rPr>
        <w:t>, conocida como</w:t>
      </w:r>
      <w:r w:rsidR="00407D0C" w:rsidRPr="00227FD1">
        <w:rPr>
          <w:rFonts w:ascii="Book Antiqua" w:hAnsi="Book Antiqua"/>
          <w:lang w:val="es-PR"/>
        </w:rPr>
        <w:t xml:space="preserve"> “Ley de la Pirotecnia de Puerto Rico</w:t>
      </w:r>
      <w:r w:rsidR="005D49DB" w:rsidRPr="00227FD1">
        <w:rPr>
          <w:rFonts w:ascii="Book Antiqua" w:hAnsi="Book Antiqua"/>
          <w:lang w:val="es-ES_tradnl"/>
        </w:rPr>
        <w:t>”</w:t>
      </w:r>
      <w:r w:rsidR="00C350F0">
        <w:rPr>
          <w:rFonts w:ascii="Book Antiqua" w:hAnsi="Book Antiqua"/>
          <w:lang w:val="es-ES_tradnl"/>
        </w:rPr>
        <w:t>,</w:t>
      </w:r>
      <w:r w:rsidR="005D49DB" w:rsidRPr="00227FD1">
        <w:rPr>
          <w:rFonts w:ascii="Book Antiqua" w:hAnsi="Book Antiqua"/>
          <w:lang w:val="es-ES_tradnl"/>
        </w:rPr>
        <w:t xml:space="preserve"> </w:t>
      </w:r>
      <w:r w:rsidR="00FC41F7" w:rsidRPr="00227FD1">
        <w:rPr>
          <w:rFonts w:ascii="Book Antiqua" w:hAnsi="Book Antiqua"/>
          <w:lang w:val="es-ES_tradnl"/>
        </w:rPr>
        <w:t xml:space="preserve">a los fines de atemperar sus disposiciones y delitos al sistema de penas establecido en la </w:t>
      </w:r>
      <w:r w:rsidR="00FC41F7" w:rsidRPr="00227FD1">
        <w:rPr>
          <w:rFonts w:ascii="Book Antiqua" w:hAnsi="Book Antiqua"/>
          <w:lang w:val="es-PR"/>
        </w:rPr>
        <w:t>Ley</w:t>
      </w:r>
      <w:r w:rsidR="0063253C" w:rsidRPr="00227FD1">
        <w:rPr>
          <w:rFonts w:ascii="Book Antiqua" w:hAnsi="Book Antiqua"/>
          <w:lang w:val="es-PR"/>
        </w:rPr>
        <w:t xml:space="preserve"> 146-2012</w:t>
      </w:r>
      <w:r w:rsidR="00FC41F7" w:rsidRPr="00227FD1">
        <w:rPr>
          <w:rFonts w:ascii="Book Antiqua" w:hAnsi="Book Antiqua"/>
          <w:lang w:val="es-PR"/>
        </w:rPr>
        <w:t>, según enmendada, conocida como “Código Penal de Puerto Rico</w:t>
      </w:r>
      <w:r w:rsidR="005D49DB" w:rsidRPr="00227FD1">
        <w:rPr>
          <w:rFonts w:ascii="Book Antiqua" w:hAnsi="Book Antiqua"/>
          <w:lang w:val="es-PR"/>
        </w:rPr>
        <w:t>”</w:t>
      </w:r>
      <w:r w:rsidR="00C350F0">
        <w:rPr>
          <w:rFonts w:ascii="Book Antiqua" w:hAnsi="Book Antiqua"/>
          <w:lang w:val="es-PR"/>
        </w:rPr>
        <w:t>;</w:t>
      </w:r>
      <w:r w:rsidR="00296311" w:rsidRPr="00227FD1">
        <w:rPr>
          <w:rFonts w:ascii="Book Antiqua" w:hAnsi="Book Antiqua"/>
          <w:lang w:val="es-PR"/>
        </w:rPr>
        <w:t xml:space="preserve"> y para otros fines relacionados</w:t>
      </w:r>
      <w:r w:rsidR="005D49DB" w:rsidRPr="00227FD1">
        <w:rPr>
          <w:rFonts w:ascii="Book Antiqua" w:hAnsi="Book Antiqua"/>
          <w:lang w:val="es-PR"/>
        </w:rPr>
        <w:t>.</w:t>
      </w:r>
    </w:p>
    <w:p w14:paraId="1F91E8B5" w14:textId="77777777" w:rsidR="005A599F" w:rsidRPr="003317B7" w:rsidRDefault="005A599F" w:rsidP="007E526B">
      <w:pPr>
        <w:pStyle w:val="Heading2"/>
        <w:spacing w:before="0" w:after="240"/>
        <w:ind w:firstLine="0"/>
        <w:rPr>
          <w:rFonts w:ascii="Book Antiqua" w:hAnsi="Book Antiqua"/>
          <w:b/>
          <w:bCs/>
          <w:sz w:val="24"/>
          <w:szCs w:val="24"/>
        </w:rPr>
      </w:pPr>
      <w:r w:rsidRPr="003317B7">
        <w:rPr>
          <w:rFonts w:ascii="Book Antiqua" w:hAnsi="Book Antiqua"/>
          <w:b/>
          <w:bCs/>
          <w:sz w:val="24"/>
          <w:szCs w:val="24"/>
        </w:rPr>
        <w:t>EXPOSICIÓN DE MOTIVOS</w:t>
      </w:r>
    </w:p>
    <w:p w14:paraId="0093201D" w14:textId="3CECBF14" w:rsidR="006C505E" w:rsidRPr="003317B7" w:rsidRDefault="006C505E" w:rsidP="00D84D66">
      <w:pPr>
        <w:spacing w:after="120"/>
        <w:ind w:firstLine="706"/>
        <w:jc w:val="both"/>
        <w:rPr>
          <w:rFonts w:ascii="Book Antiqua" w:hAnsi="Book Antiqua"/>
          <w:szCs w:val="24"/>
          <w:lang w:val="es-PR"/>
        </w:rPr>
      </w:pPr>
      <w:r w:rsidRPr="003317B7">
        <w:rPr>
          <w:rFonts w:ascii="Book Antiqua" w:hAnsi="Book Antiqua"/>
          <w:szCs w:val="24"/>
          <w:lang w:val="es-PR"/>
        </w:rPr>
        <w:t>Con la aprobación de la Ley 146-2012, se adoptó en nuestra jurisdicción un nuevo Código Penal, el cual reformuló el ordenamiento jurídico y modificó las penas aplicables a cada delito. Este Código establec</w:t>
      </w:r>
      <w:r w:rsidR="003D42C6">
        <w:rPr>
          <w:rFonts w:ascii="Book Antiqua" w:hAnsi="Book Antiqua"/>
          <w:szCs w:val="24"/>
          <w:lang w:val="es-PR"/>
        </w:rPr>
        <w:t xml:space="preserve">e </w:t>
      </w:r>
      <w:r w:rsidRPr="003317B7">
        <w:rPr>
          <w:rFonts w:ascii="Book Antiqua" w:hAnsi="Book Antiqua"/>
          <w:szCs w:val="24"/>
          <w:lang w:val="es-PR"/>
        </w:rPr>
        <w:t>que los delitos graves contemplados en las leyes penales especiales bajo el Código Penal de 2004 seguirán vigentes hasta que dichas leyes sean enmendadas y atemperadas al nuevo sistema de sentencias fijas establecido en el Código Penal de 2012.</w:t>
      </w:r>
    </w:p>
    <w:p w14:paraId="274397DB" w14:textId="40917024" w:rsidR="00FC41F7" w:rsidRPr="00227FD1" w:rsidRDefault="006C505E" w:rsidP="00D84D66">
      <w:pPr>
        <w:spacing w:after="120"/>
        <w:ind w:firstLine="706"/>
        <w:jc w:val="both"/>
        <w:rPr>
          <w:rFonts w:ascii="Book Antiqua" w:hAnsi="Book Antiqua"/>
          <w:szCs w:val="24"/>
          <w:lang w:val="es-PR"/>
        </w:rPr>
      </w:pPr>
      <w:r w:rsidRPr="003317B7">
        <w:rPr>
          <w:rFonts w:ascii="Book Antiqua" w:hAnsi="Book Antiqua"/>
          <w:szCs w:val="24"/>
          <w:lang w:val="es-PR"/>
        </w:rPr>
        <w:t>Armonizar las penas contempladas en las leyes penales especiales con las disposiciones del Código Penal de Puerto Rico de 2012</w:t>
      </w:r>
      <w:r w:rsidR="00C350F0">
        <w:rPr>
          <w:rFonts w:ascii="Book Antiqua" w:hAnsi="Book Antiqua"/>
          <w:szCs w:val="24"/>
          <w:lang w:val="es-PR"/>
        </w:rPr>
        <w:t xml:space="preserve">, </w:t>
      </w:r>
      <w:r w:rsidRPr="003317B7">
        <w:rPr>
          <w:rFonts w:ascii="Book Antiqua" w:hAnsi="Book Antiqua"/>
          <w:szCs w:val="24"/>
          <w:lang w:val="es-PR"/>
        </w:rPr>
        <w:t xml:space="preserve">es una medida esencial para garantizar que el sistema de justicia penal se mantenga coherente y alineado con el sistema de sentencias fijas establecido en la legislación vigente. La revisión y actualización de las leyes penales especiales evitará decisiones inconsistentes en la aplicación e imposición de </w:t>
      </w:r>
      <w:r w:rsidRPr="00227FD1">
        <w:rPr>
          <w:rFonts w:ascii="Book Antiqua" w:hAnsi="Book Antiqua"/>
          <w:szCs w:val="24"/>
          <w:lang w:val="es-PR"/>
        </w:rPr>
        <w:t>penas y asegurará que el sistema penal sea justo y equitativo</w:t>
      </w:r>
      <w:r w:rsidR="00FC41F7" w:rsidRPr="00227FD1">
        <w:rPr>
          <w:rFonts w:ascii="Book Antiqua" w:hAnsi="Book Antiqua"/>
          <w:szCs w:val="24"/>
          <w:lang w:val="es-PR"/>
        </w:rPr>
        <w:t>.</w:t>
      </w:r>
    </w:p>
    <w:p w14:paraId="25349925" w14:textId="45800F56" w:rsidR="006C505E" w:rsidRPr="00227FD1" w:rsidRDefault="00ED13AA" w:rsidP="00D84D66">
      <w:pPr>
        <w:spacing w:after="120"/>
        <w:ind w:firstLine="706"/>
        <w:jc w:val="both"/>
        <w:rPr>
          <w:rFonts w:ascii="Book Antiqua" w:hAnsi="Book Antiqua"/>
          <w:szCs w:val="24"/>
          <w:lang w:val="es-PR"/>
        </w:rPr>
      </w:pPr>
      <w:r w:rsidRPr="009D2D92">
        <w:rPr>
          <w:rFonts w:ascii="Book Antiqua" w:hAnsi="Book Antiqua"/>
          <w:szCs w:val="24"/>
          <w:lang w:val="es-PR"/>
        </w:rPr>
        <w:t>La</w:t>
      </w:r>
      <w:r w:rsidRPr="00ED13AA">
        <w:rPr>
          <w:rFonts w:ascii="Book Antiqua" w:hAnsi="Book Antiqua"/>
          <w:szCs w:val="24"/>
          <w:lang w:val="es-PR"/>
        </w:rPr>
        <w:t xml:space="preserve"> </w:t>
      </w:r>
      <w:r w:rsidR="00407D0C" w:rsidRPr="00227FD1">
        <w:rPr>
          <w:rFonts w:ascii="Book Antiqua" w:hAnsi="Book Antiqua"/>
          <w:lang w:val="es-PR"/>
        </w:rPr>
        <w:t>Ley Núm. 83 de 25 de junio de 1963, según enmendada, conocida como “Ley de la Pirotecnia de Puerto Rico</w:t>
      </w:r>
      <w:r w:rsidR="00FC41F7" w:rsidRPr="00227FD1">
        <w:rPr>
          <w:rFonts w:ascii="Book Antiqua" w:hAnsi="Book Antiqua"/>
          <w:lang w:val="es-ES_tradnl"/>
        </w:rPr>
        <w:t>”</w:t>
      </w:r>
      <w:r w:rsidR="00FC41F7" w:rsidRPr="00227FD1">
        <w:rPr>
          <w:rFonts w:ascii="Book Antiqua" w:hAnsi="Book Antiqua"/>
          <w:szCs w:val="24"/>
          <w:lang w:val="es-PR"/>
        </w:rPr>
        <w:t xml:space="preserve">, aún no ha sido atemperada con el nuevo sistema de penas establecido en el Código Penal de 2012. </w:t>
      </w:r>
      <w:bookmarkStart w:id="1" w:name="_Hlk183299115"/>
      <w:r w:rsidR="006C505E" w:rsidRPr="00227FD1">
        <w:rPr>
          <w:rFonts w:ascii="Book Antiqua" w:hAnsi="Book Antiqua"/>
          <w:szCs w:val="24"/>
          <w:lang w:val="es-PR"/>
        </w:rPr>
        <w:t xml:space="preserve">Esta omisión </w:t>
      </w:r>
      <w:bookmarkEnd w:id="1"/>
      <w:r w:rsidR="006C505E" w:rsidRPr="00227FD1">
        <w:rPr>
          <w:rFonts w:ascii="Book Antiqua" w:hAnsi="Book Antiqua"/>
          <w:szCs w:val="24"/>
          <w:lang w:val="es-PR"/>
        </w:rPr>
        <w:t>impide cumplir adecuadamente con el objetivo de rehabilitación y reintegración social que dicho Código promueve a través de un sistema de sentencias fijas.</w:t>
      </w:r>
    </w:p>
    <w:p w14:paraId="6DE3E539" w14:textId="77777777" w:rsidR="00FC41F7" w:rsidRPr="00227FD1" w:rsidRDefault="006C505E" w:rsidP="00D84D66">
      <w:pPr>
        <w:spacing w:after="240"/>
        <w:ind w:firstLine="706"/>
        <w:jc w:val="both"/>
        <w:rPr>
          <w:rFonts w:ascii="Book Antiqua" w:hAnsi="Book Antiqua"/>
          <w:lang w:val="es-PR"/>
        </w:rPr>
      </w:pPr>
      <w:r w:rsidRPr="00227FD1">
        <w:rPr>
          <w:rFonts w:ascii="Book Antiqua" w:hAnsi="Book Antiqua"/>
          <w:szCs w:val="24"/>
          <w:lang w:val="es-PR"/>
        </w:rPr>
        <w:t>En vista de ello, esta Asamblea Legislativa considera necesario armonizar nuestra legislación para que las sanciones penales se apliquen de manera coherente con las disposiciones del Código Penal vigente</w:t>
      </w:r>
      <w:r w:rsidR="00FC41F7" w:rsidRPr="00227FD1">
        <w:rPr>
          <w:rFonts w:ascii="Book Antiqua" w:hAnsi="Book Antiqua"/>
          <w:lang w:val="es-PR"/>
        </w:rPr>
        <w:t>.</w:t>
      </w:r>
    </w:p>
    <w:p w14:paraId="5ADDB22B" w14:textId="77777777" w:rsidR="005A599F" w:rsidRPr="00EB57DE" w:rsidRDefault="005A599F" w:rsidP="00562CBE">
      <w:pPr>
        <w:spacing w:after="240"/>
        <w:rPr>
          <w:rFonts w:ascii="Book Antiqua" w:hAnsi="Book Antiqua"/>
          <w:b/>
          <w:bCs/>
          <w:iCs/>
          <w:lang w:val="es-ES_tradnl"/>
        </w:rPr>
      </w:pPr>
      <w:r w:rsidRPr="00EB57DE">
        <w:rPr>
          <w:rFonts w:ascii="Book Antiqua" w:hAnsi="Book Antiqua"/>
          <w:b/>
          <w:bCs/>
          <w:iCs/>
          <w:lang w:val="es-ES_tradnl"/>
        </w:rPr>
        <w:t>DECRÉTASE POR LA ASAMBLEA LEGISLATIVA DE PUERTO RICO:</w:t>
      </w:r>
    </w:p>
    <w:p w14:paraId="0608FC35" w14:textId="77777777" w:rsidR="005A599F" w:rsidRPr="003317B7" w:rsidRDefault="005A599F" w:rsidP="005A599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  <w:sectPr w:rsidR="005A599F" w:rsidRPr="003317B7" w:rsidSect="003858CF">
          <w:headerReference w:type="even" r:id="rId11"/>
          <w:headerReference w:type="default" r:id="rId12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1C035E7" w14:textId="733D23E3" w:rsidR="00024CDD" w:rsidRPr="003317B7" w:rsidRDefault="00C350F0" w:rsidP="00955A07">
      <w:pPr>
        <w:suppressLineNumbers/>
        <w:spacing w:after="120"/>
        <w:ind w:firstLine="360"/>
        <w:jc w:val="both"/>
        <w:rPr>
          <w:rFonts w:ascii="Book Antiqua" w:hAnsi="Book Antiqua"/>
          <w:lang w:val="es-ES_tradnl"/>
        </w:rPr>
      </w:pPr>
      <w:bookmarkStart w:id="2" w:name="_Hlk16244728"/>
      <w:r>
        <w:rPr>
          <w:rFonts w:ascii="Book Antiqua" w:hAnsi="Book Antiqua"/>
          <w:lang w:val="es-ES_tradnl"/>
        </w:rPr>
        <w:t>Artículo</w:t>
      </w:r>
      <w:r w:rsidR="004C4EE4" w:rsidRPr="003317B7">
        <w:rPr>
          <w:rFonts w:ascii="Book Antiqua" w:hAnsi="Book Antiqua"/>
          <w:lang w:val="es-ES_tradnl"/>
        </w:rPr>
        <w:t xml:space="preserve"> 1.-</w:t>
      </w:r>
      <w:bookmarkEnd w:id="2"/>
      <w:r w:rsidR="00296311" w:rsidRPr="003317B7">
        <w:rPr>
          <w:rFonts w:ascii="Book Antiqua" w:hAnsi="Book Antiqua"/>
          <w:lang w:val="es-ES_tradnl"/>
        </w:rPr>
        <w:t xml:space="preserve"> </w:t>
      </w:r>
      <w:r w:rsidR="00024CDD" w:rsidRPr="003317B7">
        <w:rPr>
          <w:rFonts w:ascii="Book Antiqua" w:hAnsi="Book Antiqua"/>
          <w:lang w:val="es-ES_tradnl"/>
        </w:rPr>
        <w:t>Se enmienda l</w:t>
      </w:r>
      <w:r w:rsidR="00407D0C">
        <w:rPr>
          <w:rFonts w:ascii="Book Antiqua" w:hAnsi="Book Antiqua"/>
          <w:lang w:val="es-ES_tradnl"/>
        </w:rPr>
        <w:t xml:space="preserve">a Sección 3 </w:t>
      </w:r>
      <w:r w:rsidR="00407D0C" w:rsidRPr="00407D0C">
        <w:rPr>
          <w:rFonts w:ascii="Book Antiqua" w:hAnsi="Book Antiqua"/>
          <w:lang w:val="es-ES_tradnl"/>
        </w:rPr>
        <w:t xml:space="preserve">de la </w:t>
      </w:r>
      <w:r w:rsidR="00407D0C" w:rsidRPr="00407D0C">
        <w:rPr>
          <w:rFonts w:ascii="Book Antiqua" w:hAnsi="Book Antiqua"/>
          <w:lang w:val="es-PR"/>
        </w:rPr>
        <w:t>Ley Núm. 83 de 25 de junio de 1963, según enmendada</w:t>
      </w:r>
      <w:r w:rsidR="00407D0C" w:rsidRPr="003317B7">
        <w:rPr>
          <w:rFonts w:ascii="Book Antiqua" w:hAnsi="Book Antiqua"/>
          <w:lang w:val="es-PR"/>
        </w:rPr>
        <w:t xml:space="preserve">, </w:t>
      </w:r>
      <w:r w:rsidR="00024CDD" w:rsidRPr="003317B7">
        <w:rPr>
          <w:rFonts w:ascii="Book Antiqua" w:hAnsi="Book Antiqua"/>
          <w:lang w:val="es-ES_tradnl"/>
        </w:rPr>
        <w:t>para que lea como sigue:</w:t>
      </w:r>
    </w:p>
    <w:p w14:paraId="65E09EAE" w14:textId="77777777" w:rsidR="00407D0C" w:rsidRPr="00407D0C" w:rsidRDefault="00024CDD" w:rsidP="00955A07">
      <w:pPr>
        <w:suppressLineNumbers/>
        <w:spacing w:after="120"/>
        <w:ind w:firstLine="720"/>
        <w:rPr>
          <w:rFonts w:ascii="Book Antiqua" w:hAnsi="Book Antiqua"/>
          <w:bCs/>
          <w:lang w:val="es-PR"/>
        </w:rPr>
      </w:pPr>
      <w:r w:rsidRPr="003317B7">
        <w:rPr>
          <w:rFonts w:ascii="Book Antiqua" w:hAnsi="Book Antiqua"/>
          <w:lang w:val="es-ES_tradnl"/>
        </w:rPr>
        <w:t>“</w:t>
      </w:r>
      <w:r w:rsidR="00407D0C" w:rsidRPr="00407D0C">
        <w:rPr>
          <w:rFonts w:ascii="Book Antiqua" w:hAnsi="Book Antiqua"/>
          <w:bCs/>
          <w:lang w:val="es-PR"/>
        </w:rPr>
        <w:t xml:space="preserve">Sección 3.- Penalidades. </w:t>
      </w:r>
    </w:p>
    <w:p w14:paraId="0C8DDB7E" w14:textId="32F54E25" w:rsidR="00130E1D" w:rsidRDefault="00407D0C" w:rsidP="00955A07">
      <w:pPr>
        <w:suppressLineNumbers/>
        <w:tabs>
          <w:tab w:val="left" w:pos="5040"/>
        </w:tabs>
        <w:spacing w:after="120"/>
        <w:ind w:firstLine="720"/>
        <w:jc w:val="both"/>
        <w:rPr>
          <w:rFonts w:ascii="Book Antiqua" w:hAnsi="Book Antiqua"/>
          <w:lang w:val="es-PR"/>
        </w:rPr>
      </w:pPr>
      <w:r w:rsidRPr="00407D0C">
        <w:rPr>
          <w:rFonts w:ascii="Book Antiqua" w:hAnsi="Book Antiqua"/>
          <w:lang w:val="es-PR"/>
        </w:rPr>
        <w:t xml:space="preserve">Toda persona que infringiere las disposiciones de esta Ley, en aquellos casos en </w:t>
      </w:r>
      <w:r w:rsidR="0028330A" w:rsidRPr="008036FF">
        <w:rPr>
          <w:rFonts w:ascii="Book Antiqua" w:hAnsi="Book Antiqua"/>
          <w:lang w:val="es-PR"/>
        </w:rPr>
        <w:t>los que</w:t>
      </w:r>
      <w:r w:rsidR="0028330A" w:rsidRPr="0028330A">
        <w:rPr>
          <w:rFonts w:ascii="Book Antiqua" w:hAnsi="Book Antiqua"/>
          <w:lang w:val="es-PR"/>
        </w:rPr>
        <w:t xml:space="preserve"> </w:t>
      </w:r>
      <w:r w:rsidRPr="00407D0C">
        <w:rPr>
          <w:rFonts w:ascii="Book Antiqua" w:hAnsi="Book Antiqua"/>
          <w:lang w:val="es-PR"/>
        </w:rPr>
        <w:t xml:space="preserve">se intervenga con un individuo a quien se le ocupe diez (10) </w:t>
      </w:r>
      <w:r w:rsidRPr="00407D0C">
        <w:rPr>
          <w:rFonts w:ascii="Book Antiqua" w:hAnsi="Book Antiqua"/>
          <w:bCs/>
          <w:iCs/>
          <w:lang w:val="es-PR"/>
        </w:rPr>
        <w:t>unidades</w:t>
      </w:r>
      <w:r w:rsidRPr="00407D0C">
        <w:rPr>
          <w:rFonts w:ascii="Book Antiqua" w:hAnsi="Book Antiqua"/>
          <w:lang w:val="es-PR"/>
        </w:rPr>
        <w:t xml:space="preserve"> o menos de material de pirotecnia</w:t>
      </w:r>
      <w:r w:rsidR="0038137E" w:rsidRPr="003A3486">
        <w:rPr>
          <w:rFonts w:ascii="Book Antiqua" w:hAnsi="Book Antiqua"/>
          <w:lang w:val="es-PR"/>
        </w:rPr>
        <w:t>,</w:t>
      </w:r>
      <w:r w:rsidRPr="00407D0C">
        <w:rPr>
          <w:rFonts w:ascii="Book Antiqua" w:hAnsi="Book Antiqua"/>
          <w:lang w:val="es-PR"/>
        </w:rPr>
        <w:t xml:space="preserve"> estará expuesta a las penalidades correspondientes a un delito menos </w:t>
      </w:r>
      <w:r w:rsidRPr="008036FF">
        <w:rPr>
          <w:rFonts w:ascii="Book Antiqua" w:hAnsi="Book Antiqua"/>
          <w:lang w:val="es-PR"/>
        </w:rPr>
        <w:t>grave</w:t>
      </w:r>
      <w:r w:rsidR="00E330B2">
        <w:rPr>
          <w:rFonts w:ascii="Book Antiqua" w:hAnsi="Book Antiqua"/>
          <w:lang w:val="es-PR"/>
        </w:rPr>
        <w:t xml:space="preserve"> con una pena de reclusión por un término que no exceda de seis (6) meses, </w:t>
      </w:r>
      <w:r w:rsidR="00E330B2">
        <w:rPr>
          <w:rFonts w:ascii="Book Antiqua" w:hAnsi="Book Antiqua"/>
          <w:lang w:val="es-PR"/>
        </w:rPr>
        <w:lastRenderedPageBreak/>
        <w:t>pena de multa que no exceda de cinco mil (5,000) dólares o ambas penas a discreción del tribunal. Cuando se ocupe más de diez (10) unidades de material de pirotecnia a un individuo o individuos, se incurrirá en delito grave con una pena de reclusión fija de tres (3) años, pena de multa que no exceda de diez mil (10,000) dólares o ambas penas a discreción del tribunal.</w:t>
      </w:r>
      <w:r w:rsidRPr="00227FD1">
        <w:rPr>
          <w:rFonts w:ascii="Book Antiqua" w:hAnsi="Book Antiqua"/>
          <w:lang w:val="es-PR"/>
        </w:rPr>
        <w:t xml:space="preserve"> </w:t>
      </w:r>
    </w:p>
    <w:p w14:paraId="75346927" w14:textId="65D1F61C" w:rsidR="00407D0C" w:rsidRPr="00227FD1" w:rsidRDefault="00407D0C" w:rsidP="00955A07">
      <w:pPr>
        <w:suppressLineNumbers/>
        <w:tabs>
          <w:tab w:val="left" w:pos="5040"/>
        </w:tabs>
        <w:spacing w:after="120"/>
        <w:ind w:firstLine="720"/>
        <w:jc w:val="both"/>
        <w:rPr>
          <w:rFonts w:ascii="Book Antiqua" w:hAnsi="Book Antiqua"/>
          <w:lang w:val="es-PR"/>
        </w:rPr>
      </w:pPr>
      <w:r w:rsidRPr="00227FD1">
        <w:rPr>
          <w:rFonts w:ascii="Book Antiqua" w:hAnsi="Book Antiqua"/>
          <w:lang w:val="es-PR"/>
        </w:rPr>
        <w:t>Para efectos de esta Sección</w:t>
      </w:r>
      <w:r w:rsidR="00284BDB">
        <w:rPr>
          <w:rFonts w:ascii="Book Antiqua" w:hAnsi="Book Antiqua"/>
          <w:lang w:val="es-PR"/>
        </w:rPr>
        <w:t>,</w:t>
      </w:r>
      <w:r w:rsidRPr="00227FD1">
        <w:rPr>
          <w:rFonts w:ascii="Book Antiqua" w:hAnsi="Book Antiqua"/>
          <w:lang w:val="es-PR"/>
        </w:rPr>
        <w:t xml:space="preserve"> “unidad”</w:t>
      </w:r>
      <w:r w:rsidR="009729B9">
        <w:rPr>
          <w:rFonts w:ascii="Book Antiqua" w:hAnsi="Book Antiqua"/>
          <w:lang w:val="es-PR"/>
        </w:rPr>
        <w:t xml:space="preserve"> </w:t>
      </w:r>
      <w:r w:rsidRPr="00227FD1">
        <w:rPr>
          <w:rFonts w:ascii="Book Antiqua" w:hAnsi="Book Antiqua"/>
          <w:lang w:val="es-PR"/>
        </w:rPr>
        <w:t xml:space="preserve">será aquel artificio o material pirotécnico que se compone de varios artículos integrados de una misma clase en un solo empaque para venta al detal.” </w:t>
      </w:r>
    </w:p>
    <w:p w14:paraId="76B2E53E" w14:textId="77777777" w:rsidR="008D1168" w:rsidRDefault="00C350F0" w:rsidP="00955A07">
      <w:pPr>
        <w:suppressLineNumbers/>
        <w:spacing w:after="120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Artículo</w:t>
      </w:r>
      <w:r w:rsidR="00CD05BF" w:rsidRPr="003317B7">
        <w:rPr>
          <w:rFonts w:ascii="Book Antiqua" w:hAnsi="Book Antiqua"/>
          <w:lang w:val="es-ES_tradnl"/>
        </w:rPr>
        <w:t xml:space="preserve"> </w:t>
      </w:r>
      <w:r w:rsidR="00407D0C">
        <w:rPr>
          <w:rFonts w:ascii="Book Antiqua" w:hAnsi="Book Antiqua"/>
          <w:lang w:val="es-ES_tradnl"/>
        </w:rPr>
        <w:t>2</w:t>
      </w:r>
      <w:r w:rsidR="00CD05BF" w:rsidRPr="003317B7">
        <w:rPr>
          <w:rFonts w:ascii="Book Antiqua" w:hAnsi="Book Antiqua"/>
          <w:lang w:val="es-ES_tradnl"/>
        </w:rPr>
        <w:t xml:space="preserve">.- </w:t>
      </w:r>
      <w:r w:rsidR="00EB7923" w:rsidRPr="003317B7">
        <w:rPr>
          <w:rFonts w:ascii="Book Antiqua" w:hAnsi="Book Antiqua"/>
          <w:lang w:val="es-ES_tradnl"/>
        </w:rPr>
        <w:t>Esta Ley entrará en vigor inmediatamente después de su aprobación</w:t>
      </w:r>
      <w:r w:rsidR="00407D0C">
        <w:rPr>
          <w:rFonts w:ascii="Book Antiqua" w:hAnsi="Book Antiqua"/>
          <w:lang w:val="es-ES_tradnl"/>
        </w:rPr>
        <w:t>.</w:t>
      </w:r>
    </w:p>
    <w:p w14:paraId="3356528A" w14:textId="77777777" w:rsidR="00FA6BFD" w:rsidRDefault="00FA6BFD" w:rsidP="00955A07">
      <w:pPr>
        <w:suppressLineNumbers/>
        <w:spacing w:after="120"/>
        <w:ind w:firstLine="360"/>
        <w:jc w:val="both"/>
        <w:rPr>
          <w:rFonts w:ascii="Book Antiqua" w:hAnsi="Book Antiqua"/>
          <w:lang w:val="es-ES_tradnl"/>
        </w:rPr>
      </w:pPr>
    </w:p>
    <w:sectPr w:rsidR="00FA6BFD" w:rsidSect="003858C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C88F9" w14:textId="77777777" w:rsidR="00B4059A" w:rsidRDefault="00B4059A" w:rsidP="00CD4499">
      <w:r>
        <w:separator/>
      </w:r>
    </w:p>
  </w:endnote>
  <w:endnote w:type="continuationSeparator" w:id="0">
    <w:p w14:paraId="633A3735" w14:textId="77777777" w:rsidR="00B4059A" w:rsidRDefault="00B4059A" w:rsidP="00CD4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(w1)">
    <w:altName w:val="Times New Roman"/>
    <w:charset w:val="00"/>
    <w:family w:val="roman"/>
    <w:pitch w:val="default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0840E" w14:textId="77777777" w:rsidR="00B4059A" w:rsidRDefault="00B4059A" w:rsidP="00CD4499">
      <w:r>
        <w:separator/>
      </w:r>
    </w:p>
  </w:footnote>
  <w:footnote w:type="continuationSeparator" w:id="0">
    <w:p w14:paraId="6B8EB50A" w14:textId="77777777" w:rsidR="00B4059A" w:rsidRDefault="00B4059A" w:rsidP="00CD44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8650D" w14:textId="77777777" w:rsidR="00513E3A" w:rsidRDefault="00513E3A" w:rsidP="003858C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B97FCE" w14:textId="77777777" w:rsidR="00513E3A" w:rsidRDefault="00513E3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BDBA9" w14:textId="77777777" w:rsidR="00513E3A" w:rsidRDefault="00513E3A" w:rsidP="003858C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B3C3B">
      <w:rPr>
        <w:rStyle w:val="PageNumber"/>
        <w:noProof/>
      </w:rPr>
      <w:t>3</w:t>
    </w:r>
    <w:r>
      <w:rPr>
        <w:rStyle w:val="PageNumber"/>
      </w:rPr>
      <w:fldChar w:fldCharType="end"/>
    </w:r>
  </w:p>
  <w:p w14:paraId="2D86957F" w14:textId="77777777" w:rsidR="00513E3A" w:rsidRDefault="00513E3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50203"/>
    <w:multiLevelType w:val="hybridMultilevel"/>
    <w:tmpl w:val="B6B26AEE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56089"/>
    <w:multiLevelType w:val="hybridMultilevel"/>
    <w:tmpl w:val="7BD40600"/>
    <w:lvl w:ilvl="0" w:tplc="500A0019">
      <w:start w:val="1"/>
      <w:numFmt w:val="lowerLetter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7219D"/>
    <w:multiLevelType w:val="hybridMultilevel"/>
    <w:tmpl w:val="A066FF28"/>
    <w:lvl w:ilvl="0" w:tplc="FFFFFFFF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DFF2678"/>
    <w:multiLevelType w:val="hybridMultilevel"/>
    <w:tmpl w:val="DB6C3942"/>
    <w:lvl w:ilvl="0" w:tplc="69242A5E">
      <w:start w:val="1"/>
      <w:numFmt w:val="lowerLetter"/>
      <w:lvlText w:val="(%1)"/>
      <w:lvlJc w:val="left"/>
      <w:pPr>
        <w:ind w:left="765" w:hanging="405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F3AC1"/>
    <w:multiLevelType w:val="hybridMultilevel"/>
    <w:tmpl w:val="053AFF64"/>
    <w:lvl w:ilvl="0" w:tplc="F77E533E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8FA5887"/>
    <w:multiLevelType w:val="hybridMultilevel"/>
    <w:tmpl w:val="EBD0271C"/>
    <w:lvl w:ilvl="0" w:tplc="500A0019">
      <w:start w:val="1"/>
      <w:numFmt w:val="lowerLetter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D81253"/>
    <w:multiLevelType w:val="hybridMultilevel"/>
    <w:tmpl w:val="1BC249BA"/>
    <w:lvl w:ilvl="0" w:tplc="C51A12BC">
      <w:start w:val="1"/>
      <w:numFmt w:val="lowerLetter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500A0019" w:tentative="1">
      <w:start w:val="1"/>
      <w:numFmt w:val="lowerLetter"/>
      <w:lvlText w:val="%2."/>
      <w:lvlJc w:val="left"/>
      <w:pPr>
        <w:ind w:left="1620" w:hanging="360"/>
      </w:pPr>
    </w:lvl>
    <w:lvl w:ilvl="2" w:tplc="500A001B" w:tentative="1">
      <w:start w:val="1"/>
      <w:numFmt w:val="lowerRoman"/>
      <w:lvlText w:val="%3."/>
      <w:lvlJc w:val="right"/>
      <w:pPr>
        <w:ind w:left="2340" w:hanging="180"/>
      </w:pPr>
    </w:lvl>
    <w:lvl w:ilvl="3" w:tplc="500A000F" w:tentative="1">
      <w:start w:val="1"/>
      <w:numFmt w:val="decimal"/>
      <w:lvlText w:val="%4."/>
      <w:lvlJc w:val="left"/>
      <w:pPr>
        <w:ind w:left="3060" w:hanging="360"/>
      </w:pPr>
    </w:lvl>
    <w:lvl w:ilvl="4" w:tplc="500A0019" w:tentative="1">
      <w:start w:val="1"/>
      <w:numFmt w:val="lowerLetter"/>
      <w:lvlText w:val="%5."/>
      <w:lvlJc w:val="left"/>
      <w:pPr>
        <w:ind w:left="3780" w:hanging="360"/>
      </w:pPr>
    </w:lvl>
    <w:lvl w:ilvl="5" w:tplc="500A001B" w:tentative="1">
      <w:start w:val="1"/>
      <w:numFmt w:val="lowerRoman"/>
      <w:lvlText w:val="%6."/>
      <w:lvlJc w:val="right"/>
      <w:pPr>
        <w:ind w:left="4500" w:hanging="180"/>
      </w:pPr>
    </w:lvl>
    <w:lvl w:ilvl="6" w:tplc="500A000F" w:tentative="1">
      <w:start w:val="1"/>
      <w:numFmt w:val="decimal"/>
      <w:lvlText w:val="%7."/>
      <w:lvlJc w:val="left"/>
      <w:pPr>
        <w:ind w:left="5220" w:hanging="360"/>
      </w:pPr>
    </w:lvl>
    <w:lvl w:ilvl="7" w:tplc="500A0019" w:tentative="1">
      <w:start w:val="1"/>
      <w:numFmt w:val="lowerLetter"/>
      <w:lvlText w:val="%8."/>
      <w:lvlJc w:val="left"/>
      <w:pPr>
        <w:ind w:left="5940" w:hanging="360"/>
      </w:pPr>
    </w:lvl>
    <w:lvl w:ilvl="8" w:tplc="50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58EF1ED9"/>
    <w:multiLevelType w:val="hybridMultilevel"/>
    <w:tmpl w:val="D84441A0"/>
    <w:lvl w:ilvl="0" w:tplc="5B9CC27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9C62A9"/>
    <w:multiLevelType w:val="hybridMultilevel"/>
    <w:tmpl w:val="75F48F9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F4C1ECD"/>
    <w:multiLevelType w:val="hybridMultilevel"/>
    <w:tmpl w:val="CD2246E4"/>
    <w:lvl w:ilvl="0" w:tplc="500A000F">
      <w:start w:val="1"/>
      <w:numFmt w:val="decimal"/>
      <w:lvlText w:val="%1.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C5E118E"/>
    <w:multiLevelType w:val="hybridMultilevel"/>
    <w:tmpl w:val="5DFE64D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8BD4A04"/>
    <w:multiLevelType w:val="hybridMultilevel"/>
    <w:tmpl w:val="8D08EF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F3335A"/>
    <w:multiLevelType w:val="hybridMultilevel"/>
    <w:tmpl w:val="A620C6F8"/>
    <w:lvl w:ilvl="0" w:tplc="500A001B">
      <w:start w:val="1"/>
      <w:numFmt w:val="lowerRoman"/>
      <w:lvlText w:val="%1."/>
      <w:lvlJc w:val="righ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6317858">
    <w:abstractNumId w:val="12"/>
  </w:num>
  <w:num w:numId="2" w16cid:durableId="345981237">
    <w:abstractNumId w:val="5"/>
  </w:num>
  <w:num w:numId="3" w16cid:durableId="1575773780">
    <w:abstractNumId w:val="6"/>
  </w:num>
  <w:num w:numId="4" w16cid:durableId="1991054290">
    <w:abstractNumId w:val="1"/>
  </w:num>
  <w:num w:numId="5" w16cid:durableId="278219552">
    <w:abstractNumId w:val="0"/>
  </w:num>
  <w:num w:numId="6" w16cid:durableId="1441680342">
    <w:abstractNumId w:val="8"/>
  </w:num>
  <w:num w:numId="7" w16cid:durableId="602762312">
    <w:abstractNumId w:val="10"/>
  </w:num>
  <w:num w:numId="8" w16cid:durableId="1563758775">
    <w:abstractNumId w:val="4"/>
  </w:num>
  <w:num w:numId="9" w16cid:durableId="2049061185">
    <w:abstractNumId w:val="3"/>
  </w:num>
  <w:num w:numId="10" w16cid:durableId="1370912938">
    <w:abstractNumId w:val="9"/>
  </w:num>
  <w:num w:numId="11" w16cid:durableId="1638300611">
    <w:abstractNumId w:val="11"/>
  </w:num>
  <w:num w:numId="12" w16cid:durableId="1201551779">
    <w:abstractNumId w:val="2"/>
  </w:num>
  <w:num w:numId="13" w16cid:durableId="14192105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99F"/>
    <w:rsid w:val="000023FF"/>
    <w:rsid w:val="00002D50"/>
    <w:rsid w:val="000103E8"/>
    <w:rsid w:val="00011BCC"/>
    <w:rsid w:val="00012469"/>
    <w:rsid w:val="00024CDD"/>
    <w:rsid w:val="00025C6B"/>
    <w:rsid w:val="00061D8A"/>
    <w:rsid w:val="00070127"/>
    <w:rsid w:val="000737AB"/>
    <w:rsid w:val="00080B61"/>
    <w:rsid w:val="00087B83"/>
    <w:rsid w:val="00090527"/>
    <w:rsid w:val="00090B0F"/>
    <w:rsid w:val="000A0E28"/>
    <w:rsid w:val="000B3074"/>
    <w:rsid w:val="000C5EE3"/>
    <w:rsid w:val="000D0732"/>
    <w:rsid w:val="000D2313"/>
    <w:rsid w:val="000E1E77"/>
    <w:rsid w:val="000E5D8C"/>
    <w:rsid w:val="000F44E9"/>
    <w:rsid w:val="000F5121"/>
    <w:rsid w:val="00100727"/>
    <w:rsid w:val="00103821"/>
    <w:rsid w:val="00110ED0"/>
    <w:rsid w:val="001138EA"/>
    <w:rsid w:val="00114ADD"/>
    <w:rsid w:val="00115944"/>
    <w:rsid w:val="001263EC"/>
    <w:rsid w:val="00130E1D"/>
    <w:rsid w:val="001623DE"/>
    <w:rsid w:val="00170468"/>
    <w:rsid w:val="00173BA8"/>
    <w:rsid w:val="00190AA0"/>
    <w:rsid w:val="00192887"/>
    <w:rsid w:val="001A1457"/>
    <w:rsid w:val="001A26C1"/>
    <w:rsid w:val="001A4A8B"/>
    <w:rsid w:val="001B0DB4"/>
    <w:rsid w:val="001C1401"/>
    <w:rsid w:val="001C2D57"/>
    <w:rsid w:val="001C45F8"/>
    <w:rsid w:val="001E11F3"/>
    <w:rsid w:val="00204060"/>
    <w:rsid w:val="00205DF4"/>
    <w:rsid w:val="00214B48"/>
    <w:rsid w:val="002242ED"/>
    <w:rsid w:val="00227FD1"/>
    <w:rsid w:val="002335A3"/>
    <w:rsid w:val="00235B85"/>
    <w:rsid w:val="00241915"/>
    <w:rsid w:val="002464D6"/>
    <w:rsid w:val="00247484"/>
    <w:rsid w:val="00250033"/>
    <w:rsid w:val="002575CE"/>
    <w:rsid w:val="00270FBD"/>
    <w:rsid w:val="00280F47"/>
    <w:rsid w:val="0028330A"/>
    <w:rsid w:val="00284BDB"/>
    <w:rsid w:val="0028689A"/>
    <w:rsid w:val="00296311"/>
    <w:rsid w:val="002A3CEC"/>
    <w:rsid w:val="003172AC"/>
    <w:rsid w:val="0032492E"/>
    <w:rsid w:val="00325EB5"/>
    <w:rsid w:val="00330132"/>
    <w:rsid w:val="003317B7"/>
    <w:rsid w:val="003343CD"/>
    <w:rsid w:val="00350FE1"/>
    <w:rsid w:val="003620E6"/>
    <w:rsid w:val="00371628"/>
    <w:rsid w:val="003722AA"/>
    <w:rsid w:val="00374A71"/>
    <w:rsid w:val="0038137E"/>
    <w:rsid w:val="00384C04"/>
    <w:rsid w:val="003856F5"/>
    <w:rsid w:val="003858CF"/>
    <w:rsid w:val="00390F27"/>
    <w:rsid w:val="003A3486"/>
    <w:rsid w:val="003B035D"/>
    <w:rsid w:val="003C1B4E"/>
    <w:rsid w:val="003C22B9"/>
    <w:rsid w:val="003D121D"/>
    <w:rsid w:val="003D39CE"/>
    <w:rsid w:val="003D42C6"/>
    <w:rsid w:val="003D7E3E"/>
    <w:rsid w:val="003E2FCD"/>
    <w:rsid w:val="003E3D2B"/>
    <w:rsid w:val="003F55A8"/>
    <w:rsid w:val="003F5747"/>
    <w:rsid w:val="004056C6"/>
    <w:rsid w:val="00407D0C"/>
    <w:rsid w:val="0041184C"/>
    <w:rsid w:val="00414257"/>
    <w:rsid w:val="004246C1"/>
    <w:rsid w:val="00424988"/>
    <w:rsid w:val="00450289"/>
    <w:rsid w:val="0045653A"/>
    <w:rsid w:val="00457990"/>
    <w:rsid w:val="004615E1"/>
    <w:rsid w:val="004652FC"/>
    <w:rsid w:val="00470CF2"/>
    <w:rsid w:val="00476F1E"/>
    <w:rsid w:val="004845FA"/>
    <w:rsid w:val="004C1235"/>
    <w:rsid w:val="004C4870"/>
    <w:rsid w:val="004C4963"/>
    <w:rsid w:val="004C4EE4"/>
    <w:rsid w:val="004C6FCA"/>
    <w:rsid w:val="004C7293"/>
    <w:rsid w:val="004D24B1"/>
    <w:rsid w:val="004D5AAE"/>
    <w:rsid w:val="004E558C"/>
    <w:rsid w:val="004E67A4"/>
    <w:rsid w:val="0050314D"/>
    <w:rsid w:val="00506012"/>
    <w:rsid w:val="00513E3A"/>
    <w:rsid w:val="00515F7F"/>
    <w:rsid w:val="00517DA8"/>
    <w:rsid w:val="00523D6F"/>
    <w:rsid w:val="00524AF0"/>
    <w:rsid w:val="00525363"/>
    <w:rsid w:val="00535B48"/>
    <w:rsid w:val="00540BF3"/>
    <w:rsid w:val="00546991"/>
    <w:rsid w:val="00555A2B"/>
    <w:rsid w:val="00562CBE"/>
    <w:rsid w:val="005758E9"/>
    <w:rsid w:val="005773C9"/>
    <w:rsid w:val="00593963"/>
    <w:rsid w:val="005956C9"/>
    <w:rsid w:val="005A16FA"/>
    <w:rsid w:val="005A4442"/>
    <w:rsid w:val="005A599F"/>
    <w:rsid w:val="005B22BB"/>
    <w:rsid w:val="005B55F1"/>
    <w:rsid w:val="005B56FB"/>
    <w:rsid w:val="005D0FFD"/>
    <w:rsid w:val="005D49DB"/>
    <w:rsid w:val="005D7722"/>
    <w:rsid w:val="005E15F5"/>
    <w:rsid w:val="005E5F4A"/>
    <w:rsid w:val="005E65B2"/>
    <w:rsid w:val="005F43D6"/>
    <w:rsid w:val="005F4C2D"/>
    <w:rsid w:val="006153B9"/>
    <w:rsid w:val="006234CD"/>
    <w:rsid w:val="0062472C"/>
    <w:rsid w:val="00632197"/>
    <w:rsid w:val="0063253C"/>
    <w:rsid w:val="0063364F"/>
    <w:rsid w:val="00674540"/>
    <w:rsid w:val="00677CC0"/>
    <w:rsid w:val="00695ACF"/>
    <w:rsid w:val="00696179"/>
    <w:rsid w:val="006A72B1"/>
    <w:rsid w:val="006B3D4F"/>
    <w:rsid w:val="006C505E"/>
    <w:rsid w:val="006D7E3E"/>
    <w:rsid w:val="006E4D36"/>
    <w:rsid w:val="006F2CFB"/>
    <w:rsid w:val="006F59D8"/>
    <w:rsid w:val="006F7F1E"/>
    <w:rsid w:val="00700BF1"/>
    <w:rsid w:val="0071583B"/>
    <w:rsid w:val="00740E55"/>
    <w:rsid w:val="007565A1"/>
    <w:rsid w:val="00767881"/>
    <w:rsid w:val="0077046C"/>
    <w:rsid w:val="00775E9A"/>
    <w:rsid w:val="00777E58"/>
    <w:rsid w:val="00784AB5"/>
    <w:rsid w:val="00797DB1"/>
    <w:rsid w:val="007C4201"/>
    <w:rsid w:val="007C7505"/>
    <w:rsid w:val="007D74B5"/>
    <w:rsid w:val="007E526B"/>
    <w:rsid w:val="007F019E"/>
    <w:rsid w:val="007F5B9F"/>
    <w:rsid w:val="007F5F75"/>
    <w:rsid w:val="00800422"/>
    <w:rsid w:val="008036FF"/>
    <w:rsid w:val="0080590A"/>
    <w:rsid w:val="008069CB"/>
    <w:rsid w:val="008071DE"/>
    <w:rsid w:val="00811100"/>
    <w:rsid w:val="00815BD6"/>
    <w:rsid w:val="00823753"/>
    <w:rsid w:val="00825722"/>
    <w:rsid w:val="00825E02"/>
    <w:rsid w:val="0082632A"/>
    <w:rsid w:val="008376C5"/>
    <w:rsid w:val="008431A6"/>
    <w:rsid w:val="00846D55"/>
    <w:rsid w:val="008473B1"/>
    <w:rsid w:val="00851B25"/>
    <w:rsid w:val="0086018D"/>
    <w:rsid w:val="00867E4F"/>
    <w:rsid w:val="0087479D"/>
    <w:rsid w:val="00877FB6"/>
    <w:rsid w:val="00880B0A"/>
    <w:rsid w:val="00885AC4"/>
    <w:rsid w:val="008B6E5F"/>
    <w:rsid w:val="008C02C4"/>
    <w:rsid w:val="008D1168"/>
    <w:rsid w:val="008D1268"/>
    <w:rsid w:val="008D1FD5"/>
    <w:rsid w:val="008D5DBE"/>
    <w:rsid w:val="008E13EF"/>
    <w:rsid w:val="008E7548"/>
    <w:rsid w:val="008F026D"/>
    <w:rsid w:val="008F082D"/>
    <w:rsid w:val="009251C4"/>
    <w:rsid w:val="00925616"/>
    <w:rsid w:val="00933B77"/>
    <w:rsid w:val="0094510E"/>
    <w:rsid w:val="00946CE7"/>
    <w:rsid w:val="00951983"/>
    <w:rsid w:val="00954F6E"/>
    <w:rsid w:val="00955A07"/>
    <w:rsid w:val="00955C93"/>
    <w:rsid w:val="00961BB4"/>
    <w:rsid w:val="0096231E"/>
    <w:rsid w:val="00963F64"/>
    <w:rsid w:val="009729B9"/>
    <w:rsid w:val="00974830"/>
    <w:rsid w:val="00980686"/>
    <w:rsid w:val="00981C54"/>
    <w:rsid w:val="00982066"/>
    <w:rsid w:val="00984265"/>
    <w:rsid w:val="009924A0"/>
    <w:rsid w:val="009956C7"/>
    <w:rsid w:val="0099601F"/>
    <w:rsid w:val="009A3BA4"/>
    <w:rsid w:val="009B5E2C"/>
    <w:rsid w:val="009C23B7"/>
    <w:rsid w:val="009D1771"/>
    <w:rsid w:val="009D2D92"/>
    <w:rsid w:val="009D486D"/>
    <w:rsid w:val="009F1134"/>
    <w:rsid w:val="009F27EC"/>
    <w:rsid w:val="009F2D80"/>
    <w:rsid w:val="00A0425E"/>
    <w:rsid w:val="00A124F0"/>
    <w:rsid w:val="00A247B4"/>
    <w:rsid w:val="00A27403"/>
    <w:rsid w:val="00A306B4"/>
    <w:rsid w:val="00A34187"/>
    <w:rsid w:val="00A35F6E"/>
    <w:rsid w:val="00A5006A"/>
    <w:rsid w:val="00A545D1"/>
    <w:rsid w:val="00A55940"/>
    <w:rsid w:val="00A61D39"/>
    <w:rsid w:val="00A70F5C"/>
    <w:rsid w:val="00A73D3B"/>
    <w:rsid w:val="00A77B20"/>
    <w:rsid w:val="00AA75BB"/>
    <w:rsid w:val="00AB0DCF"/>
    <w:rsid w:val="00AB3C3B"/>
    <w:rsid w:val="00AB5B66"/>
    <w:rsid w:val="00AC5A43"/>
    <w:rsid w:val="00AD41AE"/>
    <w:rsid w:val="00AF0C5B"/>
    <w:rsid w:val="00B061BD"/>
    <w:rsid w:val="00B073F4"/>
    <w:rsid w:val="00B25FE2"/>
    <w:rsid w:val="00B36028"/>
    <w:rsid w:val="00B4059A"/>
    <w:rsid w:val="00B42668"/>
    <w:rsid w:val="00B6073A"/>
    <w:rsid w:val="00B729A5"/>
    <w:rsid w:val="00B80DB9"/>
    <w:rsid w:val="00B8106E"/>
    <w:rsid w:val="00BA52DB"/>
    <w:rsid w:val="00BB3FC6"/>
    <w:rsid w:val="00BB5CBB"/>
    <w:rsid w:val="00BC1352"/>
    <w:rsid w:val="00BC5CA9"/>
    <w:rsid w:val="00BC678B"/>
    <w:rsid w:val="00BC6A52"/>
    <w:rsid w:val="00BD04D5"/>
    <w:rsid w:val="00BD2E5C"/>
    <w:rsid w:val="00BD71A2"/>
    <w:rsid w:val="00BE1E1C"/>
    <w:rsid w:val="00BE2E71"/>
    <w:rsid w:val="00BE741B"/>
    <w:rsid w:val="00BE7ED3"/>
    <w:rsid w:val="00BF14B0"/>
    <w:rsid w:val="00BF3FA8"/>
    <w:rsid w:val="00BF51E6"/>
    <w:rsid w:val="00BF5279"/>
    <w:rsid w:val="00C0515C"/>
    <w:rsid w:val="00C115AB"/>
    <w:rsid w:val="00C115CF"/>
    <w:rsid w:val="00C25001"/>
    <w:rsid w:val="00C350F0"/>
    <w:rsid w:val="00C370C3"/>
    <w:rsid w:val="00C42D93"/>
    <w:rsid w:val="00C527C4"/>
    <w:rsid w:val="00C55009"/>
    <w:rsid w:val="00C62ED6"/>
    <w:rsid w:val="00C6757B"/>
    <w:rsid w:val="00C749E5"/>
    <w:rsid w:val="00C91415"/>
    <w:rsid w:val="00CA2FE8"/>
    <w:rsid w:val="00CA5D7C"/>
    <w:rsid w:val="00CC4B66"/>
    <w:rsid w:val="00CC71E8"/>
    <w:rsid w:val="00CD05BF"/>
    <w:rsid w:val="00CD06B3"/>
    <w:rsid w:val="00CD4499"/>
    <w:rsid w:val="00CD776D"/>
    <w:rsid w:val="00CD7854"/>
    <w:rsid w:val="00CE730B"/>
    <w:rsid w:val="00CF09CB"/>
    <w:rsid w:val="00CF46B3"/>
    <w:rsid w:val="00CF5C97"/>
    <w:rsid w:val="00CF7786"/>
    <w:rsid w:val="00D01F1D"/>
    <w:rsid w:val="00D15BB8"/>
    <w:rsid w:val="00D15CDC"/>
    <w:rsid w:val="00D16B46"/>
    <w:rsid w:val="00D20E06"/>
    <w:rsid w:val="00D25EAF"/>
    <w:rsid w:val="00D445DB"/>
    <w:rsid w:val="00D5224E"/>
    <w:rsid w:val="00D64A51"/>
    <w:rsid w:val="00D64DE2"/>
    <w:rsid w:val="00D74733"/>
    <w:rsid w:val="00D84D66"/>
    <w:rsid w:val="00D8681B"/>
    <w:rsid w:val="00D91BCC"/>
    <w:rsid w:val="00D93B3D"/>
    <w:rsid w:val="00DA51BE"/>
    <w:rsid w:val="00DB53F7"/>
    <w:rsid w:val="00DD023E"/>
    <w:rsid w:val="00DD15C2"/>
    <w:rsid w:val="00DD5CAB"/>
    <w:rsid w:val="00DE19C4"/>
    <w:rsid w:val="00DF58E4"/>
    <w:rsid w:val="00E00E6F"/>
    <w:rsid w:val="00E1715D"/>
    <w:rsid w:val="00E23C20"/>
    <w:rsid w:val="00E2670E"/>
    <w:rsid w:val="00E26D05"/>
    <w:rsid w:val="00E27150"/>
    <w:rsid w:val="00E3196A"/>
    <w:rsid w:val="00E330B2"/>
    <w:rsid w:val="00E33E83"/>
    <w:rsid w:val="00E34BC2"/>
    <w:rsid w:val="00E40632"/>
    <w:rsid w:val="00E501EC"/>
    <w:rsid w:val="00E5223E"/>
    <w:rsid w:val="00E52E14"/>
    <w:rsid w:val="00E5476A"/>
    <w:rsid w:val="00E55C53"/>
    <w:rsid w:val="00E56C23"/>
    <w:rsid w:val="00E62947"/>
    <w:rsid w:val="00E71FAF"/>
    <w:rsid w:val="00E7515C"/>
    <w:rsid w:val="00E85581"/>
    <w:rsid w:val="00E85FEB"/>
    <w:rsid w:val="00EA2577"/>
    <w:rsid w:val="00EA3253"/>
    <w:rsid w:val="00EA48B1"/>
    <w:rsid w:val="00EB2CAA"/>
    <w:rsid w:val="00EB57DE"/>
    <w:rsid w:val="00EB7923"/>
    <w:rsid w:val="00EC4AA8"/>
    <w:rsid w:val="00ED13AA"/>
    <w:rsid w:val="00ED7DFF"/>
    <w:rsid w:val="00EE139F"/>
    <w:rsid w:val="00EF1074"/>
    <w:rsid w:val="00F01A53"/>
    <w:rsid w:val="00F03E7C"/>
    <w:rsid w:val="00F03E90"/>
    <w:rsid w:val="00F22EC0"/>
    <w:rsid w:val="00F335F3"/>
    <w:rsid w:val="00F37B06"/>
    <w:rsid w:val="00F40CF8"/>
    <w:rsid w:val="00F46FCE"/>
    <w:rsid w:val="00F507CD"/>
    <w:rsid w:val="00F53DF1"/>
    <w:rsid w:val="00F663CE"/>
    <w:rsid w:val="00F81C5E"/>
    <w:rsid w:val="00F82C5F"/>
    <w:rsid w:val="00F86D74"/>
    <w:rsid w:val="00FA0BC8"/>
    <w:rsid w:val="00FA169D"/>
    <w:rsid w:val="00FA6BFD"/>
    <w:rsid w:val="00FB25B1"/>
    <w:rsid w:val="00FB79CD"/>
    <w:rsid w:val="00FC41F7"/>
    <w:rsid w:val="00FC5EF4"/>
    <w:rsid w:val="00FD232E"/>
    <w:rsid w:val="00FD4B4F"/>
    <w:rsid w:val="00FE1465"/>
    <w:rsid w:val="00FE1BB0"/>
    <w:rsid w:val="00FE3FD3"/>
    <w:rsid w:val="00FE7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8395C"/>
  <w15:chartTrackingRefBased/>
  <w15:docId w15:val="{08863BED-CC66-442B-9F32-005D404BB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599F"/>
    <w:rPr>
      <w:sz w:val="24"/>
      <w:lang w:val="en-US" w:eastAsia="en-US"/>
    </w:rPr>
  </w:style>
  <w:style w:type="paragraph" w:styleId="Heading1">
    <w:name w:val="heading 1"/>
    <w:basedOn w:val="Normal"/>
    <w:link w:val="Heading1Char"/>
    <w:autoRedefine/>
    <w:uiPriority w:val="9"/>
    <w:qFormat/>
    <w:rsid w:val="00961BB4"/>
    <w:pPr>
      <w:spacing w:after="240"/>
      <w:jc w:val="center"/>
      <w:outlineLvl w:val="0"/>
    </w:pPr>
    <w:rPr>
      <w:rFonts w:ascii="Book Antiqua" w:hAnsi="Book Antiqua"/>
      <w:b/>
      <w:bCs/>
      <w:kern w:val="36"/>
      <w:szCs w:val="24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5A599F"/>
    <w:pPr>
      <w:keepNext/>
      <w:spacing w:before="120" w:after="120"/>
      <w:ind w:firstLine="360"/>
      <w:jc w:val="center"/>
      <w:outlineLvl w:val="1"/>
    </w:pPr>
    <w:rPr>
      <w:rFonts w:ascii="CG Times(w1)" w:hAnsi="CG Times(w1)"/>
      <w:sz w:val="32"/>
      <w:lang w:val="es-ES_tradnl"/>
    </w:rPr>
  </w:style>
  <w:style w:type="paragraph" w:styleId="Heading3">
    <w:name w:val="heading 3"/>
    <w:basedOn w:val="Normal"/>
    <w:next w:val="Normal"/>
    <w:link w:val="Heading3Char"/>
    <w:qFormat/>
    <w:rsid w:val="0050314D"/>
    <w:pPr>
      <w:keepNext/>
      <w:widowControl w:val="0"/>
      <w:suppressAutoHyphens/>
      <w:autoSpaceDE w:val="0"/>
      <w:autoSpaceDN w:val="0"/>
      <w:adjustRightInd w:val="0"/>
      <w:spacing w:line="240" w:lineRule="atLeast"/>
      <w:jc w:val="center"/>
      <w:outlineLvl w:val="2"/>
    </w:pPr>
    <w:rPr>
      <w:rFonts w:ascii="CG Times" w:hAnsi="CG Times"/>
      <w:b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314D"/>
    <w:rPr>
      <w:sz w:val="24"/>
      <w:lang w:val="es-ES" w:eastAsia="en-US"/>
    </w:rPr>
  </w:style>
  <w:style w:type="paragraph" w:customStyle="1" w:styleId="Style1">
    <w:name w:val="Style1"/>
    <w:basedOn w:val="Normal"/>
    <w:link w:val="Style1Char"/>
    <w:autoRedefine/>
    <w:rsid w:val="00204060"/>
  </w:style>
  <w:style w:type="character" w:customStyle="1" w:styleId="Style1Char">
    <w:name w:val="Style1 Char"/>
    <w:basedOn w:val="DefaultParagraphFont"/>
    <w:link w:val="Style1"/>
    <w:rsid w:val="00204060"/>
  </w:style>
  <w:style w:type="character" w:customStyle="1" w:styleId="Heading1Char">
    <w:name w:val="Heading 1 Char"/>
    <w:link w:val="Heading1"/>
    <w:uiPriority w:val="9"/>
    <w:rsid w:val="00961BB4"/>
    <w:rPr>
      <w:rFonts w:ascii="Book Antiqua" w:hAnsi="Book Antiqua"/>
      <w:b/>
      <w:bCs/>
      <w:kern w:val="36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50314D"/>
    <w:rPr>
      <w:b/>
      <w:bCs/>
    </w:rPr>
  </w:style>
  <w:style w:type="character" w:styleId="Emphasis">
    <w:name w:val="Emphasis"/>
    <w:uiPriority w:val="20"/>
    <w:qFormat/>
    <w:rsid w:val="0050314D"/>
    <w:rPr>
      <w:i/>
      <w:iCs/>
    </w:rPr>
  </w:style>
  <w:style w:type="character" w:customStyle="1" w:styleId="Heading3Char">
    <w:name w:val="Heading 3 Char"/>
    <w:link w:val="Heading3"/>
    <w:rsid w:val="0050314D"/>
    <w:rPr>
      <w:rFonts w:ascii="CG Times" w:hAnsi="CG Times"/>
      <w:b/>
      <w:sz w:val="24"/>
      <w:lang w:val="es-ES" w:eastAsia="en-US"/>
    </w:rPr>
  </w:style>
  <w:style w:type="paragraph" w:styleId="ListParagraph">
    <w:name w:val="List Paragraph"/>
    <w:basedOn w:val="Normal"/>
    <w:uiPriority w:val="34"/>
    <w:qFormat/>
    <w:rsid w:val="0050314D"/>
    <w:pPr>
      <w:ind w:left="720"/>
      <w:contextualSpacing/>
    </w:pPr>
  </w:style>
  <w:style w:type="character" w:customStyle="1" w:styleId="Heading2Char">
    <w:name w:val="Heading 2 Char"/>
    <w:link w:val="Heading2"/>
    <w:rsid w:val="005A599F"/>
    <w:rPr>
      <w:rFonts w:ascii="CG Times(w1)" w:hAnsi="CG Times(w1)"/>
      <w:sz w:val="32"/>
      <w:lang w:val="es-ES_tradnl" w:eastAsia="en-US"/>
    </w:rPr>
  </w:style>
  <w:style w:type="paragraph" w:customStyle="1" w:styleId="Title2">
    <w:name w:val="Title2"/>
    <w:basedOn w:val="Normal"/>
    <w:next w:val="Normal"/>
    <w:rsid w:val="005A599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5A599F"/>
    <w:pPr>
      <w:tabs>
        <w:tab w:val="center" w:pos="4320"/>
        <w:tab w:val="right" w:pos="8640"/>
      </w:tabs>
    </w:pPr>
    <w:rPr>
      <w:lang w:val="x-none" w:eastAsia="ja-JP"/>
    </w:rPr>
  </w:style>
  <w:style w:type="character" w:customStyle="1" w:styleId="HeaderChar">
    <w:name w:val="Header Char"/>
    <w:link w:val="Header"/>
    <w:rsid w:val="005A599F"/>
    <w:rPr>
      <w:sz w:val="24"/>
      <w:lang w:eastAsia="ja-JP"/>
    </w:rPr>
  </w:style>
  <w:style w:type="character" w:styleId="PageNumber">
    <w:name w:val="page number"/>
    <w:basedOn w:val="DefaultParagraphFont"/>
    <w:rsid w:val="005A599F"/>
  </w:style>
  <w:style w:type="paragraph" w:styleId="NormalWeb">
    <w:name w:val="Normal (Web)"/>
    <w:basedOn w:val="Normal"/>
    <w:uiPriority w:val="99"/>
    <w:unhideWhenUsed/>
    <w:rsid w:val="005A599F"/>
    <w:pPr>
      <w:spacing w:before="100" w:beforeAutospacing="1" w:after="100" w:afterAutospacing="1"/>
    </w:pPr>
    <w:rPr>
      <w:szCs w:val="24"/>
      <w:lang w:val="es-PR" w:eastAsia="es-PR"/>
    </w:rPr>
  </w:style>
  <w:style w:type="character" w:styleId="LineNumber">
    <w:name w:val="line number"/>
    <w:basedOn w:val="DefaultParagraphFont"/>
    <w:uiPriority w:val="99"/>
    <w:semiHidden/>
    <w:unhideWhenUsed/>
    <w:rsid w:val="005A599F"/>
  </w:style>
  <w:style w:type="character" w:customStyle="1" w:styleId="hps">
    <w:name w:val="hps"/>
    <w:basedOn w:val="DefaultParagraphFont"/>
    <w:rsid w:val="005A599F"/>
  </w:style>
  <w:style w:type="paragraph" w:styleId="BalloonText">
    <w:name w:val="Balloon Text"/>
    <w:basedOn w:val="Normal"/>
    <w:link w:val="BalloonTextChar"/>
    <w:uiPriority w:val="99"/>
    <w:semiHidden/>
    <w:unhideWhenUsed/>
    <w:rsid w:val="00B360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36028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3253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3253C"/>
    <w:rPr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6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90fddd-4e87-4e08-8b51-545f2a3f7b06" xsi:nil="true"/>
    <lcf76f155ced4ddcb4097134ff3c332f xmlns="f29de0d1-023e-4363-82d3-bb472b30be6a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  <_dlc_DocId xmlns="c890fddd-4e87-4e08-8b51-545f2a3f7b06">4SQX5P7U7WPY-958212181-821124</_dlc_DocId>
    <_dlc_DocIdUrl xmlns="c890fddd-4e87-4e08-8b51-545f2a3f7b06">
      <Url>https://senpr.sharepoint.com/sites/obralegislativa/_layouts/15/DocIdRedir.aspx?ID=4SQX5P7U7WPY-958212181-821124</Url>
      <Description>4SQX5P7U7WPY-958212181-821124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52054d382697ea9840fa66179a8cb1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130b861ca5aabc50b2ad887b8fc7b931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414E617-BFAB-48B0-BB25-BDD7276985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5C2C12-6285-4799-80BB-5BD318FB3E07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3.xml><?xml version="1.0" encoding="utf-8"?>
<ds:datastoreItem xmlns:ds="http://schemas.openxmlformats.org/officeDocument/2006/customXml" ds:itemID="{53C98EFA-E004-4D7E-BABF-EC22D55EF4DF}"/>
</file>

<file path=customXml/itemProps4.xml><?xml version="1.0" encoding="utf-8"?>
<ds:datastoreItem xmlns:ds="http://schemas.openxmlformats.org/officeDocument/2006/customXml" ds:itemID="{B851E5E7-E3B0-4867-8DD5-7B25A7E41FA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BA6D145-CEFF-4C76-B909-02E2BF913F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LEY</vt:lpstr>
      <vt:lpstr/>
      <vt:lpstr>    EXPOSICIÓN DE MOTIVOS</vt:lpstr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Marieyoeida</dc:creator>
  <cp:keywords/>
  <cp:lastModifiedBy>Heriberto Vázquez González (Trámites y Récords)</cp:lastModifiedBy>
  <cp:revision>36</cp:revision>
  <cp:lastPrinted>2025-09-02T13:56:00Z</cp:lastPrinted>
  <dcterms:created xsi:type="dcterms:W3CDTF">2025-11-10T14:16:00Z</dcterms:created>
  <dcterms:modified xsi:type="dcterms:W3CDTF">2025-11-10T20:50:00Z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0x0101008C58FC75B682744FB4A53C756BEDC3A3</vt:lpwstr>
  </property>
  <property fmtid="{D5CDD505-2E9C-101B-9397-08002B2CF9AE}" pid="4" name="_dlc_DocIdItemGuid">
    <vt:lpwstr>8d147aec-3924-4b66-a97d-48b0cb08bbd4</vt:lpwstr>
  </property>
</Properties>
</file>