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15DA7" w14:textId="77777777" w:rsidR="00506D59" w:rsidRDefault="00506D59" w:rsidP="00384C04">
      <w:pPr>
        <w:suppressLineNumbers/>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70D2A070" w14:textId="77777777" w:rsidR="00384C04" w:rsidRPr="003317B7" w:rsidRDefault="00384C04" w:rsidP="00384C04">
      <w:pPr>
        <w:suppressLineNumbers/>
        <w:jc w:val="center"/>
        <w:rPr>
          <w:rFonts w:ascii="Book Antiqua" w:hAnsi="Book Antiqua"/>
          <w:sz w:val="36"/>
          <w:szCs w:val="36"/>
          <w:lang w:val="es-PR"/>
        </w:rPr>
      </w:pPr>
      <w:r w:rsidRPr="003317B7">
        <w:rPr>
          <w:rFonts w:ascii="Book Antiqua" w:hAnsi="Book Antiqua"/>
          <w:sz w:val="36"/>
          <w:szCs w:val="36"/>
          <w:lang w:val="es-PR"/>
        </w:rPr>
        <w:t>GOBIERNO DE PUERTO RICO</w:t>
      </w:r>
    </w:p>
    <w:p w14:paraId="5B61E18C" w14:textId="77777777" w:rsidR="00384C04" w:rsidRPr="003317B7" w:rsidRDefault="00384C04" w:rsidP="00384C04">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384C04" w:rsidRPr="003317B7" w14:paraId="50BB8400" w14:textId="77777777" w:rsidTr="006D7E3E">
        <w:tc>
          <w:tcPr>
            <w:tcW w:w="2243" w:type="dxa"/>
          </w:tcPr>
          <w:p w14:paraId="5516913F" w14:textId="77777777" w:rsidR="00384C04" w:rsidRPr="003317B7" w:rsidRDefault="00384C04" w:rsidP="006D7E3E">
            <w:pPr>
              <w:rPr>
                <w:rFonts w:ascii="Book Antiqua" w:hAnsi="Book Antiqua"/>
                <w:sz w:val="20"/>
                <w:szCs w:val="24"/>
                <w:lang w:val="es-ES_tradnl" w:eastAsia="es-PR"/>
              </w:rPr>
            </w:pPr>
            <w:bookmarkStart w:id="0" w:name="_Hlk85213220"/>
          </w:p>
          <w:p w14:paraId="5DCF1279" w14:textId="77777777" w:rsidR="00384C04" w:rsidRPr="003317B7" w:rsidRDefault="00384C04" w:rsidP="006D7E3E">
            <w:pPr>
              <w:rPr>
                <w:rFonts w:ascii="Book Antiqua" w:hAnsi="Book Antiqua"/>
                <w:sz w:val="20"/>
                <w:szCs w:val="24"/>
                <w:lang w:val="es-ES_tradnl" w:eastAsia="es-PR"/>
              </w:rPr>
            </w:pPr>
            <w:r w:rsidRPr="003317B7">
              <w:rPr>
                <w:rFonts w:ascii="Book Antiqua" w:hAnsi="Book Antiqua"/>
                <w:szCs w:val="24"/>
                <w:lang w:val="es-ES_tradnl" w:eastAsia="es-PR"/>
              </w:rPr>
              <w:t>20</w:t>
            </w:r>
            <w:r w:rsidRPr="003317B7">
              <w:rPr>
                <w:rFonts w:ascii="Book Antiqua" w:hAnsi="Book Antiqua"/>
                <w:szCs w:val="24"/>
                <w:vertAlign w:val="superscript"/>
                <w:lang w:val="es-ES_tradnl" w:eastAsia="es-PR"/>
              </w:rPr>
              <w:t xml:space="preserve">ma. </w:t>
            </w:r>
            <w:r w:rsidRPr="003317B7">
              <w:rPr>
                <w:rFonts w:ascii="Book Antiqua" w:hAnsi="Book Antiqua"/>
                <w:szCs w:val="24"/>
                <w:lang w:val="es-ES_tradnl" w:eastAsia="es-PR"/>
              </w:rPr>
              <w:t xml:space="preserve">Asamblea </w:t>
            </w:r>
          </w:p>
          <w:p w14:paraId="6C049E12" w14:textId="77777777" w:rsidR="00384C04" w:rsidRPr="003317B7" w:rsidRDefault="00384C04" w:rsidP="006D7E3E">
            <w:pPr>
              <w:jc w:val="center"/>
              <w:rPr>
                <w:rFonts w:ascii="Book Antiqua" w:hAnsi="Book Antiqua"/>
                <w:szCs w:val="24"/>
                <w:lang w:val="es-ES_tradnl" w:eastAsia="es-PR"/>
              </w:rPr>
            </w:pPr>
            <w:r w:rsidRPr="003317B7">
              <w:rPr>
                <w:rFonts w:ascii="Book Antiqua" w:hAnsi="Book Antiqua"/>
                <w:sz w:val="20"/>
                <w:szCs w:val="24"/>
                <w:lang w:val="es-ES_tradnl" w:eastAsia="es-PR"/>
              </w:rPr>
              <w:t xml:space="preserve">       </w:t>
            </w:r>
            <w:r w:rsidRPr="003317B7">
              <w:rPr>
                <w:rFonts w:ascii="Book Antiqua" w:hAnsi="Book Antiqua"/>
                <w:szCs w:val="24"/>
                <w:lang w:val="es-ES_tradnl" w:eastAsia="es-PR"/>
              </w:rPr>
              <w:t>Legislativa</w:t>
            </w:r>
          </w:p>
        </w:tc>
        <w:tc>
          <w:tcPr>
            <w:tcW w:w="4098" w:type="dxa"/>
            <w:hideMark/>
          </w:tcPr>
          <w:p w14:paraId="08310AE2" w14:textId="77777777" w:rsidR="00384C04" w:rsidRPr="003317B7" w:rsidRDefault="00384C04" w:rsidP="006D7E3E">
            <w:pPr>
              <w:jc w:val="center"/>
              <w:rPr>
                <w:rFonts w:ascii="Book Antiqua" w:hAnsi="Book Antiqua"/>
                <w:noProof/>
                <w:sz w:val="20"/>
                <w:lang w:val="es-PR" w:eastAsia="es-PR"/>
              </w:rPr>
            </w:pPr>
          </w:p>
          <w:p w14:paraId="5C7B3AC5" w14:textId="77777777" w:rsidR="00384C04" w:rsidRPr="003317B7" w:rsidRDefault="00384C04" w:rsidP="006D7E3E">
            <w:pPr>
              <w:jc w:val="center"/>
              <w:rPr>
                <w:rFonts w:ascii="Book Antiqua" w:hAnsi="Book Antiqua"/>
                <w:noProof/>
                <w:sz w:val="20"/>
                <w:lang w:val="es-PR" w:eastAsia="es-PR"/>
              </w:rPr>
            </w:pPr>
          </w:p>
          <w:p w14:paraId="7E8A7A05" w14:textId="77777777" w:rsidR="00384C04" w:rsidRPr="003317B7" w:rsidRDefault="00384C04" w:rsidP="006D7E3E">
            <w:pPr>
              <w:jc w:val="center"/>
              <w:rPr>
                <w:rFonts w:ascii="Book Antiqua" w:hAnsi="Book Antiqua"/>
                <w:noProof/>
                <w:sz w:val="20"/>
                <w:lang w:val="es-PR" w:eastAsia="es-PR"/>
              </w:rPr>
            </w:pPr>
          </w:p>
          <w:p w14:paraId="21780595" w14:textId="77777777" w:rsidR="00384C04" w:rsidRPr="003317B7" w:rsidRDefault="00384C04" w:rsidP="006D7E3E">
            <w:pPr>
              <w:jc w:val="center"/>
              <w:rPr>
                <w:rFonts w:ascii="Book Antiqua" w:hAnsi="Book Antiqua"/>
                <w:noProof/>
                <w:sz w:val="20"/>
                <w:lang w:val="es-PR" w:eastAsia="es-PR"/>
              </w:rPr>
            </w:pPr>
          </w:p>
          <w:p w14:paraId="147AF109" w14:textId="77777777" w:rsidR="00384C04" w:rsidRPr="003317B7" w:rsidRDefault="00384C04" w:rsidP="006D7E3E">
            <w:pPr>
              <w:jc w:val="center"/>
              <w:rPr>
                <w:rFonts w:ascii="Book Antiqua" w:hAnsi="Book Antiqua"/>
                <w:noProof/>
                <w:sz w:val="20"/>
                <w:lang w:val="es-PR" w:eastAsia="es-PR"/>
              </w:rPr>
            </w:pPr>
          </w:p>
          <w:p w14:paraId="4B7D99D2" w14:textId="77777777" w:rsidR="00384C04" w:rsidRPr="003317B7" w:rsidRDefault="00384C04" w:rsidP="006D7E3E">
            <w:pPr>
              <w:jc w:val="center"/>
              <w:rPr>
                <w:rFonts w:ascii="Book Antiqua" w:hAnsi="Book Antiqua"/>
                <w:sz w:val="16"/>
                <w:szCs w:val="16"/>
                <w:lang w:val="es-ES_tradnl" w:eastAsia="es-PR"/>
              </w:rPr>
            </w:pPr>
          </w:p>
        </w:tc>
        <w:tc>
          <w:tcPr>
            <w:tcW w:w="3199" w:type="dxa"/>
          </w:tcPr>
          <w:p w14:paraId="2C82E5EE" w14:textId="77777777" w:rsidR="00384C04" w:rsidRPr="003317B7" w:rsidRDefault="00384C04" w:rsidP="006D7E3E">
            <w:pPr>
              <w:jc w:val="right"/>
              <w:rPr>
                <w:rFonts w:ascii="Book Antiqua" w:hAnsi="Book Antiqua"/>
                <w:szCs w:val="24"/>
                <w:lang w:val="es-ES_tradnl" w:eastAsia="es-PR"/>
              </w:rPr>
            </w:pPr>
          </w:p>
          <w:p w14:paraId="34BBB0BB" w14:textId="77777777" w:rsidR="00384C04" w:rsidRPr="003317B7" w:rsidRDefault="00384C04" w:rsidP="006D7E3E">
            <w:pPr>
              <w:jc w:val="center"/>
              <w:rPr>
                <w:rFonts w:ascii="Book Antiqua" w:hAnsi="Book Antiqua"/>
                <w:szCs w:val="24"/>
                <w:lang w:val="es-ES_tradnl" w:eastAsia="es-PR"/>
              </w:rPr>
            </w:pPr>
            <w:r w:rsidRPr="003317B7">
              <w:rPr>
                <w:rFonts w:ascii="Book Antiqua" w:hAnsi="Book Antiqua"/>
                <w:szCs w:val="24"/>
                <w:lang w:val="es-ES_tradnl" w:eastAsia="es-PR"/>
              </w:rPr>
              <w:t xml:space="preserve">                    1</w:t>
            </w:r>
            <w:r w:rsidRPr="003317B7">
              <w:rPr>
                <w:rFonts w:ascii="Book Antiqua" w:hAnsi="Book Antiqua"/>
                <w:szCs w:val="24"/>
                <w:vertAlign w:val="superscript"/>
                <w:lang w:val="es-ES_tradnl" w:eastAsia="es-PR"/>
              </w:rPr>
              <w:t>ra.</w:t>
            </w:r>
            <w:r w:rsidRPr="003317B7">
              <w:rPr>
                <w:rFonts w:ascii="Book Antiqua" w:hAnsi="Book Antiqua"/>
                <w:sz w:val="20"/>
                <w:szCs w:val="24"/>
                <w:vertAlign w:val="superscript"/>
                <w:lang w:val="es-ES_tradnl" w:eastAsia="es-PR"/>
              </w:rPr>
              <w:t xml:space="preserve"> </w:t>
            </w:r>
            <w:r w:rsidRPr="003317B7">
              <w:rPr>
                <w:rFonts w:ascii="Book Antiqua" w:hAnsi="Book Antiqua"/>
                <w:szCs w:val="24"/>
                <w:lang w:val="es-ES_tradnl" w:eastAsia="es-PR"/>
              </w:rPr>
              <w:t>Sesión</w:t>
            </w:r>
          </w:p>
          <w:p w14:paraId="1F77C489" w14:textId="77777777" w:rsidR="00384C04" w:rsidRPr="003317B7" w:rsidRDefault="00384C04" w:rsidP="006D7E3E">
            <w:pPr>
              <w:jc w:val="right"/>
              <w:rPr>
                <w:rFonts w:ascii="Book Antiqua" w:hAnsi="Book Antiqua"/>
                <w:szCs w:val="24"/>
                <w:lang w:val="es-ES_tradnl" w:eastAsia="es-PR"/>
              </w:rPr>
            </w:pPr>
            <w:r w:rsidRPr="003317B7">
              <w:rPr>
                <w:rFonts w:ascii="Book Antiqua" w:hAnsi="Book Antiqua"/>
                <w:szCs w:val="24"/>
                <w:lang w:val="es-ES_tradnl" w:eastAsia="es-PR"/>
              </w:rPr>
              <w:t xml:space="preserve"> Ordinaria</w:t>
            </w:r>
          </w:p>
        </w:tc>
      </w:tr>
    </w:tbl>
    <w:bookmarkEnd w:id="0"/>
    <w:p w14:paraId="44C3D1BC" w14:textId="77777777" w:rsidR="00384C04" w:rsidRPr="003317B7" w:rsidRDefault="00384C04" w:rsidP="001472B9">
      <w:pPr>
        <w:suppressLineNumbers/>
        <w:spacing w:line="360" w:lineRule="auto"/>
        <w:jc w:val="center"/>
        <w:rPr>
          <w:rFonts w:ascii="Book Antiqua" w:hAnsi="Book Antiqua"/>
          <w:b/>
          <w:bCs/>
          <w:sz w:val="36"/>
          <w:szCs w:val="36"/>
          <w:lang w:val="es-PR"/>
        </w:rPr>
      </w:pPr>
      <w:r w:rsidRPr="003317B7">
        <w:rPr>
          <w:rFonts w:ascii="Book Antiqua" w:hAnsi="Book Antiqua"/>
          <w:b/>
          <w:bCs/>
          <w:sz w:val="36"/>
          <w:szCs w:val="36"/>
          <w:lang w:val="es-PR"/>
        </w:rPr>
        <w:t>SENADO DE PUERTO RICO</w:t>
      </w:r>
    </w:p>
    <w:p w14:paraId="2751FC0E" w14:textId="77777777" w:rsidR="00384C04" w:rsidRPr="003317B7" w:rsidRDefault="00384C04" w:rsidP="001472B9">
      <w:pPr>
        <w:suppressLineNumbers/>
        <w:spacing w:line="360" w:lineRule="auto"/>
        <w:jc w:val="center"/>
        <w:rPr>
          <w:rFonts w:ascii="Book Antiqua" w:hAnsi="Book Antiqua"/>
          <w:b/>
          <w:bCs/>
          <w:sz w:val="52"/>
          <w:szCs w:val="52"/>
          <w:lang w:val="es-PR"/>
        </w:rPr>
      </w:pPr>
      <w:r w:rsidRPr="003317B7">
        <w:rPr>
          <w:rFonts w:ascii="Book Antiqua" w:hAnsi="Book Antiqua"/>
          <w:b/>
          <w:bCs/>
          <w:sz w:val="52"/>
          <w:szCs w:val="52"/>
          <w:lang w:val="es-PR"/>
        </w:rPr>
        <w:t xml:space="preserve">P. del S. </w:t>
      </w:r>
      <w:r w:rsidR="001472B9">
        <w:rPr>
          <w:rFonts w:ascii="Book Antiqua" w:hAnsi="Book Antiqua"/>
          <w:b/>
          <w:bCs/>
          <w:sz w:val="52"/>
          <w:szCs w:val="52"/>
          <w:lang w:val="es-PR"/>
        </w:rPr>
        <w:t>37</w:t>
      </w:r>
    </w:p>
    <w:p w14:paraId="0F3F6800" w14:textId="77777777" w:rsidR="00384C04" w:rsidRPr="003317B7" w:rsidRDefault="005F4C2D" w:rsidP="001472B9">
      <w:pPr>
        <w:spacing w:line="360" w:lineRule="auto"/>
        <w:jc w:val="center"/>
        <w:rPr>
          <w:rFonts w:ascii="Book Antiqua" w:hAnsi="Book Antiqua"/>
          <w:lang w:val="es-ES_tradnl"/>
        </w:rPr>
      </w:pPr>
      <w:r w:rsidRPr="003317B7">
        <w:rPr>
          <w:rFonts w:ascii="Book Antiqua" w:hAnsi="Book Antiqua"/>
          <w:lang w:val="es-ES_tradnl"/>
        </w:rPr>
        <w:t>2</w:t>
      </w:r>
      <w:r w:rsidR="00384C04" w:rsidRPr="003317B7">
        <w:rPr>
          <w:rFonts w:ascii="Book Antiqua" w:hAnsi="Book Antiqua"/>
          <w:lang w:val="es-ES_tradnl"/>
        </w:rPr>
        <w:t xml:space="preserve"> de enero de 2025</w:t>
      </w:r>
    </w:p>
    <w:p w14:paraId="0E858359" w14:textId="77777777" w:rsidR="00E153EF" w:rsidRDefault="00384C04" w:rsidP="001472B9">
      <w:pPr>
        <w:spacing w:line="360" w:lineRule="auto"/>
        <w:jc w:val="center"/>
        <w:rPr>
          <w:rFonts w:ascii="Book Antiqua" w:hAnsi="Book Antiqua"/>
          <w:i/>
          <w:lang w:val="es-ES_tradnl"/>
        </w:rPr>
      </w:pPr>
      <w:r w:rsidRPr="003317B7">
        <w:rPr>
          <w:rFonts w:ascii="Book Antiqua" w:hAnsi="Book Antiqua"/>
          <w:lang w:val="es-ES_tradnl"/>
        </w:rPr>
        <w:t xml:space="preserve">Presentado por el señor </w:t>
      </w:r>
      <w:r w:rsidRPr="003317B7">
        <w:rPr>
          <w:rFonts w:ascii="Book Antiqua" w:hAnsi="Book Antiqua"/>
          <w:i/>
          <w:lang w:val="es-ES_tradnl"/>
        </w:rPr>
        <w:t>Rivera Schatz</w:t>
      </w:r>
    </w:p>
    <w:p w14:paraId="330C9B6A" w14:textId="77777777" w:rsidR="00384C04" w:rsidRPr="003317B7" w:rsidRDefault="00E153EF" w:rsidP="001472B9">
      <w:pPr>
        <w:spacing w:line="360" w:lineRule="auto"/>
        <w:jc w:val="center"/>
        <w:rPr>
          <w:rFonts w:ascii="Book Antiqua" w:hAnsi="Book Antiqua"/>
          <w:i/>
          <w:lang w:val="es-ES_tradnl"/>
        </w:rPr>
      </w:pPr>
      <w:r>
        <w:rPr>
          <w:rFonts w:ascii="Book Antiqua" w:hAnsi="Book Antiqua"/>
          <w:i/>
          <w:lang w:val="es-ES_tradnl"/>
        </w:rPr>
        <w:t>Coautores las señoras Barlucea Rodríguez, Pérez Soto; y el señor Reyes Berríos</w:t>
      </w:r>
      <w:r w:rsidR="00384C04" w:rsidRPr="003317B7">
        <w:rPr>
          <w:rFonts w:ascii="Book Antiqua" w:hAnsi="Book Antiqua"/>
          <w:i/>
          <w:lang w:val="es-ES_tradnl"/>
        </w:rPr>
        <w:t xml:space="preserve">     </w:t>
      </w:r>
    </w:p>
    <w:p w14:paraId="05B30030" w14:textId="77777777" w:rsidR="007B156F" w:rsidRDefault="007B156F" w:rsidP="007B156F">
      <w:pPr>
        <w:jc w:val="center"/>
        <w:rPr>
          <w:i/>
          <w:iCs/>
          <w:szCs w:val="24"/>
          <w:lang w:val="es-419"/>
        </w:rPr>
      </w:pPr>
      <w:r w:rsidRPr="003317B7">
        <w:rPr>
          <w:rFonts w:ascii="Book Antiqua" w:hAnsi="Book Antiqua"/>
          <w:i/>
          <w:iCs/>
          <w:lang w:val="es-ES_tradnl"/>
        </w:rPr>
        <w:t xml:space="preserve">Referido a </w:t>
      </w:r>
      <w:r>
        <w:rPr>
          <w:rFonts w:ascii="Book Antiqua" w:hAnsi="Book Antiqua"/>
          <w:i/>
          <w:iCs/>
          <w:lang w:val="es-ES_tradnl"/>
        </w:rPr>
        <w:t xml:space="preserve">la </w:t>
      </w:r>
      <w:r w:rsidRPr="00BC5CA9">
        <w:rPr>
          <w:rFonts w:ascii="Book Antiqua" w:hAnsi="Book Antiqua"/>
          <w:i/>
          <w:iCs/>
          <w:lang w:val="es-ES_tradnl"/>
        </w:rPr>
        <w:t>Comisión de lo Jurídico</w:t>
      </w:r>
    </w:p>
    <w:p w14:paraId="3F1ADA46" w14:textId="77777777" w:rsidR="005A599F" w:rsidRPr="009E115C" w:rsidRDefault="00384C04" w:rsidP="009E115C">
      <w:pPr>
        <w:pStyle w:val="Heading1"/>
      </w:pPr>
      <w:r w:rsidRPr="009E115C">
        <w:t>LEY</w:t>
      </w:r>
    </w:p>
    <w:p w14:paraId="0434890C" w14:textId="77777777" w:rsidR="005A599F" w:rsidRPr="00650C77" w:rsidRDefault="005A599F" w:rsidP="003343CD">
      <w:pPr>
        <w:ind w:left="540" w:hanging="540"/>
        <w:jc w:val="both"/>
        <w:rPr>
          <w:rFonts w:ascii="Book Antiqua" w:hAnsi="Book Antiqua"/>
          <w:lang w:val="es-PR"/>
        </w:rPr>
      </w:pPr>
      <w:r w:rsidRPr="00650C77">
        <w:rPr>
          <w:rFonts w:ascii="Book Antiqua" w:hAnsi="Book Antiqua"/>
          <w:lang w:val="es-ES_tradnl"/>
        </w:rPr>
        <w:t xml:space="preserve">Para </w:t>
      </w:r>
      <w:r w:rsidR="005A16FA" w:rsidRPr="00650C77">
        <w:rPr>
          <w:rFonts w:ascii="Book Antiqua" w:hAnsi="Book Antiqua"/>
          <w:lang w:val="es-ES_tradnl"/>
        </w:rPr>
        <w:t>enmendar</w:t>
      </w:r>
      <w:r w:rsidR="005D49DB" w:rsidRPr="00650C77">
        <w:rPr>
          <w:rFonts w:ascii="Book Antiqua" w:hAnsi="Book Antiqua"/>
          <w:lang w:val="es-ES_tradnl"/>
        </w:rPr>
        <w:t xml:space="preserve"> </w:t>
      </w:r>
      <w:r w:rsidR="001E33B1" w:rsidRPr="00650C77">
        <w:rPr>
          <w:rFonts w:ascii="Book Antiqua" w:hAnsi="Book Antiqua"/>
          <w:lang w:val="es-ES_tradnl"/>
        </w:rPr>
        <w:t xml:space="preserve">los sub-incisos (g) y (h) del inciso 10 del Artículo 7 </w:t>
      </w:r>
      <w:r w:rsidR="005D49DB" w:rsidRPr="00650C77">
        <w:rPr>
          <w:rFonts w:ascii="Book Antiqua" w:hAnsi="Book Antiqua"/>
          <w:lang w:val="es-ES_tradnl"/>
        </w:rPr>
        <w:t xml:space="preserve">de la </w:t>
      </w:r>
      <w:r w:rsidR="00795721" w:rsidRPr="00650C77">
        <w:rPr>
          <w:rFonts w:ascii="Book Antiqua" w:hAnsi="Book Antiqua"/>
          <w:lang w:val="es-PR"/>
        </w:rPr>
        <w:t xml:space="preserve">Ley </w:t>
      </w:r>
      <w:r w:rsidR="001E33B1" w:rsidRPr="00650C77">
        <w:rPr>
          <w:rFonts w:ascii="Book Antiqua" w:hAnsi="Book Antiqua"/>
          <w:lang w:val="es-PR"/>
        </w:rPr>
        <w:t>430-2000</w:t>
      </w:r>
      <w:r w:rsidR="00795721" w:rsidRPr="00650C77">
        <w:rPr>
          <w:rFonts w:ascii="Book Antiqua" w:hAnsi="Book Antiqua"/>
          <w:lang w:val="es-PR"/>
        </w:rPr>
        <w:t>, según enmendad</w:t>
      </w:r>
      <w:r w:rsidR="00407D0C" w:rsidRPr="00650C77">
        <w:rPr>
          <w:rFonts w:ascii="Book Antiqua" w:hAnsi="Book Antiqua"/>
          <w:lang w:val="es-PR"/>
        </w:rPr>
        <w:t>a</w:t>
      </w:r>
      <w:r w:rsidR="00330132" w:rsidRPr="00650C77">
        <w:rPr>
          <w:rFonts w:ascii="Book Antiqua" w:hAnsi="Book Antiqua"/>
          <w:lang w:val="es-PR"/>
        </w:rPr>
        <w:t>, conocida como</w:t>
      </w:r>
      <w:r w:rsidR="00407D0C" w:rsidRPr="00650C77">
        <w:rPr>
          <w:rFonts w:ascii="Book Antiqua" w:hAnsi="Book Antiqua"/>
          <w:lang w:val="es-PR"/>
        </w:rPr>
        <w:t xml:space="preserve"> </w:t>
      </w:r>
      <w:r w:rsidR="00795721" w:rsidRPr="00650C77">
        <w:rPr>
          <w:rFonts w:ascii="Book Antiqua" w:hAnsi="Book Antiqua"/>
          <w:lang w:val="es-PR"/>
        </w:rPr>
        <w:t>“Ley de Navegación y Seguridad Acuática de Puerto Rico</w:t>
      </w:r>
      <w:r w:rsidR="005D49DB" w:rsidRPr="00650C77">
        <w:rPr>
          <w:rFonts w:ascii="Book Antiqua" w:hAnsi="Book Antiqua"/>
          <w:lang w:val="es-ES_tradnl"/>
        </w:rPr>
        <w:t>”</w:t>
      </w:r>
      <w:r w:rsidR="00D53CEB">
        <w:rPr>
          <w:rFonts w:ascii="Book Antiqua" w:hAnsi="Book Antiqua"/>
          <w:lang w:val="es-ES_tradnl"/>
        </w:rPr>
        <w:t>,</w:t>
      </w:r>
      <w:r w:rsidR="005D49DB" w:rsidRPr="00650C77">
        <w:rPr>
          <w:rFonts w:ascii="Book Antiqua" w:hAnsi="Book Antiqua"/>
          <w:lang w:val="es-ES_tradnl"/>
        </w:rPr>
        <w:t xml:space="preserve"> </w:t>
      </w:r>
      <w:r w:rsidR="00FC41F7" w:rsidRPr="00650C77">
        <w:rPr>
          <w:rFonts w:ascii="Book Antiqua" w:hAnsi="Book Antiqua"/>
          <w:lang w:val="es-ES_tradnl"/>
        </w:rPr>
        <w:t xml:space="preserve">a los fines de atemperar sus disposiciones y delitos al sistema de penas establecido en la </w:t>
      </w:r>
      <w:r w:rsidR="00FC41F7" w:rsidRPr="00650C77">
        <w:rPr>
          <w:rFonts w:ascii="Book Antiqua" w:hAnsi="Book Antiqua"/>
          <w:lang w:val="es-PR"/>
        </w:rPr>
        <w:t xml:space="preserve">Ley </w:t>
      </w:r>
      <w:r w:rsidR="001E33B1" w:rsidRPr="00650C77">
        <w:rPr>
          <w:rFonts w:ascii="Book Antiqua" w:hAnsi="Book Antiqua"/>
          <w:lang w:val="es-PR"/>
        </w:rPr>
        <w:t>146-2012</w:t>
      </w:r>
      <w:r w:rsidR="00FC41F7" w:rsidRPr="00650C77">
        <w:rPr>
          <w:rFonts w:ascii="Book Antiqua" w:hAnsi="Book Antiqua"/>
          <w:lang w:val="es-PR"/>
        </w:rPr>
        <w:t>, según enmendada, conocida como “Código Penal de Puerto Rico</w:t>
      </w:r>
      <w:r w:rsidR="005D49DB" w:rsidRPr="00650C77">
        <w:rPr>
          <w:rFonts w:ascii="Book Antiqua" w:hAnsi="Book Antiqua"/>
          <w:lang w:val="es-PR"/>
        </w:rPr>
        <w:t>”</w:t>
      </w:r>
      <w:r w:rsidR="00D53CEB">
        <w:rPr>
          <w:rFonts w:ascii="Book Antiqua" w:hAnsi="Book Antiqua"/>
          <w:lang w:val="es-PR"/>
        </w:rPr>
        <w:t>;</w:t>
      </w:r>
      <w:r w:rsidR="00296311" w:rsidRPr="00650C77">
        <w:rPr>
          <w:rFonts w:ascii="Book Antiqua" w:hAnsi="Book Antiqua"/>
          <w:lang w:val="es-PR"/>
        </w:rPr>
        <w:t xml:space="preserve"> y para otros fines relacionados</w:t>
      </w:r>
      <w:r w:rsidR="005D49DB" w:rsidRPr="00650C77">
        <w:rPr>
          <w:rFonts w:ascii="Book Antiqua" w:hAnsi="Book Antiqua"/>
          <w:lang w:val="es-PR"/>
        </w:rPr>
        <w:t>.</w:t>
      </w:r>
    </w:p>
    <w:p w14:paraId="6E7A4E20" w14:textId="77777777" w:rsidR="005A599F" w:rsidRPr="003317B7" w:rsidRDefault="005A599F" w:rsidP="005A599F">
      <w:pPr>
        <w:ind w:left="513" w:hanging="513"/>
        <w:jc w:val="both"/>
        <w:rPr>
          <w:rFonts w:ascii="Book Antiqua" w:hAnsi="Book Antiqua"/>
          <w:lang w:val="es-ES_tradnl"/>
        </w:rPr>
      </w:pPr>
    </w:p>
    <w:p w14:paraId="65140760" w14:textId="77777777" w:rsidR="005A599F" w:rsidRPr="003317B7" w:rsidRDefault="005A599F" w:rsidP="005A599F">
      <w:pPr>
        <w:pStyle w:val="Heading2"/>
        <w:spacing w:before="0" w:after="0"/>
        <w:ind w:firstLine="0"/>
        <w:rPr>
          <w:rFonts w:ascii="Book Antiqua" w:hAnsi="Book Antiqua"/>
          <w:b/>
          <w:bCs/>
          <w:sz w:val="24"/>
          <w:szCs w:val="24"/>
        </w:rPr>
      </w:pPr>
      <w:r w:rsidRPr="003317B7">
        <w:rPr>
          <w:rFonts w:ascii="Book Antiqua" w:hAnsi="Book Antiqua"/>
          <w:b/>
          <w:bCs/>
          <w:sz w:val="24"/>
          <w:szCs w:val="24"/>
        </w:rPr>
        <w:t>EXPOSICIÓN DE MOTIVOS</w:t>
      </w:r>
    </w:p>
    <w:p w14:paraId="4C6BE17D" w14:textId="77777777" w:rsidR="0096231E" w:rsidRPr="003317B7" w:rsidRDefault="0096231E" w:rsidP="0096231E">
      <w:pPr>
        <w:jc w:val="both"/>
        <w:rPr>
          <w:rFonts w:ascii="Book Antiqua" w:hAnsi="Book Antiqua"/>
          <w:lang w:val="es-ES_tradnl"/>
        </w:rPr>
      </w:pPr>
    </w:p>
    <w:p w14:paraId="61B65CAA" w14:textId="77777777" w:rsidR="006C505E" w:rsidRPr="003317B7" w:rsidRDefault="006C505E" w:rsidP="006C505E">
      <w:pPr>
        <w:spacing w:line="360" w:lineRule="auto"/>
        <w:ind w:firstLine="708"/>
        <w:jc w:val="both"/>
        <w:rPr>
          <w:rFonts w:ascii="Book Antiqua" w:hAnsi="Book Antiqua"/>
          <w:szCs w:val="24"/>
          <w:lang w:val="es-PR"/>
        </w:rPr>
      </w:pPr>
      <w:r w:rsidRPr="003317B7">
        <w:rPr>
          <w:rFonts w:ascii="Book Antiqua" w:hAnsi="Book Antiqua"/>
          <w:szCs w:val="24"/>
          <w:lang w:val="es-PR"/>
        </w:rPr>
        <w:t>Con la aprobación de la Ley 146-2012 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2C0DC0F2" w14:textId="77777777" w:rsidR="00FC41F7" w:rsidRPr="003317B7" w:rsidRDefault="006C505E" w:rsidP="006C505E">
      <w:pPr>
        <w:spacing w:line="360" w:lineRule="auto"/>
        <w:ind w:firstLine="708"/>
        <w:jc w:val="both"/>
        <w:rPr>
          <w:rFonts w:ascii="Book Antiqua" w:hAnsi="Book Antiqua"/>
          <w:szCs w:val="24"/>
          <w:lang w:val="es-PR"/>
        </w:rPr>
      </w:pPr>
      <w:r w:rsidRPr="003317B7">
        <w:rPr>
          <w:rFonts w:ascii="Book Antiqua" w:hAnsi="Book Antiqua"/>
          <w:szCs w:val="24"/>
          <w:lang w:val="es-PR"/>
        </w:rPr>
        <w:t xml:space="preserve">Armonizar las penas contempladas en las leyes penales especiales con las disposiciones del Código Penal de Puerto Rico de 2012 es una medida esencial para garantizar que el sistema de justicia penal se mantenga coherente y alineado con el </w:t>
      </w:r>
      <w:r w:rsidRPr="003317B7">
        <w:rPr>
          <w:rFonts w:ascii="Book Antiqua" w:hAnsi="Book Antiqua"/>
          <w:szCs w:val="24"/>
          <w:lang w:val="es-PR"/>
        </w:rPr>
        <w:lastRenderedPageBreak/>
        <w:t>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r w:rsidR="00FC41F7" w:rsidRPr="003317B7">
        <w:rPr>
          <w:rFonts w:ascii="Book Antiqua" w:hAnsi="Book Antiqua"/>
          <w:szCs w:val="24"/>
          <w:lang w:val="es-PR"/>
        </w:rPr>
        <w:t>.</w:t>
      </w:r>
    </w:p>
    <w:p w14:paraId="26AFDFEE" w14:textId="77777777" w:rsidR="006C505E" w:rsidRPr="00650C77" w:rsidRDefault="00FC41F7" w:rsidP="006C505E">
      <w:pPr>
        <w:spacing w:line="360" w:lineRule="auto"/>
        <w:ind w:firstLine="708"/>
        <w:jc w:val="both"/>
        <w:rPr>
          <w:rFonts w:ascii="Book Antiqua" w:hAnsi="Book Antiqua"/>
          <w:szCs w:val="24"/>
          <w:lang w:val="es-PR"/>
        </w:rPr>
      </w:pPr>
      <w:r w:rsidRPr="00650C77">
        <w:rPr>
          <w:rFonts w:ascii="Book Antiqua" w:hAnsi="Book Antiqua"/>
          <w:szCs w:val="24"/>
          <w:lang w:val="es-PR"/>
        </w:rPr>
        <w:t xml:space="preserve">Cónsono con lo anterior, la </w:t>
      </w:r>
      <w:r w:rsidR="00795721" w:rsidRPr="00650C77">
        <w:rPr>
          <w:rFonts w:ascii="Book Antiqua" w:hAnsi="Book Antiqua"/>
          <w:lang w:val="es-PR"/>
        </w:rPr>
        <w:t xml:space="preserve">Ley </w:t>
      </w:r>
      <w:r w:rsidR="001E33B1" w:rsidRPr="00650C77">
        <w:rPr>
          <w:rFonts w:ascii="Book Antiqua" w:hAnsi="Book Antiqua"/>
          <w:lang w:val="es-PR"/>
        </w:rPr>
        <w:t>430-2000</w:t>
      </w:r>
      <w:r w:rsidR="00795721" w:rsidRPr="00650C77">
        <w:rPr>
          <w:rFonts w:ascii="Book Antiqua" w:hAnsi="Book Antiqua"/>
          <w:lang w:val="es-PR"/>
        </w:rPr>
        <w:t>, según enmendada, conocida como “Ley de Navegación y Seguridad Acuática de Puerto Rico</w:t>
      </w:r>
      <w:r w:rsidRPr="00650C77">
        <w:rPr>
          <w:rFonts w:ascii="Book Antiqua" w:hAnsi="Book Antiqua"/>
          <w:lang w:val="es-ES_tradnl"/>
        </w:rPr>
        <w:t>”</w:t>
      </w:r>
      <w:r w:rsidRPr="00650C77">
        <w:rPr>
          <w:rFonts w:ascii="Book Antiqua" w:hAnsi="Book Antiqua"/>
          <w:szCs w:val="24"/>
          <w:lang w:val="es-PR"/>
        </w:rPr>
        <w:t xml:space="preserve">, aún no ha sido atemperada con el nuevo sistema de penas establecido en el Código Penal de 2012. </w:t>
      </w:r>
      <w:bookmarkStart w:id="1" w:name="_Hlk183299115"/>
      <w:r w:rsidR="006C505E" w:rsidRPr="00650C77">
        <w:rPr>
          <w:rFonts w:ascii="Book Antiqua" w:hAnsi="Book Antiqua"/>
          <w:szCs w:val="24"/>
          <w:lang w:val="es-PR"/>
        </w:rPr>
        <w:t xml:space="preserve">Esta omisión </w:t>
      </w:r>
      <w:bookmarkEnd w:id="1"/>
      <w:r w:rsidR="006C505E" w:rsidRPr="00650C77">
        <w:rPr>
          <w:rFonts w:ascii="Book Antiqua" w:hAnsi="Book Antiqua"/>
          <w:szCs w:val="24"/>
          <w:lang w:val="es-PR"/>
        </w:rPr>
        <w:t>crea un vacío legal que dificulta la aplicación uniforme de las penas, lo que podría generar resultados inconsistentes en algunos casos.</w:t>
      </w:r>
    </w:p>
    <w:p w14:paraId="442E6309" w14:textId="77777777" w:rsidR="006C505E" w:rsidRPr="00650C77" w:rsidRDefault="006C505E" w:rsidP="006C505E">
      <w:pPr>
        <w:spacing w:line="360" w:lineRule="auto"/>
        <w:ind w:firstLine="708"/>
        <w:jc w:val="both"/>
        <w:rPr>
          <w:rFonts w:ascii="Book Antiqua" w:hAnsi="Book Antiqua"/>
          <w:szCs w:val="24"/>
          <w:lang w:val="es-PR"/>
        </w:rPr>
      </w:pPr>
      <w:r w:rsidRPr="00650C77">
        <w:rPr>
          <w:rFonts w:ascii="Book Antiqua" w:hAnsi="Book Antiqua"/>
          <w:szCs w:val="24"/>
          <w:lang w:val="es-PR"/>
        </w:rPr>
        <w:t xml:space="preserve">Por otro lado, la omisión de armonizar las penas previstas en esta </w:t>
      </w:r>
      <w:r w:rsidR="00D53CEB">
        <w:rPr>
          <w:rFonts w:ascii="Book Antiqua" w:hAnsi="Book Antiqua"/>
          <w:szCs w:val="24"/>
          <w:lang w:val="es-PR"/>
        </w:rPr>
        <w:t>L</w:t>
      </w:r>
      <w:r w:rsidRPr="00650C77">
        <w:rPr>
          <w:rFonts w:ascii="Book Antiqua" w:hAnsi="Book Antiqua"/>
          <w:szCs w:val="24"/>
          <w:lang w:val="es-PR"/>
        </w:rPr>
        <w:t>ey y las establecidas en el Código Penal de 2012 impide cumplir adecuadamente con el objetivo de rehabilitación y reintegración social que dicho Código promueve a través de un sistema de sentencias fijas.</w:t>
      </w:r>
    </w:p>
    <w:p w14:paraId="429A253D" w14:textId="77777777" w:rsidR="00FC41F7" w:rsidRPr="003317B7" w:rsidRDefault="006C505E" w:rsidP="006C505E">
      <w:pPr>
        <w:spacing w:line="360" w:lineRule="auto"/>
        <w:ind w:firstLine="708"/>
        <w:jc w:val="both"/>
        <w:rPr>
          <w:rFonts w:ascii="Book Antiqua" w:hAnsi="Book Antiqua"/>
          <w:lang w:val="es-PR"/>
        </w:rPr>
      </w:pPr>
      <w:r w:rsidRPr="00650C77">
        <w:rPr>
          <w:rFonts w:ascii="Book Antiqua" w:hAnsi="Book Antiqua"/>
          <w:szCs w:val="24"/>
          <w:lang w:val="es-PR"/>
        </w:rPr>
        <w:t>En vista de ello, esta Asamblea Legislativa considera necesario armonizar nuestra legislación para que las sanciones penales</w:t>
      </w:r>
      <w:r w:rsidRPr="003317B7">
        <w:rPr>
          <w:rFonts w:ascii="Book Antiqua" w:hAnsi="Book Antiqua"/>
          <w:szCs w:val="24"/>
          <w:lang w:val="es-PR"/>
        </w:rPr>
        <w:t xml:space="preserve"> se apliquen de manera coherente con las disposiciones del Código Penal vigente</w:t>
      </w:r>
      <w:r w:rsidR="00FC41F7" w:rsidRPr="003317B7">
        <w:rPr>
          <w:rFonts w:ascii="Book Antiqua" w:hAnsi="Book Antiqua"/>
          <w:lang w:val="es-PR"/>
        </w:rPr>
        <w:t>.</w:t>
      </w:r>
    </w:p>
    <w:p w14:paraId="2E936E40" w14:textId="77777777" w:rsidR="000F5121" w:rsidRPr="009E115C" w:rsidRDefault="000F5121" w:rsidP="00BF51E6">
      <w:pPr>
        <w:ind w:firstLine="360"/>
        <w:jc w:val="both"/>
        <w:rPr>
          <w:rFonts w:ascii="Book Antiqua" w:hAnsi="Book Antiqua"/>
          <w:sz w:val="16"/>
          <w:szCs w:val="16"/>
          <w:lang w:val="es-ES"/>
        </w:rPr>
      </w:pPr>
    </w:p>
    <w:p w14:paraId="68F965F7" w14:textId="77777777" w:rsidR="005A599F" w:rsidRPr="009E115C" w:rsidRDefault="005A599F" w:rsidP="001C45F8">
      <w:pPr>
        <w:spacing w:line="480" w:lineRule="auto"/>
        <w:rPr>
          <w:rFonts w:ascii="Book Antiqua" w:hAnsi="Book Antiqua"/>
          <w:b/>
          <w:bCs/>
          <w:iCs/>
          <w:lang w:val="es-ES_tradnl"/>
        </w:rPr>
      </w:pPr>
      <w:r w:rsidRPr="009E115C">
        <w:rPr>
          <w:rFonts w:ascii="Book Antiqua" w:hAnsi="Book Antiqua"/>
          <w:b/>
          <w:bCs/>
          <w:iCs/>
          <w:lang w:val="es-ES_tradnl"/>
        </w:rPr>
        <w:t>DECRÉTASE POR LA ASAMBLEA LEGISLATIVA DE PUERTO RICO:</w:t>
      </w:r>
    </w:p>
    <w:p w14:paraId="42C990F8" w14:textId="77777777" w:rsidR="005A599F" w:rsidRPr="003317B7" w:rsidRDefault="005A599F" w:rsidP="005A599F">
      <w:pPr>
        <w:spacing w:line="480" w:lineRule="auto"/>
        <w:ind w:firstLine="720"/>
        <w:jc w:val="both"/>
        <w:rPr>
          <w:rFonts w:ascii="Book Antiqua" w:hAnsi="Book Antiqua"/>
          <w:lang w:val="es-ES_tradnl"/>
        </w:rPr>
        <w:sectPr w:rsidR="005A599F" w:rsidRPr="003317B7" w:rsidSect="003858CF">
          <w:headerReference w:type="even" r:id="rId12"/>
          <w:headerReference w:type="default" r:id="rId13"/>
          <w:headerReference w:type="first" r:id="rId14"/>
          <w:pgSz w:w="12240" w:h="15840" w:code="1"/>
          <w:pgMar w:top="1440" w:right="1440" w:bottom="1440" w:left="1440" w:header="720" w:footer="720" w:gutter="0"/>
          <w:cols w:space="720"/>
          <w:titlePg/>
          <w:docGrid w:linePitch="360"/>
        </w:sectPr>
      </w:pPr>
    </w:p>
    <w:p w14:paraId="49CB4492" w14:textId="77777777" w:rsidR="00024CDD" w:rsidRPr="00650C77" w:rsidRDefault="004C4EE4" w:rsidP="00296311">
      <w:pPr>
        <w:spacing w:line="480" w:lineRule="auto"/>
        <w:ind w:firstLine="360"/>
        <w:jc w:val="both"/>
        <w:rPr>
          <w:rFonts w:ascii="Book Antiqua" w:hAnsi="Book Antiqua"/>
          <w:lang w:val="es-ES_tradnl"/>
        </w:rPr>
      </w:pPr>
      <w:bookmarkStart w:id="3" w:name="_Hlk16244728"/>
      <w:r w:rsidRPr="00650C77">
        <w:rPr>
          <w:rFonts w:ascii="Book Antiqua" w:hAnsi="Book Antiqua"/>
          <w:lang w:val="es-ES_tradnl"/>
        </w:rPr>
        <w:t>Sección 1.-</w:t>
      </w:r>
      <w:bookmarkEnd w:id="3"/>
      <w:r w:rsidR="00296311" w:rsidRPr="00650C77">
        <w:rPr>
          <w:rFonts w:ascii="Book Antiqua" w:hAnsi="Book Antiqua"/>
          <w:lang w:val="es-ES_tradnl"/>
        </w:rPr>
        <w:t xml:space="preserve"> </w:t>
      </w:r>
      <w:r w:rsidR="00024CDD" w:rsidRPr="00650C77">
        <w:rPr>
          <w:rFonts w:ascii="Book Antiqua" w:hAnsi="Book Antiqua"/>
          <w:lang w:val="es-ES_tradnl"/>
        </w:rPr>
        <w:t xml:space="preserve">Se </w:t>
      </w:r>
      <w:r w:rsidR="001E33B1" w:rsidRPr="00650C77">
        <w:rPr>
          <w:rFonts w:ascii="Book Antiqua" w:hAnsi="Book Antiqua"/>
          <w:lang w:val="es-ES_tradnl"/>
        </w:rPr>
        <w:t xml:space="preserve">enmiendan los </w:t>
      </w:r>
      <w:proofErr w:type="spellStart"/>
      <w:r w:rsidR="001E33B1" w:rsidRPr="00650C77">
        <w:rPr>
          <w:rFonts w:ascii="Book Antiqua" w:hAnsi="Book Antiqua"/>
          <w:lang w:val="es-ES_tradnl"/>
        </w:rPr>
        <w:t>sub-incisos</w:t>
      </w:r>
      <w:proofErr w:type="spellEnd"/>
      <w:r w:rsidR="001E33B1" w:rsidRPr="00650C77">
        <w:rPr>
          <w:rFonts w:ascii="Book Antiqua" w:hAnsi="Book Antiqua"/>
          <w:lang w:val="es-ES_tradnl"/>
        </w:rPr>
        <w:t xml:space="preserve"> (g) y (h)</w:t>
      </w:r>
      <w:r w:rsidR="00407D0C" w:rsidRPr="00650C77">
        <w:rPr>
          <w:rFonts w:ascii="Book Antiqua" w:hAnsi="Book Antiqua"/>
          <w:lang w:val="es-ES_tradnl"/>
        </w:rPr>
        <w:t xml:space="preserve"> </w:t>
      </w:r>
      <w:r w:rsidR="001E33B1" w:rsidRPr="00650C77">
        <w:rPr>
          <w:rFonts w:ascii="Book Antiqua" w:hAnsi="Book Antiqua"/>
          <w:lang w:val="es-ES_tradnl"/>
        </w:rPr>
        <w:t xml:space="preserve">del inciso 10 del Artículo 7 </w:t>
      </w:r>
      <w:r w:rsidR="00407D0C" w:rsidRPr="00650C77">
        <w:rPr>
          <w:rFonts w:ascii="Book Antiqua" w:hAnsi="Book Antiqua"/>
          <w:lang w:val="es-ES_tradnl"/>
        </w:rPr>
        <w:t xml:space="preserve">de la </w:t>
      </w:r>
      <w:r w:rsidR="00E14809" w:rsidRPr="00650C77">
        <w:rPr>
          <w:rFonts w:ascii="Book Antiqua" w:hAnsi="Book Antiqua"/>
          <w:lang w:val="es-PR"/>
        </w:rPr>
        <w:t xml:space="preserve">Ley </w:t>
      </w:r>
      <w:r w:rsidR="001E33B1" w:rsidRPr="00650C77">
        <w:rPr>
          <w:rFonts w:ascii="Book Antiqua" w:hAnsi="Book Antiqua"/>
          <w:lang w:val="es-PR"/>
        </w:rPr>
        <w:t>430-2000</w:t>
      </w:r>
      <w:r w:rsidR="00E14809" w:rsidRPr="00650C77">
        <w:rPr>
          <w:rFonts w:ascii="Book Antiqua" w:hAnsi="Book Antiqua"/>
          <w:lang w:val="es-PR"/>
        </w:rPr>
        <w:t>, según enmendada, conocida como “Ley de Navegación y Seguridad Acuática de Puerto Rico”</w:t>
      </w:r>
      <w:r w:rsidR="00024CDD" w:rsidRPr="00650C77">
        <w:rPr>
          <w:rFonts w:ascii="Book Antiqua" w:hAnsi="Book Antiqua"/>
          <w:lang w:val="es-ES_tradnl"/>
        </w:rPr>
        <w:t>, para que se lea como sigue:</w:t>
      </w:r>
    </w:p>
    <w:p w14:paraId="16128403" w14:textId="77777777" w:rsidR="001E33B1" w:rsidRPr="00650C77" w:rsidRDefault="00024CDD" w:rsidP="00A73D3B">
      <w:pPr>
        <w:tabs>
          <w:tab w:val="left" w:pos="5040"/>
        </w:tabs>
        <w:spacing w:line="480" w:lineRule="auto"/>
        <w:ind w:firstLine="720"/>
        <w:jc w:val="both"/>
        <w:rPr>
          <w:rFonts w:ascii="Book Antiqua" w:hAnsi="Book Antiqua"/>
          <w:lang w:val="es-PR"/>
        </w:rPr>
      </w:pPr>
      <w:r w:rsidRPr="00650C77">
        <w:rPr>
          <w:rFonts w:ascii="Book Antiqua" w:hAnsi="Book Antiqua"/>
          <w:lang w:val="es-ES_tradnl"/>
        </w:rPr>
        <w:t>“</w:t>
      </w:r>
      <w:r w:rsidR="001E33B1" w:rsidRPr="00650C77">
        <w:rPr>
          <w:rFonts w:ascii="Book Antiqua" w:hAnsi="Book Antiqua"/>
          <w:lang w:val="es-PR"/>
        </w:rPr>
        <w:t>Artículo 7. — Seguridad marítima y acuática.</w:t>
      </w:r>
    </w:p>
    <w:p w14:paraId="5F5F1AF0" w14:textId="77777777" w:rsidR="001E33B1" w:rsidRPr="00650C77" w:rsidRDefault="001E33B1" w:rsidP="001E33B1">
      <w:pPr>
        <w:tabs>
          <w:tab w:val="left" w:pos="5040"/>
        </w:tabs>
        <w:spacing w:line="480" w:lineRule="auto"/>
        <w:ind w:left="720"/>
        <w:jc w:val="both"/>
        <w:rPr>
          <w:rFonts w:ascii="Book Antiqua" w:hAnsi="Book Antiqua"/>
          <w:lang w:val="es-PR"/>
        </w:rPr>
      </w:pPr>
      <w:r w:rsidRPr="00650C77">
        <w:rPr>
          <w:rFonts w:ascii="Book Antiqua" w:hAnsi="Book Antiqua"/>
          <w:lang w:val="es-PR"/>
        </w:rPr>
        <w:t>1. …</w:t>
      </w:r>
    </w:p>
    <w:p w14:paraId="5E995DB3" w14:textId="77777777" w:rsidR="001E33B1" w:rsidRPr="00650C77" w:rsidRDefault="001E33B1" w:rsidP="001E33B1">
      <w:pPr>
        <w:tabs>
          <w:tab w:val="left" w:pos="5040"/>
        </w:tabs>
        <w:spacing w:line="480" w:lineRule="auto"/>
        <w:ind w:left="720"/>
        <w:jc w:val="both"/>
        <w:rPr>
          <w:rFonts w:ascii="Book Antiqua" w:hAnsi="Book Antiqua"/>
          <w:lang w:val="es-PR"/>
        </w:rPr>
      </w:pPr>
      <w:r w:rsidRPr="00650C77">
        <w:rPr>
          <w:rFonts w:ascii="Book Antiqua" w:hAnsi="Book Antiqua"/>
          <w:lang w:val="es-PR"/>
        </w:rPr>
        <w:t>…</w:t>
      </w:r>
    </w:p>
    <w:p w14:paraId="3CAC872D" w14:textId="77777777" w:rsidR="001E33B1" w:rsidRPr="00650C77" w:rsidRDefault="001E33B1" w:rsidP="001E33B1">
      <w:pPr>
        <w:tabs>
          <w:tab w:val="left" w:pos="5040"/>
        </w:tabs>
        <w:spacing w:line="480" w:lineRule="auto"/>
        <w:ind w:left="720"/>
        <w:jc w:val="both"/>
        <w:rPr>
          <w:rFonts w:ascii="Book Antiqua" w:hAnsi="Book Antiqua"/>
          <w:lang w:val="es-PR"/>
        </w:rPr>
      </w:pPr>
      <w:r w:rsidRPr="00650C77">
        <w:rPr>
          <w:rFonts w:ascii="Book Antiqua" w:hAnsi="Book Antiqua"/>
          <w:lang w:val="es-PR"/>
        </w:rPr>
        <w:t>10. Se identificarán como acciones de los agentes del orden público y penalidades por violaciones lo siguiente:</w:t>
      </w:r>
    </w:p>
    <w:p w14:paraId="41CA9972" w14:textId="77777777" w:rsidR="001E33B1" w:rsidRPr="00650C77"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lastRenderedPageBreak/>
        <w:t>(a) …</w:t>
      </w:r>
    </w:p>
    <w:p w14:paraId="146D8AED" w14:textId="77777777" w:rsidR="001E33B1" w:rsidRPr="00650C77"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t>…</w:t>
      </w:r>
    </w:p>
    <w:p w14:paraId="497757C6" w14:textId="627187F4" w:rsidR="001E33B1" w:rsidRPr="00650C77"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t>(g) Si como consecuencia de operar una embarcación o vehículo de navegación</w:t>
      </w:r>
      <w:r w:rsidR="00111577">
        <w:rPr>
          <w:rFonts w:ascii="Book Antiqua" w:hAnsi="Book Antiqua"/>
          <w:i/>
          <w:iCs/>
          <w:u w:val="single"/>
          <w:lang w:val="es-PR"/>
        </w:rPr>
        <w:t>, la persona</w:t>
      </w:r>
      <w:r w:rsidRPr="00650C77">
        <w:rPr>
          <w:rFonts w:ascii="Book Antiqua" w:hAnsi="Book Antiqua"/>
          <w:lang w:val="es-PR"/>
        </w:rPr>
        <w:t xml:space="preserve"> ocasiona una lesión al cuerpo que no deja daño permanente, pero requiere atención médica, ayuda profesional especializada o tratamiento ambulatorio, incurrirá en delito</w:t>
      </w:r>
      <w:r w:rsidR="00506D59">
        <w:rPr>
          <w:rFonts w:ascii="Book Antiqua" w:hAnsi="Book Antiqua"/>
          <w:lang w:val="es-PR"/>
        </w:rPr>
        <w:t xml:space="preserve"> </w:t>
      </w:r>
      <w:r w:rsidR="00506D59">
        <w:rPr>
          <w:rFonts w:ascii="Book Antiqua" w:hAnsi="Book Antiqua"/>
          <w:i/>
          <w:iCs/>
          <w:u w:val="single"/>
          <w:lang w:val="es-PR"/>
        </w:rPr>
        <w:t>menos</w:t>
      </w:r>
      <w:r w:rsidRPr="00650C77">
        <w:rPr>
          <w:rFonts w:ascii="Book Antiqua" w:hAnsi="Book Antiqua"/>
          <w:lang w:val="es-PR"/>
        </w:rPr>
        <w:t xml:space="preserve"> grave </w:t>
      </w:r>
      <w:r w:rsidRPr="00506D59">
        <w:rPr>
          <w:rFonts w:ascii="Book Antiqua" w:hAnsi="Book Antiqua"/>
          <w:strike/>
          <w:lang w:val="es-PR"/>
        </w:rPr>
        <w:t>y convicta que fuere, será sancionada con una pena de reclusión por un término fijo de tres (3) años</w:t>
      </w:r>
      <w:r w:rsidRPr="00650C77">
        <w:rPr>
          <w:rFonts w:ascii="Book Antiqua" w:hAnsi="Book Antiqua"/>
          <w:lang w:val="es-PR"/>
        </w:rPr>
        <w:t>.</w:t>
      </w:r>
    </w:p>
    <w:p w14:paraId="026F312F" w14:textId="77777777" w:rsidR="001E33B1" w:rsidRPr="00650C77"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t>(h) Cuando una persona ocasionare la muerte de un ser humano como consecuencia de operar una embarcación o vehículo de navegación, será acusada conforme a lo dispuesto en la Ley 146-2012, según enmendada, conocida como “Código Penal de Puerto Rico”.</w:t>
      </w:r>
    </w:p>
    <w:p w14:paraId="7EBE7AEA" w14:textId="77777777" w:rsidR="001E33B1"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t xml:space="preserve">(i) … </w:t>
      </w:r>
    </w:p>
    <w:p w14:paraId="1F83BB56" w14:textId="3B82C2C3" w:rsidR="00361C78" w:rsidRPr="00361C78" w:rsidRDefault="00361C78" w:rsidP="001E33B1">
      <w:pPr>
        <w:tabs>
          <w:tab w:val="left" w:pos="5040"/>
        </w:tabs>
        <w:spacing w:line="480" w:lineRule="auto"/>
        <w:ind w:left="1416"/>
        <w:jc w:val="both"/>
        <w:rPr>
          <w:rFonts w:ascii="Book Antiqua" w:hAnsi="Book Antiqua"/>
          <w:u w:val="single"/>
          <w:lang w:val="es-PR"/>
        </w:rPr>
      </w:pPr>
      <w:r>
        <w:rPr>
          <w:rFonts w:ascii="Book Antiqua" w:hAnsi="Book Antiqua"/>
          <w:u w:val="single"/>
          <w:lang w:val="es-PR"/>
        </w:rPr>
        <w:t>...</w:t>
      </w:r>
    </w:p>
    <w:p w14:paraId="6C7E4E9B" w14:textId="77777777" w:rsidR="001E33B1" w:rsidRPr="00650C77" w:rsidRDefault="001E33B1" w:rsidP="001E33B1">
      <w:pPr>
        <w:tabs>
          <w:tab w:val="left" w:pos="5040"/>
        </w:tabs>
        <w:spacing w:line="480" w:lineRule="auto"/>
        <w:ind w:left="720"/>
        <w:jc w:val="both"/>
        <w:rPr>
          <w:rFonts w:ascii="Book Antiqua" w:hAnsi="Book Antiqua"/>
          <w:lang w:val="es-PR"/>
        </w:rPr>
      </w:pPr>
      <w:r w:rsidRPr="00650C77">
        <w:rPr>
          <w:rFonts w:ascii="Book Antiqua" w:hAnsi="Book Antiqua"/>
          <w:lang w:val="es-PR"/>
        </w:rPr>
        <w:t xml:space="preserve">(11) … </w:t>
      </w:r>
    </w:p>
    <w:p w14:paraId="449A7AEE" w14:textId="77777777" w:rsidR="00407D0C" w:rsidRPr="00650C77" w:rsidRDefault="001E33B1" w:rsidP="001E33B1">
      <w:pPr>
        <w:tabs>
          <w:tab w:val="left" w:pos="5040"/>
        </w:tabs>
        <w:spacing w:line="480" w:lineRule="auto"/>
        <w:ind w:left="1416"/>
        <w:jc w:val="both"/>
        <w:rPr>
          <w:rFonts w:ascii="Book Antiqua" w:hAnsi="Book Antiqua"/>
          <w:lang w:val="es-PR"/>
        </w:rPr>
      </w:pPr>
      <w:r w:rsidRPr="00650C77">
        <w:rPr>
          <w:rFonts w:ascii="Book Antiqua" w:hAnsi="Book Antiqua"/>
          <w:lang w:val="es-PR"/>
        </w:rPr>
        <w:t xml:space="preserve">…” </w:t>
      </w:r>
    </w:p>
    <w:p w14:paraId="756AE894" w14:textId="77777777" w:rsidR="008D1168" w:rsidRDefault="00CD05BF" w:rsidP="00D445DB">
      <w:pPr>
        <w:spacing w:line="480" w:lineRule="auto"/>
        <w:ind w:firstLine="360"/>
        <w:jc w:val="both"/>
        <w:rPr>
          <w:rFonts w:ascii="Book Antiqua" w:hAnsi="Book Antiqua"/>
          <w:lang w:val="es-ES_tradnl"/>
        </w:rPr>
      </w:pPr>
      <w:r w:rsidRPr="00650C77">
        <w:rPr>
          <w:rFonts w:ascii="Book Antiqua" w:hAnsi="Book Antiqua"/>
          <w:lang w:val="es-ES_tradnl"/>
        </w:rPr>
        <w:t xml:space="preserve">Sección </w:t>
      </w:r>
      <w:r w:rsidR="00407D0C" w:rsidRPr="00650C77">
        <w:rPr>
          <w:rFonts w:ascii="Book Antiqua" w:hAnsi="Book Antiqua"/>
          <w:lang w:val="es-ES_tradnl"/>
        </w:rPr>
        <w:t>2</w:t>
      </w:r>
      <w:r w:rsidRPr="00650C77">
        <w:rPr>
          <w:rFonts w:ascii="Book Antiqua" w:hAnsi="Book Antiqua"/>
          <w:lang w:val="es-ES_tradnl"/>
        </w:rPr>
        <w:t xml:space="preserve">.- </w:t>
      </w:r>
      <w:r w:rsidR="00EB7923" w:rsidRPr="00650C77">
        <w:rPr>
          <w:rFonts w:ascii="Book Antiqua" w:hAnsi="Book Antiqua"/>
          <w:lang w:val="es-ES_tradnl"/>
        </w:rPr>
        <w:t>Esta</w:t>
      </w:r>
      <w:r w:rsidR="00EB7923" w:rsidRPr="003317B7">
        <w:rPr>
          <w:rFonts w:ascii="Book Antiqua" w:hAnsi="Book Antiqua"/>
          <w:lang w:val="es-ES_tradnl"/>
        </w:rPr>
        <w:t xml:space="preserve"> Ley entrará en vigor inmediatamente después de su aprobación</w:t>
      </w:r>
      <w:r w:rsidR="00407D0C">
        <w:rPr>
          <w:rFonts w:ascii="Book Antiqua" w:hAnsi="Book Antiqua"/>
          <w:lang w:val="es-ES_tradnl"/>
        </w:rPr>
        <w:t>.</w:t>
      </w:r>
    </w:p>
    <w:p w14:paraId="21697A17" w14:textId="77777777" w:rsidR="002C5DDF" w:rsidRDefault="002C5DDF" w:rsidP="002C5DDF">
      <w:pPr>
        <w:suppressLineNumbers/>
        <w:ind w:left="3780" w:firstLine="270"/>
        <w:jc w:val="both"/>
        <w:rPr>
          <w:rFonts w:ascii="Book Antiqua" w:hAnsi="Book Antiqua"/>
          <w:szCs w:val="24"/>
          <w:lang w:val="es-ES" w:eastAsia="x-none"/>
        </w:rPr>
      </w:pPr>
    </w:p>
    <w:sectPr w:rsidR="002C5DDF"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945A9" w14:textId="77777777" w:rsidR="00686743" w:rsidRDefault="00686743" w:rsidP="00CD4499">
      <w:r>
        <w:separator/>
      </w:r>
    </w:p>
  </w:endnote>
  <w:endnote w:type="continuationSeparator" w:id="0">
    <w:p w14:paraId="50D4D107" w14:textId="77777777" w:rsidR="00686743" w:rsidRDefault="00686743"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8C451" w14:textId="77777777" w:rsidR="00686743" w:rsidRDefault="00686743" w:rsidP="00CD4499">
      <w:r>
        <w:separator/>
      </w:r>
    </w:p>
  </w:footnote>
  <w:footnote w:type="continuationSeparator" w:id="0">
    <w:p w14:paraId="440B4BF1" w14:textId="77777777" w:rsidR="00686743" w:rsidRDefault="00686743"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22109"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CA08B2"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F6C5F"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50FD417E"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99624" w14:textId="77777777" w:rsidR="00650C77" w:rsidRDefault="00650C77" w:rsidP="00650C77">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2" w:name="_Hlk36034857"/>
    <w:r>
      <w:rPr>
        <w:rFonts w:ascii="Book Antiqua" w:eastAsia="MS Mincho" w:hAnsi="Book Antiqua"/>
        <w:b/>
        <w:szCs w:val="24"/>
        <w:lang w:val="es-PR"/>
      </w:rPr>
      <w:t>TEXTO APROBADO EN VOTACIÓN FINAL POR EL SENADO</w:t>
    </w:r>
  </w:p>
  <w:p w14:paraId="0591A9BD" w14:textId="77777777" w:rsidR="00650C77" w:rsidRDefault="00650C77" w:rsidP="00650C77">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(25 DE AGOSTO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0FB9"/>
    <w:multiLevelType w:val="hybridMultilevel"/>
    <w:tmpl w:val="B3AEBEAA"/>
    <w:lvl w:ilvl="0" w:tplc="AC604F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E37219D"/>
    <w:multiLevelType w:val="hybridMultilevel"/>
    <w:tmpl w:val="A066FF2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8" w15:restartNumberingAfterBreak="0">
    <w:nsid w:val="58EF1ED9"/>
    <w:multiLevelType w:val="hybridMultilevel"/>
    <w:tmpl w:val="D84441A0"/>
    <w:lvl w:ilvl="0" w:tplc="5B9CC270">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78BD4A04"/>
    <w:multiLevelType w:val="hybridMultilevel"/>
    <w:tmpl w:val="8D08EF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2985619">
    <w:abstractNumId w:val="13"/>
  </w:num>
  <w:num w:numId="2" w16cid:durableId="1145732363">
    <w:abstractNumId w:val="6"/>
  </w:num>
  <w:num w:numId="3" w16cid:durableId="1516185913">
    <w:abstractNumId w:val="7"/>
  </w:num>
  <w:num w:numId="4" w16cid:durableId="438334631">
    <w:abstractNumId w:val="2"/>
  </w:num>
  <w:num w:numId="5" w16cid:durableId="1757553628">
    <w:abstractNumId w:val="1"/>
  </w:num>
  <w:num w:numId="6" w16cid:durableId="1707825065">
    <w:abstractNumId w:val="9"/>
  </w:num>
  <w:num w:numId="7" w16cid:durableId="651176843">
    <w:abstractNumId w:val="11"/>
  </w:num>
  <w:num w:numId="8" w16cid:durableId="516575626">
    <w:abstractNumId w:val="5"/>
  </w:num>
  <w:num w:numId="9" w16cid:durableId="1584491375">
    <w:abstractNumId w:val="4"/>
  </w:num>
  <w:num w:numId="10" w16cid:durableId="1255164517">
    <w:abstractNumId w:val="10"/>
  </w:num>
  <w:num w:numId="11" w16cid:durableId="909776873">
    <w:abstractNumId w:val="12"/>
  </w:num>
  <w:num w:numId="12" w16cid:durableId="1846631498">
    <w:abstractNumId w:val="3"/>
  </w:num>
  <w:num w:numId="13" w16cid:durableId="1189873023">
    <w:abstractNumId w:val="8"/>
  </w:num>
  <w:num w:numId="14" w16cid:durableId="34937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1BCC"/>
    <w:rsid w:val="00012469"/>
    <w:rsid w:val="00024CDD"/>
    <w:rsid w:val="00025C6B"/>
    <w:rsid w:val="00061D8A"/>
    <w:rsid w:val="00070127"/>
    <w:rsid w:val="000737AB"/>
    <w:rsid w:val="00087B83"/>
    <w:rsid w:val="00090527"/>
    <w:rsid w:val="000A0E28"/>
    <w:rsid w:val="000B3074"/>
    <w:rsid w:val="000C5EE3"/>
    <w:rsid w:val="000D0732"/>
    <w:rsid w:val="000D2313"/>
    <w:rsid w:val="000E1E77"/>
    <w:rsid w:val="000F44E9"/>
    <w:rsid w:val="000F5121"/>
    <w:rsid w:val="00100727"/>
    <w:rsid w:val="00110ED0"/>
    <w:rsid w:val="00111577"/>
    <w:rsid w:val="001138EA"/>
    <w:rsid w:val="00114ADD"/>
    <w:rsid w:val="00115944"/>
    <w:rsid w:val="001263EC"/>
    <w:rsid w:val="001472B9"/>
    <w:rsid w:val="001623DE"/>
    <w:rsid w:val="001664EE"/>
    <w:rsid w:val="00173BA8"/>
    <w:rsid w:val="00190AA0"/>
    <w:rsid w:val="00192887"/>
    <w:rsid w:val="001A1457"/>
    <w:rsid w:val="001A26C1"/>
    <w:rsid w:val="001A4A8B"/>
    <w:rsid w:val="001B0DB4"/>
    <w:rsid w:val="001B3687"/>
    <w:rsid w:val="001C1401"/>
    <w:rsid w:val="001C2D57"/>
    <w:rsid w:val="001C45F8"/>
    <w:rsid w:val="001E11F3"/>
    <w:rsid w:val="001E33B1"/>
    <w:rsid w:val="00204060"/>
    <w:rsid w:val="00205DF4"/>
    <w:rsid w:val="002242ED"/>
    <w:rsid w:val="00235B85"/>
    <w:rsid w:val="00241915"/>
    <w:rsid w:val="00244B02"/>
    <w:rsid w:val="002464D6"/>
    <w:rsid w:val="00247484"/>
    <w:rsid w:val="00250033"/>
    <w:rsid w:val="002575CE"/>
    <w:rsid w:val="00270FBD"/>
    <w:rsid w:val="0028689A"/>
    <w:rsid w:val="00296311"/>
    <w:rsid w:val="002A3CEC"/>
    <w:rsid w:val="002C5DDF"/>
    <w:rsid w:val="0032492E"/>
    <w:rsid w:val="00330132"/>
    <w:rsid w:val="003317B7"/>
    <w:rsid w:val="003343CD"/>
    <w:rsid w:val="00350FE1"/>
    <w:rsid w:val="00361C78"/>
    <w:rsid w:val="00371628"/>
    <w:rsid w:val="003722AA"/>
    <w:rsid w:val="00374A71"/>
    <w:rsid w:val="00384C04"/>
    <w:rsid w:val="003856F5"/>
    <w:rsid w:val="003858CF"/>
    <w:rsid w:val="00390F27"/>
    <w:rsid w:val="003B035D"/>
    <w:rsid w:val="003C22B9"/>
    <w:rsid w:val="003D121D"/>
    <w:rsid w:val="003D39CE"/>
    <w:rsid w:val="003D7E3E"/>
    <w:rsid w:val="003E3C58"/>
    <w:rsid w:val="003E3D2B"/>
    <w:rsid w:val="003F5747"/>
    <w:rsid w:val="00403582"/>
    <w:rsid w:val="004056C6"/>
    <w:rsid w:val="00407D0C"/>
    <w:rsid w:val="0041184C"/>
    <w:rsid w:val="00414257"/>
    <w:rsid w:val="004246C1"/>
    <w:rsid w:val="00424988"/>
    <w:rsid w:val="00450289"/>
    <w:rsid w:val="0045653A"/>
    <w:rsid w:val="00457990"/>
    <w:rsid w:val="004615E1"/>
    <w:rsid w:val="00470CF2"/>
    <w:rsid w:val="00476F1E"/>
    <w:rsid w:val="004845FA"/>
    <w:rsid w:val="004C1235"/>
    <w:rsid w:val="004C4870"/>
    <w:rsid w:val="004C4EE4"/>
    <w:rsid w:val="004C6FCA"/>
    <w:rsid w:val="004C7293"/>
    <w:rsid w:val="004D24B1"/>
    <w:rsid w:val="004D5AAE"/>
    <w:rsid w:val="004E558C"/>
    <w:rsid w:val="004E67A4"/>
    <w:rsid w:val="0050314D"/>
    <w:rsid w:val="00506D59"/>
    <w:rsid w:val="00513E3A"/>
    <w:rsid w:val="00517DA8"/>
    <w:rsid w:val="00523D6F"/>
    <w:rsid w:val="00524AF0"/>
    <w:rsid w:val="00525363"/>
    <w:rsid w:val="00535B48"/>
    <w:rsid w:val="00546991"/>
    <w:rsid w:val="00555A2B"/>
    <w:rsid w:val="005773C9"/>
    <w:rsid w:val="00593963"/>
    <w:rsid w:val="005956C9"/>
    <w:rsid w:val="005A16FA"/>
    <w:rsid w:val="005A4442"/>
    <w:rsid w:val="005A599F"/>
    <w:rsid w:val="005B55F1"/>
    <w:rsid w:val="005D0FFD"/>
    <w:rsid w:val="005D49DB"/>
    <w:rsid w:val="005E15F5"/>
    <w:rsid w:val="005E5F4A"/>
    <w:rsid w:val="005F43D6"/>
    <w:rsid w:val="005F4C2D"/>
    <w:rsid w:val="006153B9"/>
    <w:rsid w:val="006234CD"/>
    <w:rsid w:val="0062472C"/>
    <w:rsid w:val="0063364F"/>
    <w:rsid w:val="00650C77"/>
    <w:rsid w:val="00674540"/>
    <w:rsid w:val="00677CC0"/>
    <w:rsid w:val="00686743"/>
    <w:rsid w:val="00695ACF"/>
    <w:rsid w:val="006A72B1"/>
    <w:rsid w:val="006B3D4F"/>
    <w:rsid w:val="006C505E"/>
    <w:rsid w:val="006C59D1"/>
    <w:rsid w:val="006D32D3"/>
    <w:rsid w:val="006D7E3E"/>
    <w:rsid w:val="006E4D36"/>
    <w:rsid w:val="006F59D8"/>
    <w:rsid w:val="006F7F1E"/>
    <w:rsid w:val="00700BF1"/>
    <w:rsid w:val="0071583B"/>
    <w:rsid w:val="00740E55"/>
    <w:rsid w:val="007431E7"/>
    <w:rsid w:val="00763C4A"/>
    <w:rsid w:val="00767881"/>
    <w:rsid w:val="0077046C"/>
    <w:rsid w:val="00775E9A"/>
    <w:rsid w:val="00777E58"/>
    <w:rsid w:val="0078178C"/>
    <w:rsid w:val="00784AB5"/>
    <w:rsid w:val="00795721"/>
    <w:rsid w:val="00797DB1"/>
    <w:rsid w:val="007B156F"/>
    <w:rsid w:val="007C4201"/>
    <w:rsid w:val="007C7505"/>
    <w:rsid w:val="007D74B5"/>
    <w:rsid w:val="007F019E"/>
    <w:rsid w:val="007F5F75"/>
    <w:rsid w:val="00800422"/>
    <w:rsid w:val="0080590A"/>
    <w:rsid w:val="00815BD6"/>
    <w:rsid w:val="00823753"/>
    <w:rsid w:val="00825722"/>
    <w:rsid w:val="00825E02"/>
    <w:rsid w:val="0082632A"/>
    <w:rsid w:val="008376C5"/>
    <w:rsid w:val="008431A6"/>
    <w:rsid w:val="00846D55"/>
    <w:rsid w:val="008473B1"/>
    <w:rsid w:val="00851B25"/>
    <w:rsid w:val="00852142"/>
    <w:rsid w:val="0086018D"/>
    <w:rsid w:val="00867E4F"/>
    <w:rsid w:val="0087479D"/>
    <w:rsid w:val="008757C0"/>
    <w:rsid w:val="00877FB6"/>
    <w:rsid w:val="00880B0A"/>
    <w:rsid w:val="008B6E5F"/>
    <w:rsid w:val="008C02C4"/>
    <w:rsid w:val="008D1168"/>
    <w:rsid w:val="008D1268"/>
    <w:rsid w:val="008D5DBE"/>
    <w:rsid w:val="008E13EF"/>
    <w:rsid w:val="008E7548"/>
    <w:rsid w:val="008F026D"/>
    <w:rsid w:val="008F082D"/>
    <w:rsid w:val="009251C4"/>
    <w:rsid w:val="00925616"/>
    <w:rsid w:val="0092753F"/>
    <w:rsid w:val="0094510E"/>
    <w:rsid w:val="00946CE7"/>
    <w:rsid w:val="009536E6"/>
    <w:rsid w:val="00955C93"/>
    <w:rsid w:val="0096231E"/>
    <w:rsid w:val="00963F64"/>
    <w:rsid w:val="00974830"/>
    <w:rsid w:val="00981C54"/>
    <w:rsid w:val="00982066"/>
    <w:rsid w:val="00984265"/>
    <w:rsid w:val="009956C7"/>
    <w:rsid w:val="0099601F"/>
    <w:rsid w:val="009A3BA4"/>
    <w:rsid w:val="009A7F44"/>
    <w:rsid w:val="009B5E2C"/>
    <w:rsid w:val="009C23B7"/>
    <w:rsid w:val="009D1771"/>
    <w:rsid w:val="009D486D"/>
    <w:rsid w:val="009E115C"/>
    <w:rsid w:val="009F27EC"/>
    <w:rsid w:val="009F2D80"/>
    <w:rsid w:val="00A247B4"/>
    <w:rsid w:val="00A34187"/>
    <w:rsid w:val="00A5006A"/>
    <w:rsid w:val="00A545D1"/>
    <w:rsid w:val="00A55940"/>
    <w:rsid w:val="00A61D39"/>
    <w:rsid w:val="00A70F5C"/>
    <w:rsid w:val="00A73D3B"/>
    <w:rsid w:val="00A90D43"/>
    <w:rsid w:val="00AA75BB"/>
    <w:rsid w:val="00AB0DCF"/>
    <w:rsid w:val="00AB3C3B"/>
    <w:rsid w:val="00AB5B66"/>
    <w:rsid w:val="00AC5A43"/>
    <w:rsid w:val="00AD41AE"/>
    <w:rsid w:val="00AE298E"/>
    <w:rsid w:val="00B25FE2"/>
    <w:rsid w:val="00B36028"/>
    <w:rsid w:val="00B42668"/>
    <w:rsid w:val="00B6073A"/>
    <w:rsid w:val="00B70A80"/>
    <w:rsid w:val="00B729A5"/>
    <w:rsid w:val="00B80DB9"/>
    <w:rsid w:val="00B8106E"/>
    <w:rsid w:val="00BA52DB"/>
    <w:rsid w:val="00BB3FC6"/>
    <w:rsid w:val="00BC1352"/>
    <w:rsid w:val="00BC678B"/>
    <w:rsid w:val="00BC6A52"/>
    <w:rsid w:val="00BD04D5"/>
    <w:rsid w:val="00BD2E5C"/>
    <w:rsid w:val="00BD71A2"/>
    <w:rsid w:val="00BE2E71"/>
    <w:rsid w:val="00BE741B"/>
    <w:rsid w:val="00BF14B0"/>
    <w:rsid w:val="00BF3FA8"/>
    <w:rsid w:val="00BF51E6"/>
    <w:rsid w:val="00BF5279"/>
    <w:rsid w:val="00C0515C"/>
    <w:rsid w:val="00C115CF"/>
    <w:rsid w:val="00C25001"/>
    <w:rsid w:val="00C370C3"/>
    <w:rsid w:val="00C42D93"/>
    <w:rsid w:val="00C55009"/>
    <w:rsid w:val="00C62ED6"/>
    <w:rsid w:val="00C6757B"/>
    <w:rsid w:val="00C7360C"/>
    <w:rsid w:val="00C749E5"/>
    <w:rsid w:val="00C91415"/>
    <w:rsid w:val="00CA241D"/>
    <w:rsid w:val="00CA2FE8"/>
    <w:rsid w:val="00CA5D7C"/>
    <w:rsid w:val="00CC2FBA"/>
    <w:rsid w:val="00CC71E8"/>
    <w:rsid w:val="00CD05BF"/>
    <w:rsid w:val="00CD06B3"/>
    <w:rsid w:val="00CD4499"/>
    <w:rsid w:val="00CD776D"/>
    <w:rsid w:val="00CD7854"/>
    <w:rsid w:val="00CE730B"/>
    <w:rsid w:val="00CF09CB"/>
    <w:rsid w:val="00CF46B3"/>
    <w:rsid w:val="00CF5C97"/>
    <w:rsid w:val="00D01F1D"/>
    <w:rsid w:val="00D15BB8"/>
    <w:rsid w:val="00D347E8"/>
    <w:rsid w:val="00D445DB"/>
    <w:rsid w:val="00D53CEB"/>
    <w:rsid w:val="00D64DE2"/>
    <w:rsid w:val="00D74733"/>
    <w:rsid w:val="00D8681B"/>
    <w:rsid w:val="00D91BCC"/>
    <w:rsid w:val="00D93B3D"/>
    <w:rsid w:val="00DA51BE"/>
    <w:rsid w:val="00DB53F7"/>
    <w:rsid w:val="00DC6B66"/>
    <w:rsid w:val="00DD023E"/>
    <w:rsid w:val="00DD15C2"/>
    <w:rsid w:val="00DD5CAB"/>
    <w:rsid w:val="00DE19C4"/>
    <w:rsid w:val="00DF58E4"/>
    <w:rsid w:val="00E00E6F"/>
    <w:rsid w:val="00E14809"/>
    <w:rsid w:val="00E153EF"/>
    <w:rsid w:val="00E1715D"/>
    <w:rsid w:val="00E20CD8"/>
    <w:rsid w:val="00E23C20"/>
    <w:rsid w:val="00E2670E"/>
    <w:rsid w:val="00E26D05"/>
    <w:rsid w:val="00E27150"/>
    <w:rsid w:val="00E3196A"/>
    <w:rsid w:val="00E40632"/>
    <w:rsid w:val="00E501EC"/>
    <w:rsid w:val="00E5223E"/>
    <w:rsid w:val="00E52E14"/>
    <w:rsid w:val="00E55C53"/>
    <w:rsid w:val="00E56C23"/>
    <w:rsid w:val="00E62947"/>
    <w:rsid w:val="00E71FAF"/>
    <w:rsid w:val="00E7515C"/>
    <w:rsid w:val="00E85581"/>
    <w:rsid w:val="00E85FEB"/>
    <w:rsid w:val="00EA2577"/>
    <w:rsid w:val="00EA3253"/>
    <w:rsid w:val="00EA48B1"/>
    <w:rsid w:val="00EB2CAA"/>
    <w:rsid w:val="00EB7923"/>
    <w:rsid w:val="00EC4AA8"/>
    <w:rsid w:val="00EC6CA4"/>
    <w:rsid w:val="00ED7DFF"/>
    <w:rsid w:val="00EE139F"/>
    <w:rsid w:val="00EF0C7B"/>
    <w:rsid w:val="00EF1074"/>
    <w:rsid w:val="00F01A53"/>
    <w:rsid w:val="00F03E7C"/>
    <w:rsid w:val="00F03E90"/>
    <w:rsid w:val="00F22EC0"/>
    <w:rsid w:val="00F335F3"/>
    <w:rsid w:val="00F37B06"/>
    <w:rsid w:val="00F40CF8"/>
    <w:rsid w:val="00F46CCC"/>
    <w:rsid w:val="00F46FCE"/>
    <w:rsid w:val="00F507CD"/>
    <w:rsid w:val="00F53DF1"/>
    <w:rsid w:val="00F663CE"/>
    <w:rsid w:val="00F81C5E"/>
    <w:rsid w:val="00F82C5F"/>
    <w:rsid w:val="00F86D74"/>
    <w:rsid w:val="00FA169D"/>
    <w:rsid w:val="00FB25B1"/>
    <w:rsid w:val="00FB79CD"/>
    <w:rsid w:val="00FC41F7"/>
    <w:rsid w:val="00FC5EF4"/>
    <w:rsid w:val="00FD232E"/>
    <w:rsid w:val="00FD4B4F"/>
    <w:rsid w:val="00FE1465"/>
    <w:rsid w:val="00FE1BB0"/>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B917"/>
  <w15:chartTrackingRefBased/>
  <w15:docId w15:val="{0DB22233-BC64-476F-BDD7-4C545376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9E115C"/>
    <w:pPr>
      <w:spacing w:before="100" w:beforeAutospacing="1" w:after="100" w:afterAutospacing="1"/>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E115C"/>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1E33B1"/>
    <w:pPr>
      <w:tabs>
        <w:tab w:val="center" w:pos="4680"/>
        <w:tab w:val="right" w:pos="9360"/>
      </w:tabs>
    </w:pPr>
  </w:style>
  <w:style w:type="character" w:customStyle="1" w:styleId="FooterChar">
    <w:name w:val="Footer Char"/>
    <w:link w:val="Footer"/>
    <w:uiPriority w:val="99"/>
    <w:rsid w:val="001E33B1"/>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776756271">
      <w:bodyDiv w:val="1"/>
      <w:marLeft w:val="0"/>
      <w:marRight w:val="0"/>
      <w:marTop w:val="0"/>
      <w:marBottom w:val="0"/>
      <w:divBdr>
        <w:top w:val="none" w:sz="0" w:space="0" w:color="auto"/>
        <w:left w:val="none" w:sz="0" w:space="0" w:color="auto"/>
        <w:bottom w:val="none" w:sz="0" w:space="0" w:color="auto"/>
        <w:right w:val="none" w:sz="0" w:space="0" w:color="auto"/>
      </w:divBdr>
    </w:div>
    <w:div w:id="926310124">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875685F-9700-4374-AE8B-BDDDC5C8E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CB3D5-53CB-4FCC-A656-093938406580}">
  <ds:schemaRefs>
    <ds:schemaRef ds:uri="http://schemas.microsoft.com/sharepoint/v3/contenttype/forms"/>
  </ds:schemaRefs>
</ds:datastoreItem>
</file>

<file path=customXml/itemProps3.xml><?xml version="1.0" encoding="utf-8"?>
<ds:datastoreItem xmlns:ds="http://schemas.openxmlformats.org/officeDocument/2006/customXml" ds:itemID="{9FC561FA-A084-4804-9BDB-4AF24F912D3B}">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705ECB1A-33D0-4629-8093-C99BD6116AF1}">
  <ds:schemaRefs>
    <ds:schemaRef ds:uri="http://schemas.openxmlformats.org/officeDocument/2006/bibliography"/>
  </ds:schemaRefs>
</ds:datastoreItem>
</file>

<file path=customXml/itemProps5.xml><?xml version="1.0" encoding="utf-8"?>
<ds:datastoreItem xmlns:ds="http://schemas.openxmlformats.org/officeDocument/2006/customXml" ds:itemID="{FA395950-35FB-4310-A7D6-7AE2B7DF9CE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563</Words>
  <Characters>3214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2025-10-09T14:34:00Z</cp:lastPrinted>
  <dcterms:created xsi:type="dcterms:W3CDTF">2025-10-10T14:24:00Z</dcterms:created>
  <dcterms:modified xsi:type="dcterms:W3CDTF">2025-10-10T14:24:00Z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4SQX5P7U7WPY-958212181-818083</vt:lpwstr>
  </property>
  <property fmtid="{D5CDD505-2E9C-101B-9397-08002B2CF9AE}" pid="3" name="_dlc_DocIdItemGuid">
    <vt:lpwstr>0ececb00-0dec-4c4c-bfba-e6ae2632632f</vt:lpwstr>
  </property>
  <property fmtid="{D5CDD505-2E9C-101B-9397-08002B2CF9AE}" pid="4" name="_dlc_DocIdUrl">
    <vt:lpwstr>https://senpr.sharepoint.com/sites/obralegislativa/_layouts/15/DocIdRedir.aspx?ID=4SQX5P7U7WPY-958212181-818083, 4SQX5P7U7WPY-958212181-818083</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y fmtid="{D5CDD505-2E9C-101B-9397-08002B2CF9AE}" pid="9" name="docLang">
    <vt:lpwstr>es</vt:lpwstr>
  </property>
</Properties>
</file>