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7279B2E8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52894ACF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l S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F148D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40</w:t>
      </w:r>
    </w:p>
    <w:p w14:paraId="6CA3DF2C" w14:textId="6C0199B6" w:rsidR="00DF7D86" w:rsidRPr="00E31E22" w:rsidRDefault="005418FA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 xml:space="preserve">SEGUNDO </w:t>
      </w:r>
      <w:r w:rsidR="0038510E" w:rsidRPr="00E31E22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1F0DDF2B" w:rsidR="00DF7D86" w:rsidRDefault="00EE416C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22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742ADC">
        <w:rPr>
          <w:rFonts w:ascii="Book Antiqua" w:eastAsia="Book Antiqua" w:hAnsi="Book Antiqua" w:cs="Book Antiqua"/>
          <w:color w:val="000000" w:themeColor="text1"/>
          <w:lang w:val="es-PR"/>
        </w:rPr>
        <w:t>ab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="00742ADC">
        <w:rPr>
          <w:rFonts w:ascii="Book Antiqua" w:eastAsia="Book Antiqua" w:hAnsi="Book Antiqua" w:cs="Book Antiqua"/>
          <w:color w:val="000000" w:themeColor="text1"/>
          <w:lang w:val="es-PR"/>
        </w:rPr>
        <w:t>il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E31E22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44B9E2A4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 xml:space="preserve"> Proyecto del Senado </w:t>
      </w:r>
      <w:r w:rsidR="003F41D0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D03E6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3F41D0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901C6F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743568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73940845" w14:textId="3800A2C4" w:rsidR="007770FE" w:rsidRDefault="003B38A4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D66C7F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E411C" w:rsidRPr="006E411C">
        <w:rPr>
          <w:rFonts w:ascii="Book Antiqua" w:hAnsi="Book Antiqua"/>
          <w:lang w:val="es-PR"/>
        </w:rPr>
        <w:t xml:space="preserve">enmendar los </w:t>
      </w:r>
      <w:r w:rsidR="006E411C">
        <w:rPr>
          <w:rFonts w:ascii="Book Antiqua" w:hAnsi="Book Antiqua"/>
          <w:lang w:val="es-PR"/>
        </w:rPr>
        <w:t>a</w:t>
      </w:r>
      <w:r w:rsidR="006E411C" w:rsidRPr="006E411C">
        <w:rPr>
          <w:rFonts w:ascii="Book Antiqua" w:hAnsi="Book Antiqua"/>
          <w:lang w:val="es-PR"/>
        </w:rPr>
        <w:t>rtículos 26, 27, 28, 30 y 32 de la Ley Núm. 134 de 28 de junio de 1969, según enmendada,</w:t>
      </w:r>
      <w:r w:rsidR="006E411C">
        <w:rPr>
          <w:rStyle w:val="FootnoteReference"/>
          <w:rFonts w:ascii="Book Antiqua" w:hAnsi="Book Antiqua"/>
          <w:lang w:val="es-PR"/>
        </w:rPr>
        <w:footnoteReference w:id="1"/>
      </w:r>
      <w:r w:rsidR="006E411C" w:rsidRPr="006E411C">
        <w:rPr>
          <w:rFonts w:ascii="Book Antiqua" w:hAnsi="Book Antiqua"/>
          <w:lang w:val="es-PR"/>
        </w:rPr>
        <w:t xml:space="preserve"> </w:t>
      </w:r>
      <w:r w:rsidR="00BE3F59" w:rsidRPr="00BE3F59">
        <w:rPr>
          <w:rFonts w:ascii="Book Antiqua" w:hAnsi="Book Antiqua"/>
          <w:lang w:val="es-PR"/>
        </w:rPr>
        <w:t xml:space="preserve">a los fines de atemperar sus disposiciones y delitos al sistema de penas establecido en la Ley </w:t>
      </w:r>
      <w:r w:rsidR="00FE7DA6">
        <w:rPr>
          <w:rFonts w:ascii="Book Antiqua" w:hAnsi="Book Antiqua"/>
          <w:lang w:val="es-PR"/>
        </w:rPr>
        <w:t xml:space="preserve">Núm. </w:t>
      </w:r>
      <w:r w:rsidR="00BE3F59" w:rsidRPr="00BE3F59">
        <w:rPr>
          <w:rFonts w:ascii="Book Antiqua" w:hAnsi="Book Antiqua"/>
          <w:lang w:val="es-PR"/>
        </w:rPr>
        <w:t>146-2012, según enmendada</w:t>
      </w:r>
      <w:r w:rsidR="00FE7DA6">
        <w:rPr>
          <w:rFonts w:ascii="Book Antiqua" w:hAnsi="Book Antiqua"/>
          <w:lang w:val="es-PR"/>
        </w:rPr>
        <w:t>;</w:t>
      </w:r>
      <w:r w:rsidR="00FE7DA6">
        <w:rPr>
          <w:rStyle w:val="FootnoteReference"/>
          <w:rFonts w:ascii="Book Antiqua" w:hAnsi="Book Antiqua"/>
          <w:lang w:val="es-PR"/>
        </w:rPr>
        <w:footnoteReference w:id="2"/>
      </w:r>
      <w:r w:rsidR="00BE3F59" w:rsidRPr="00BE3F59">
        <w:rPr>
          <w:rFonts w:ascii="Book Antiqua" w:hAnsi="Book Antiqua"/>
          <w:lang w:val="es-PR"/>
        </w:rPr>
        <w:t xml:space="preserve"> y para otros fines relacionados.</w:t>
      </w:r>
    </w:p>
    <w:p w14:paraId="1D66CAEA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418AB32B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35959E75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5F1CD424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51EB3F87" w14:textId="77777777" w:rsidR="0041747F" w:rsidRDefault="0041747F" w:rsidP="007F0A1F">
      <w:pPr>
        <w:spacing w:after="24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4595A8FA" w14:textId="6EDDE6C6" w:rsidR="003B38A4" w:rsidRPr="00743568" w:rsidRDefault="003B38A4" w:rsidP="00B013B0">
      <w:pPr>
        <w:spacing w:after="16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2B1B8E08" w14:textId="1A625A59" w:rsidR="00666142" w:rsidRPr="00666142" w:rsidRDefault="006B4220" w:rsidP="00542F79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B422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 la Ley </w:t>
      </w:r>
      <w:r w:rsidR="00FE7DA6"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146-2012, se adoptó en nuestra jurisdicción un nuevo Código Penal, el cual reformuló el ordenamiento jurídico y modificó las penas aplicables a cada delito. 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94258A" w:rsidRPr="00666142">
        <w:rPr>
          <w:rFonts w:ascii="Book Antiqua" w:eastAsia="Book Antiqua" w:hAnsi="Book Antiqua" w:cs="Book Antiqua"/>
          <w:color w:val="000000" w:themeColor="text1"/>
          <w:lang w:val="es-PR"/>
        </w:rPr>
        <w:t>ste Código establece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>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2DC88B1C" w14:textId="0D903D1B" w:rsidR="00E358B7" w:rsidRDefault="00666142" w:rsidP="00542F79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Armonizar las penas contempladas en las leyes penales especiales con las disposiciones del Código Penal de Puerto Rico de 2012, es una medida esencial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arantiza que el sistema de justicia se mantenga coherente y alineado con el sistema de sentencias fijas establecido en la legislación vigente. La revisión y actualización de las leyes penales especiales evitará decisiones inconsistentes en la aplicación e imposición de penas y asegurará que el sistema penal sea justo y equitativo</w:t>
      </w:r>
      <w:r w:rsidR="00F2510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2CD2A53" w14:textId="2093B3C6" w:rsidR="00F25102" w:rsidRDefault="00FB470C" w:rsidP="00542F7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9487B" w:rsidRPr="00BE3F59">
        <w:rPr>
          <w:rFonts w:ascii="Book Antiqua" w:hAnsi="Book Antiqua"/>
          <w:lang w:val="es-PR"/>
        </w:rPr>
        <w:t xml:space="preserve">Ley </w:t>
      </w:r>
      <w:r w:rsidR="0039487B">
        <w:rPr>
          <w:rFonts w:ascii="Book Antiqua" w:hAnsi="Book Antiqua"/>
          <w:lang w:val="es-PR"/>
        </w:rPr>
        <w:t xml:space="preserve">Núm. </w:t>
      </w:r>
      <w:r w:rsidR="0039487B" w:rsidRPr="00BE3F59">
        <w:rPr>
          <w:rFonts w:ascii="Book Antiqua" w:hAnsi="Book Antiqua"/>
          <w:lang w:val="es-PR"/>
        </w:rPr>
        <w:t>1</w:t>
      </w:r>
      <w:r w:rsidR="00200EC6">
        <w:rPr>
          <w:rFonts w:ascii="Book Antiqua" w:hAnsi="Book Antiqua"/>
          <w:lang w:val="es-PR"/>
        </w:rPr>
        <w:t>3</w:t>
      </w:r>
      <w:r w:rsidR="0039487B" w:rsidRPr="00BE3F59">
        <w:rPr>
          <w:rFonts w:ascii="Book Antiqua" w:hAnsi="Book Antiqua"/>
          <w:lang w:val="es-PR"/>
        </w:rPr>
        <w:t>4-</w:t>
      </w:r>
      <w:r w:rsidR="00200EC6">
        <w:rPr>
          <w:rFonts w:ascii="Book Antiqua" w:hAnsi="Book Antiqua"/>
          <w:lang w:val="es-PR"/>
        </w:rPr>
        <w:t>1969</w:t>
      </w: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 aún no ha sido atemperada con el nuevo sistema de penas establecido en el Código Penal de 2012. Esta omisión </w:t>
      </w:r>
      <w:r w:rsidR="00E554D4" w:rsidRPr="00227FD1">
        <w:rPr>
          <w:rFonts w:ascii="Book Antiqua" w:hAnsi="Book Antiqua"/>
          <w:szCs w:val="24"/>
          <w:lang w:val="es-PR"/>
        </w:rPr>
        <w:t>impide cumplir adecuadamente con el objetivo de rehabilitación y reintegración social que dicho Código promueve a través de un sistema de sentencias fijas.</w:t>
      </w:r>
    </w:p>
    <w:p w14:paraId="19139031" w14:textId="08243F5C" w:rsidR="008E1A90" w:rsidRDefault="00274838" w:rsidP="00542F7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El P.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9E0BDF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fue </w:t>
      </w:r>
      <w:r w:rsidR="009E209E">
        <w:rPr>
          <w:rFonts w:ascii="Book Antiqua" w:eastAsia="Book Antiqua" w:hAnsi="Book Antiqua" w:cs="Book Antiqua"/>
          <w:color w:val="000000" w:themeColor="text1"/>
          <w:lang w:val="es-PR"/>
        </w:rPr>
        <w:t>atendid</w:t>
      </w:r>
      <w:r w:rsidR="006B60D0">
        <w:rPr>
          <w:rFonts w:ascii="Book Antiqua" w:eastAsia="Book Antiqua" w:hAnsi="Book Antiqua" w:cs="Book Antiqua"/>
          <w:color w:val="000000" w:themeColor="text1"/>
          <w:lang w:val="es-PR"/>
        </w:rPr>
        <w:t>o en la Comisión de lo Jurídico del Senado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 xml:space="preserve">, y fue </w:t>
      </w:r>
      <w:r w:rsidR="00AF388A">
        <w:rPr>
          <w:rFonts w:ascii="Book Antiqua" w:eastAsia="Book Antiqua" w:hAnsi="Book Antiqua" w:cs="Book Antiqua"/>
          <w:color w:val="000000" w:themeColor="text1"/>
          <w:lang w:val="es-PR"/>
        </w:rPr>
        <w:t xml:space="preserve">aprobado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>con enmiendas en sala</w:t>
      </w:r>
      <w:r w:rsidR="00305781">
        <w:rPr>
          <w:rFonts w:ascii="Book Antiqua" w:eastAsia="Book Antiqua" w:hAnsi="Book Antiqua" w:cs="Book Antiqua"/>
          <w:color w:val="000000" w:themeColor="text1"/>
          <w:lang w:val="es-PR"/>
        </w:rPr>
        <w:t xml:space="preserve"> y del informe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Se p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rocede a resumir la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ponencia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29454F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expediente de esta comisión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BF33EB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</w:p>
    <w:p w14:paraId="1B902DFC" w14:textId="2E3E93E2" w:rsidR="00C517FF" w:rsidRDefault="005D4E6A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Servicios Legislativos </w:t>
      </w:r>
      <w:r w:rsidR="009D0BC6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OSL</w:t>
      </w:r>
      <w:r w:rsidR="009D0BC6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86410B">
        <w:rPr>
          <w:rFonts w:ascii="Book Antiqua" w:eastAsia="Book Antiqua" w:hAnsi="Book Antiqua" w:cs="Book Antiqua"/>
          <w:color w:val="000000" w:themeColor="text1"/>
          <w:lang w:val="es-PR"/>
        </w:rPr>
        <w:t xml:space="preserve">explicó que </w:t>
      </w:r>
      <w:r w:rsidR="005A44F3">
        <w:rPr>
          <w:rFonts w:ascii="Book Antiqua" w:eastAsia="Book Antiqua" w:hAnsi="Book Antiqua" w:cs="Book Antiqua"/>
          <w:color w:val="000000" w:themeColor="text1"/>
          <w:lang w:val="es-PR"/>
        </w:rPr>
        <w:t>la función inherente de la Asamblea Legislativa de aprobar y derogar leyes surge de la Constitución de Puerto Rico</w:t>
      </w:r>
      <w:r w:rsidR="00107E3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107E3B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4"/>
      </w:r>
      <w:r w:rsidR="00DC502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443B5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disposición también explica </w:t>
      </w:r>
      <w:r w:rsidR="00F34766">
        <w:rPr>
          <w:rFonts w:ascii="Book Antiqua" w:eastAsia="Book Antiqua" w:hAnsi="Book Antiqua" w:cs="Book Antiqua"/>
          <w:color w:val="000000" w:themeColor="text1"/>
          <w:lang w:val="es-PR"/>
        </w:rPr>
        <w:t>cómo</w:t>
      </w:r>
      <w:r w:rsidR="00C443B5">
        <w:rPr>
          <w:rFonts w:ascii="Book Antiqua" w:eastAsia="Book Antiqua" w:hAnsi="Book Antiqua" w:cs="Book Antiqua"/>
          <w:color w:val="000000" w:themeColor="text1"/>
          <w:lang w:val="es-PR"/>
        </w:rPr>
        <w:t xml:space="preserve"> se lleva el</w:t>
      </w:r>
      <w:r w:rsidR="00F34766">
        <w:rPr>
          <w:rFonts w:ascii="Book Antiqua" w:eastAsia="Book Antiqua" w:hAnsi="Book Antiqua" w:cs="Book Antiqua"/>
          <w:color w:val="000000" w:themeColor="text1"/>
          <w:lang w:val="es-PR"/>
        </w:rPr>
        <w:t xml:space="preserve"> referido</w:t>
      </w:r>
      <w:r w:rsidR="00C443B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proceso de </w:t>
      </w:r>
      <w:r w:rsidR="00F34766">
        <w:rPr>
          <w:rFonts w:ascii="Book Antiqua" w:eastAsia="Book Antiqua" w:hAnsi="Book Antiqua" w:cs="Book Antiqua"/>
          <w:color w:val="000000" w:themeColor="text1"/>
          <w:lang w:val="es-PR"/>
        </w:rPr>
        <w:t>aprobar y derogar estatutos.</w:t>
      </w:r>
    </w:p>
    <w:p w14:paraId="37329F1B" w14:textId="46ADC9B5" w:rsidR="001A4E0B" w:rsidRDefault="00A409E4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OSL </w:t>
      </w:r>
      <w:r w:rsidR="00A20AFD">
        <w:rPr>
          <w:rFonts w:ascii="Book Antiqua" w:eastAsia="Book Antiqua" w:hAnsi="Book Antiqua" w:cs="Book Antiqua"/>
          <w:color w:val="000000" w:themeColor="text1"/>
          <w:lang w:val="es-PR"/>
        </w:rPr>
        <w:t>analizó el principio de especialidad</w:t>
      </w:r>
      <w:r w:rsidR="00D01632">
        <w:rPr>
          <w:rFonts w:ascii="Book Antiqua" w:eastAsia="Book Antiqua" w:hAnsi="Book Antiqua" w:cs="Book Antiqua"/>
          <w:color w:val="000000" w:themeColor="text1"/>
          <w:lang w:val="es-PR"/>
        </w:rPr>
        <w:t xml:space="preserve"> penal</w:t>
      </w:r>
      <w:r w:rsidR="00A20AFD">
        <w:rPr>
          <w:rFonts w:ascii="Book Antiqua" w:eastAsia="Book Antiqua" w:hAnsi="Book Antiqua" w:cs="Book Antiqua"/>
          <w:color w:val="000000" w:themeColor="text1"/>
          <w:lang w:val="es-PR"/>
        </w:rPr>
        <w:t>, regla de interpretación</w:t>
      </w:r>
      <w:r w:rsidR="00D01632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toma en cuenta la relación jerárquica en que</w:t>
      </w:r>
      <w:r w:rsidR="00D42EF5">
        <w:rPr>
          <w:rFonts w:ascii="Book Antiqua" w:eastAsia="Book Antiqua" w:hAnsi="Book Antiqua" w:cs="Book Antiqua"/>
          <w:color w:val="000000" w:themeColor="text1"/>
          <w:lang w:val="es-PR"/>
        </w:rPr>
        <w:t xml:space="preserve"> se</w:t>
      </w:r>
      <w:r w:rsidR="00D01632">
        <w:rPr>
          <w:rFonts w:ascii="Book Antiqua" w:eastAsia="Book Antiqua" w:hAnsi="Book Antiqua" w:cs="Book Antiqua"/>
          <w:color w:val="000000" w:themeColor="text1"/>
          <w:lang w:val="es-PR"/>
        </w:rPr>
        <w:t xml:space="preserve"> hallan distintas </w:t>
      </w:r>
      <w:r w:rsidR="007D4F62">
        <w:rPr>
          <w:rFonts w:ascii="Book Antiqua" w:eastAsia="Book Antiqua" w:hAnsi="Book Antiqua" w:cs="Book Antiqua"/>
          <w:color w:val="000000" w:themeColor="text1"/>
          <w:lang w:val="es-PR"/>
        </w:rPr>
        <w:t xml:space="preserve">normas que concurren en la aplicación de un hecho delictivo. </w:t>
      </w:r>
      <w:r w:rsidR="00031B17"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cuando varias leyes rigen una controversia, se aplica la ley especial. Esto se reitera en el </w:t>
      </w:r>
      <w:r w:rsidR="00871185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9 del </w:t>
      </w:r>
      <w:r w:rsidR="00031B17">
        <w:rPr>
          <w:rFonts w:ascii="Book Antiqua" w:eastAsia="Book Antiqua" w:hAnsi="Book Antiqua" w:cs="Book Antiqua"/>
          <w:color w:val="000000" w:themeColor="text1"/>
          <w:lang w:val="es-PR"/>
        </w:rPr>
        <w:t>Código Penal de 2012</w:t>
      </w:r>
      <w:r w:rsidR="00CA113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895E8E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5"/>
      </w:r>
    </w:p>
    <w:p w14:paraId="6D1AEC69" w14:textId="77777777" w:rsidR="00136086" w:rsidRDefault="00136086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1C11BCC" w14:textId="77777777" w:rsidR="00813546" w:rsidRDefault="00813546" w:rsidP="0013608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40DE8B4" w14:textId="4683B956" w:rsidR="00944F3E" w:rsidRDefault="005F5649" w:rsidP="00AF2FB9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Según sucede en otras jurisdicciones, nuestro ordenamiento jurídico se expone a cambios constantes</w:t>
      </w:r>
      <w:r w:rsidR="0035493F">
        <w:rPr>
          <w:rFonts w:ascii="Book Antiqua" w:eastAsia="Book Antiqua" w:hAnsi="Book Antiqua" w:cs="Book Antiqua"/>
          <w:color w:val="000000" w:themeColor="text1"/>
          <w:lang w:val="es-PR"/>
        </w:rPr>
        <w:t xml:space="preserve">. Por ello, los estatutos y el derecho vigente deben ser cambiantes y atemperados a las </w:t>
      </w:r>
      <w:r w:rsidR="00AF2FB9">
        <w:rPr>
          <w:rFonts w:ascii="Book Antiqua" w:eastAsia="Book Antiqua" w:hAnsi="Book Antiqua" w:cs="Book Antiqua"/>
          <w:color w:val="000000" w:themeColor="text1"/>
          <w:lang w:val="es-PR"/>
        </w:rPr>
        <w:t>circunstancias que así lo ameriten para mantener su sentido práctico y armónico.</w:t>
      </w:r>
      <w:r w:rsidR="004E3D6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F2FB9">
        <w:rPr>
          <w:rFonts w:ascii="Book Antiqua" w:eastAsia="Book Antiqua" w:hAnsi="Book Antiqua" w:cs="Book Antiqua"/>
          <w:color w:val="000000" w:themeColor="text1"/>
          <w:lang w:val="es-PR"/>
        </w:rPr>
        <w:t>Para la OSL, medidas como el P. del S. 40 promueven la claridad y coherencia en nuestro ordenamiento jurídico, mientras permiten que los estatutos funcionen y se interpreten correctamente.</w:t>
      </w:r>
    </w:p>
    <w:p w14:paraId="027E3633" w14:textId="42CB15BE" w:rsidR="007A2CC6" w:rsidRDefault="00237071" w:rsidP="0013608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Como de costumbre, con su memorial</w:t>
      </w:r>
      <w:r w:rsidR="00A953F3">
        <w:rPr>
          <w:rFonts w:ascii="Book Antiqua" w:eastAsia="Book Antiqua" w:hAnsi="Book Antiqua" w:cs="Book Antiqua"/>
          <w:color w:val="000000" w:themeColor="text1"/>
          <w:lang w:val="es-PR"/>
        </w:rPr>
        <w:t xml:space="preserve">, la OSL incluyó un borrador de </w:t>
      </w:r>
      <w:proofErr w:type="spellStart"/>
      <w:r w:rsidR="00A953F3">
        <w:rPr>
          <w:rFonts w:ascii="Book Antiqua" w:eastAsia="Book Antiqua" w:hAnsi="Book Antiqua" w:cs="Book Antiqua"/>
          <w:color w:val="000000" w:themeColor="text1"/>
          <w:lang w:val="es-PR"/>
        </w:rPr>
        <w:t>entirillado</w:t>
      </w:r>
      <w:proofErr w:type="spellEnd"/>
      <w:r w:rsidR="00A953F3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cual incorporó enmiendas al texto para fortalecer su intenci</w:t>
      </w:r>
      <w:r w:rsidR="004A218E">
        <w:rPr>
          <w:rFonts w:ascii="Book Antiqua" w:eastAsia="Book Antiqua" w:hAnsi="Book Antiqua" w:cs="Book Antiqua"/>
          <w:color w:val="000000" w:themeColor="text1"/>
          <w:lang w:val="es-PR"/>
        </w:rPr>
        <w:t>ón legislativa. Tal borrador se hizo en cumplimiento con la reglamentación de la Cámara de Representantes.</w:t>
      </w:r>
    </w:p>
    <w:p w14:paraId="528F8908" w14:textId="26C77587" w:rsidR="003B38A4" w:rsidRPr="00900476" w:rsidRDefault="003B38A4" w:rsidP="00AF2FB9">
      <w:pPr>
        <w:spacing w:after="12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089B5293" w14:textId="57A2CAB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concuerda con la OSL en que esta medida es un ejercicio válido legislativo 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de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atemperar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las sanciones de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8615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nuestras leyes especiales al 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sistema de penas fijas</w:t>
      </w:r>
      <w:r w:rsidR="00F8615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del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C15690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Código </w:t>
      </w:r>
      <w:r w:rsidR="00C15690">
        <w:rPr>
          <w:rFonts w:ascii="Book Antiqua" w:eastAsia="Book Antiqua" w:hAnsi="Book Antiqua" w:cs="Book Antiqua"/>
          <w:color w:val="000000" w:themeColor="text1"/>
          <w:lang w:val="es-PR"/>
        </w:rPr>
        <w:t>Penal</w:t>
      </w:r>
      <w:r w:rsidR="00C15690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2012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Este ejercicio es avalado por el artículo 307 del referido código.</w:t>
      </w:r>
      <w:r w:rsidR="005C13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Así, el </w:t>
      </w:r>
      <w:proofErr w:type="spellStart"/>
      <w:r w:rsidR="005C13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5C13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8B474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solo </w:t>
      </w:r>
      <w:r w:rsidR="00DF013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incluye </w:t>
      </w:r>
      <w:r w:rsidR="005A48E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enmiendas cosméticas y de forma.</w:t>
      </w:r>
    </w:p>
    <w:p w14:paraId="3BE57315" w14:textId="1B47BBA7" w:rsidR="004512E8" w:rsidRPr="001711E6" w:rsidRDefault="00293568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 fin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apr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uebe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 P. de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40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30DFC246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8B474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7A32B" w14:textId="77777777" w:rsidR="000B473B" w:rsidRDefault="000B473B">
      <w:r>
        <w:separator/>
      </w:r>
    </w:p>
  </w:endnote>
  <w:endnote w:type="continuationSeparator" w:id="0">
    <w:p w14:paraId="194252E9" w14:textId="77777777" w:rsidR="000B473B" w:rsidRDefault="000B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A84F5" w14:textId="77777777" w:rsidR="000B473B" w:rsidRDefault="000B473B">
      <w:r>
        <w:separator/>
      </w:r>
    </w:p>
  </w:footnote>
  <w:footnote w:type="continuationSeparator" w:id="0">
    <w:p w14:paraId="7C350C6B" w14:textId="77777777" w:rsidR="000B473B" w:rsidRDefault="000B473B">
      <w:r>
        <w:continuationSeparator/>
      </w:r>
    </w:p>
  </w:footnote>
  <w:footnote w:id="1">
    <w:p w14:paraId="3E0A7B7A" w14:textId="4A98917D" w:rsidR="006E411C" w:rsidRPr="00C7442C" w:rsidRDefault="006E411C" w:rsidP="0041747F">
      <w:pPr>
        <w:pStyle w:val="FootnoteText"/>
        <w:spacing w:after="60"/>
        <w:rPr>
          <w:rFonts w:ascii="Book Antiqua" w:hAnsi="Book Antiqua"/>
        </w:rPr>
      </w:pPr>
      <w:r w:rsidRPr="00C7442C">
        <w:rPr>
          <w:rStyle w:val="FootnoteReference"/>
          <w:rFonts w:ascii="Book Antiqua" w:hAnsi="Book Antiqua"/>
        </w:rPr>
        <w:footnoteRef/>
      </w:r>
      <w:r w:rsidRPr="00C7442C">
        <w:rPr>
          <w:rFonts w:ascii="Book Antiqua" w:hAnsi="Book Antiqua"/>
        </w:rPr>
        <w:t xml:space="preserve"> Conocida como </w:t>
      </w:r>
      <w:r w:rsidR="009518F5" w:rsidRPr="00C7442C">
        <w:rPr>
          <w:rFonts w:ascii="Book Antiqua" w:hAnsi="Book Antiqua"/>
        </w:rPr>
        <w:t>Ley de Explosivos de Puerto Rico.</w:t>
      </w:r>
    </w:p>
  </w:footnote>
  <w:footnote w:id="2">
    <w:p w14:paraId="35E66D92" w14:textId="2963CB76" w:rsidR="00FE7DA6" w:rsidRPr="00C7442C" w:rsidRDefault="00FE7DA6" w:rsidP="0041747F">
      <w:pPr>
        <w:pStyle w:val="FootnoteText"/>
        <w:spacing w:after="60"/>
        <w:rPr>
          <w:rFonts w:ascii="Book Antiqua" w:hAnsi="Book Antiqua"/>
        </w:rPr>
      </w:pPr>
      <w:r w:rsidRPr="00C7442C">
        <w:rPr>
          <w:rStyle w:val="FootnoteReference"/>
          <w:rFonts w:ascii="Book Antiqua" w:hAnsi="Book Antiqua"/>
        </w:rPr>
        <w:footnoteRef/>
      </w:r>
      <w:r w:rsidRPr="00C7442C">
        <w:rPr>
          <w:rFonts w:ascii="Book Antiqua" w:hAnsi="Book Antiqua"/>
        </w:rPr>
        <w:t xml:space="preserve"> Conocida como Código Penal de Puerto Rico.</w:t>
      </w:r>
    </w:p>
  </w:footnote>
  <w:footnote w:id="3">
    <w:p w14:paraId="719F6823" w14:textId="7D0DB0F2" w:rsidR="00BF33EB" w:rsidRPr="00B013B0" w:rsidRDefault="00BF33EB" w:rsidP="00B013B0">
      <w:pPr>
        <w:pStyle w:val="FootnoteText"/>
        <w:spacing w:after="60"/>
        <w:rPr>
          <w:rFonts w:ascii="Book Antiqua" w:hAnsi="Book Antiqua"/>
        </w:rPr>
      </w:pPr>
      <w:r w:rsidRPr="00B013B0">
        <w:rPr>
          <w:rStyle w:val="FootnoteReference"/>
          <w:rFonts w:ascii="Book Antiqua" w:hAnsi="Book Antiqua"/>
        </w:rPr>
        <w:footnoteRef/>
      </w:r>
      <w:r w:rsidRPr="00B013B0">
        <w:rPr>
          <w:rFonts w:ascii="Book Antiqua" w:hAnsi="Book Antiqua"/>
        </w:rPr>
        <w:t xml:space="preserve"> Esta comisión solicitó el memorial que se recibió de la Oficina de Servicios Legislativos.</w:t>
      </w:r>
    </w:p>
  </w:footnote>
  <w:footnote w:id="4">
    <w:p w14:paraId="6B04C576" w14:textId="204E3956" w:rsidR="00107E3B" w:rsidRPr="00B013B0" w:rsidRDefault="00107E3B" w:rsidP="00B013B0">
      <w:pPr>
        <w:pStyle w:val="FootnoteText"/>
        <w:spacing w:after="60"/>
        <w:rPr>
          <w:rFonts w:ascii="Book Antiqua" w:hAnsi="Book Antiqua"/>
        </w:rPr>
      </w:pPr>
      <w:r w:rsidRPr="00B013B0">
        <w:rPr>
          <w:rStyle w:val="FootnoteReference"/>
          <w:rFonts w:ascii="Book Antiqua" w:hAnsi="Book Antiqua"/>
        </w:rPr>
        <w:footnoteRef/>
      </w:r>
      <w:r w:rsidRPr="00B013B0">
        <w:rPr>
          <w:rFonts w:ascii="Book Antiqua" w:hAnsi="Book Antiqua"/>
        </w:rPr>
        <w:t xml:space="preserve"> Artículo III, sección 17.</w:t>
      </w:r>
    </w:p>
  </w:footnote>
  <w:footnote w:id="5">
    <w:p w14:paraId="141FFED2" w14:textId="2F7460C3" w:rsidR="00895E8E" w:rsidRPr="009D55A5" w:rsidRDefault="00895E8E" w:rsidP="00B013B0">
      <w:pPr>
        <w:pStyle w:val="FootnoteText"/>
        <w:spacing w:after="60"/>
      </w:pPr>
      <w:r w:rsidRPr="00B013B0">
        <w:rPr>
          <w:rStyle w:val="FootnoteReference"/>
          <w:rFonts w:ascii="Book Antiqua" w:hAnsi="Book Antiqua"/>
        </w:rPr>
        <w:footnoteRef/>
      </w:r>
      <w:r w:rsidRPr="00B013B0">
        <w:rPr>
          <w:rFonts w:ascii="Book Antiqua" w:hAnsi="Book Antiqua"/>
        </w:rPr>
        <w:t xml:space="preserve"> Para un análisis </w:t>
      </w:r>
      <w:r w:rsidR="009D55A5" w:rsidRPr="00B013B0">
        <w:rPr>
          <w:rFonts w:ascii="Book Antiqua" w:hAnsi="Book Antiqua"/>
        </w:rPr>
        <w:t xml:space="preserve">más profundo del </w:t>
      </w:r>
      <w:r w:rsidR="001674F9" w:rsidRPr="00B013B0">
        <w:rPr>
          <w:rFonts w:ascii="Book Antiqua" w:hAnsi="Book Antiqua"/>
        </w:rPr>
        <w:t xml:space="preserve">principio de </w:t>
      </w:r>
      <w:r w:rsidR="006D07FF" w:rsidRPr="00B013B0">
        <w:rPr>
          <w:rFonts w:ascii="Book Antiqua" w:hAnsi="Book Antiqua"/>
        </w:rPr>
        <w:t xml:space="preserve">especialidad véase </w:t>
      </w:r>
      <w:r w:rsidR="00723165" w:rsidRPr="00B013B0">
        <w:rPr>
          <w:rFonts w:ascii="Book Antiqua" w:hAnsi="Book Antiqua"/>
          <w:i/>
          <w:iCs/>
        </w:rPr>
        <w:t xml:space="preserve">Pueblo v. Plaza, </w:t>
      </w:r>
      <w:r w:rsidR="00723165" w:rsidRPr="00B013B0">
        <w:rPr>
          <w:rFonts w:ascii="Book Antiqua" w:hAnsi="Book Antiqua"/>
        </w:rPr>
        <w:t xml:space="preserve">199 DPR 276 (2017); </w:t>
      </w:r>
      <w:r w:rsidR="006D07FF" w:rsidRPr="00B013B0">
        <w:rPr>
          <w:rFonts w:ascii="Book Antiqua" w:hAnsi="Book Antiqua"/>
          <w:i/>
          <w:iCs/>
        </w:rPr>
        <w:t xml:space="preserve">Pueblo v. Ramos Rivas, </w:t>
      </w:r>
      <w:r w:rsidR="006D07FF" w:rsidRPr="00B013B0">
        <w:rPr>
          <w:rFonts w:ascii="Book Antiqua" w:hAnsi="Book Antiqua"/>
        </w:rPr>
        <w:t>171 DPR 826 (2007)</w:t>
      </w:r>
      <w:r w:rsidR="00723165" w:rsidRPr="00B013B0">
        <w:rPr>
          <w:rFonts w:ascii="Book Antiqua" w:hAnsi="Book Antiqua"/>
        </w:rPr>
        <w:t>.</w:t>
      </w:r>
      <w:r w:rsidR="006D07FF"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0C291" w14:textId="10C8F9BA" w:rsidR="00E6576D" w:rsidRDefault="005418FA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 xml:space="preserve">Segundo 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</w:t>
    </w:r>
    <w:r w:rsidR="00DA725C">
      <w:rPr>
        <w:rFonts w:ascii="Calibri" w:eastAsia="Calibri" w:hAnsi="Calibri"/>
        <w:b/>
        <w:iCs/>
        <w:sz w:val="22"/>
        <w:szCs w:val="22"/>
        <w:lang w:val="es-PR"/>
      </w:rPr>
      <w:t>l S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. </w:t>
    </w:r>
    <w:r w:rsidR="0029454F">
      <w:rPr>
        <w:rFonts w:ascii="Calibri" w:eastAsia="Calibri" w:hAnsi="Calibri"/>
        <w:b/>
        <w:iCs/>
        <w:sz w:val="22"/>
        <w:szCs w:val="22"/>
        <w:lang w:val="es-PR"/>
      </w:rPr>
      <w:t>40</w:t>
    </w:r>
  </w:p>
  <w:p w14:paraId="4A7CA6BA" w14:textId="77777777" w:rsidR="00E6576D" w:rsidRDefault="00E6576D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>Comisión de lo Jurídico</w:t>
    </w:r>
  </w:p>
  <w:p w14:paraId="31A51A2D" w14:textId="695F6C48" w:rsidR="00BA0B5D" w:rsidRPr="00392CEF" w:rsidRDefault="00E6576D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>Cámara de Representantes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="00CE54D8"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="00CE54D8"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151"/>
    <w:rsid w:val="0000086C"/>
    <w:rsid w:val="00000EC6"/>
    <w:rsid w:val="00006E0B"/>
    <w:rsid w:val="0001068A"/>
    <w:rsid w:val="000142E7"/>
    <w:rsid w:val="00015228"/>
    <w:rsid w:val="00015BAD"/>
    <w:rsid w:val="00021243"/>
    <w:rsid w:val="000220C0"/>
    <w:rsid w:val="000240CE"/>
    <w:rsid w:val="00025C0E"/>
    <w:rsid w:val="000307E4"/>
    <w:rsid w:val="00031B17"/>
    <w:rsid w:val="00035FFD"/>
    <w:rsid w:val="0004014A"/>
    <w:rsid w:val="00041144"/>
    <w:rsid w:val="0004737C"/>
    <w:rsid w:val="00047B9F"/>
    <w:rsid w:val="00050B2C"/>
    <w:rsid w:val="00050E9A"/>
    <w:rsid w:val="00053176"/>
    <w:rsid w:val="00054694"/>
    <w:rsid w:val="00057C02"/>
    <w:rsid w:val="00062362"/>
    <w:rsid w:val="00065929"/>
    <w:rsid w:val="000673D8"/>
    <w:rsid w:val="000772AB"/>
    <w:rsid w:val="000777FE"/>
    <w:rsid w:val="0009035A"/>
    <w:rsid w:val="00093934"/>
    <w:rsid w:val="000949F8"/>
    <w:rsid w:val="000968F0"/>
    <w:rsid w:val="000A0600"/>
    <w:rsid w:val="000A31E4"/>
    <w:rsid w:val="000A32DC"/>
    <w:rsid w:val="000A4C87"/>
    <w:rsid w:val="000A5A42"/>
    <w:rsid w:val="000B0D43"/>
    <w:rsid w:val="000B30CB"/>
    <w:rsid w:val="000B4063"/>
    <w:rsid w:val="000B473B"/>
    <w:rsid w:val="000B6B0E"/>
    <w:rsid w:val="000B70C0"/>
    <w:rsid w:val="000C4E3C"/>
    <w:rsid w:val="000C5140"/>
    <w:rsid w:val="000C66A9"/>
    <w:rsid w:val="000D1757"/>
    <w:rsid w:val="000D2BDF"/>
    <w:rsid w:val="000D5F7E"/>
    <w:rsid w:val="000D68FC"/>
    <w:rsid w:val="000E0EC6"/>
    <w:rsid w:val="000E47C9"/>
    <w:rsid w:val="000E5D36"/>
    <w:rsid w:val="000F2868"/>
    <w:rsid w:val="000F3442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07E3B"/>
    <w:rsid w:val="00111DF4"/>
    <w:rsid w:val="00112412"/>
    <w:rsid w:val="001161EB"/>
    <w:rsid w:val="001209AD"/>
    <w:rsid w:val="001248BC"/>
    <w:rsid w:val="00126659"/>
    <w:rsid w:val="001311BA"/>
    <w:rsid w:val="001322F9"/>
    <w:rsid w:val="00134C30"/>
    <w:rsid w:val="00136086"/>
    <w:rsid w:val="00136622"/>
    <w:rsid w:val="00137B80"/>
    <w:rsid w:val="00140F2B"/>
    <w:rsid w:val="00141605"/>
    <w:rsid w:val="00141703"/>
    <w:rsid w:val="00143359"/>
    <w:rsid w:val="001525AE"/>
    <w:rsid w:val="00152FD0"/>
    <w:rsid w:val="00153CDD"/>
    <w:rsid w:val="00153D68"/>
    <w:rsid w:val="001561A6"/>
    <w:rsid w:val="00157015"/>
    <w:rsid w:val="001601C3"/>
    <w:rsid w:val="00163ABC"/>
    <w:rsid w:val="00163D3F"/>
    <w:rsid w:val="00165BA8"/>
    <w:rsid w:val="00166871"/>
    <w:rsid w:val="00166C0A"/>
    <w:rsid w:val="001674F9"/>
    <w:rsid w:val="0016762A"/>
    <w:rsid w:val="0017100B"/>
    <w:rsid w:val="001711E6"/>
    <w:rsid w:val="00171FDF"/>
    <w:rsid w:val="00183D9A"/>
    <w:rsid w:val="00184CE1"/>
    <w:rsid w:val="00186364"/>
    <w:rsid w:val="00194BE3"/>
    <w:rsid w:val="0019719C"/>
    <w:rsid w:val="001971DF"/>
    <w:rsid w:val="00197FA7"/>
    <w:rsid w:val="001A18DA"/>
    <w:rsid w:val="001A4E0B"/>
    <w:rsid w:val="001A5A3D"/>
    <w:rsid w:val="001B3A5F"/>
    <w:rsid w:val="001B4E3E"/>
    <w:rsid w:val="001C24D7"/>
    <w:rsid w:val="001D23E0"/>
    <w:rsid w:val="001D5EE7"/>
    <w:rsid w:val="001D6791"/>
    <w:rsid w:val="001E4FEC"/>
    <w:rsid w:val="001F2695"/>
    <w:rsid w:val="001F3071"/>
    <w:rsid w:val="001F4C9E"/>
    <w:rsid w:val="001F5243"/>
    <w:rsid w:val="001F5FB1"/>
    <w:rsid w:val="001F72C1"/>
    <w:rsid w:val="00200EC6"/>
    <w:rsid w:val="00203D0D"/>
    <w:rsid w:val="00206D79"/>
    <w:rsid w:val="00206E8A"/>
    <w:rsid w:val="0021611D"/>
    <w:rsid w:val="0021655A"/>
    <w:rsid w:val="00216AC7"/>
    <w:rsid w:val="00217FFD"/>
    <w:rsid w:val="0022092E"/>
    <w:rsid w:val="00221403"/>
    <w:rsid w:val="002222DA"/>
    <w:rsid w:val="002227F8"/>
    <w:rsid w:val="00224CB5"/>
    <w:rsid w:val="00225D79"/>
    <w:rsid w:val="0022608E"/>
    <w:rsid w:val="00227846"/>
    <w:rsid w:val="00231E70"/>
    <w:rsid w:val="0023302B"/>
    <w:rsid w:val="00233B5B"/>
    <w:rsid w:val="00237071"/>
    <w:rsid w:val="0024267E"/>
    <w:rsid w:val="00251481"/>
    <w:rsid w:val="0025236C"/>
    <w:rsid w:val="00253152"/>
    <w:rsid w:val="0025428E"/>
    <w:rsid w:val="002616AA"/>
    <w:rsid w:val="00264342"/>
    <w:rsid w:val="00264549"/>
    <w:rsid w:val="00265DD8"/>
    <w:rsid w:val="002673B6"/>
    <w:rsid w:val="00267DEA"/>
    <w:rsid w:val="00272871"/>
    <w:rsid w:val="00274838"/>
    <w:rsid w:val="0027514E"/>
    <w:rsid w:val="00275705"/>
    <w:rsid w:val="00275876"/>
    <w:rsid w:val="0028614D"/>
    <w:rsid w:val="002864AF"/>
    <w:rsid w:val="00291C12"/>
    <w:rsid w:val="0029300A"/>
    <w:rsid w:val="00293568"/>
    <w:rsid w:val="002939AA"/>
    <w:rsid w:val="0029448F"/>
    <w:rsid w:val="0029454F"/>
    <w:rsid w:val="00296FB9"/>
    <w:rsid w:val="0029786E"/>
    <w:rsid w:val="002A065A"/>
    <w:rsid w:val="002A2577"/>
    <w:rsid w:val="002A2DBE"/>
    <w:rsid w:val="002A2E53"/>
    <w:rsid w:val="002A3358"/>
    <w:rsid w:val="002A377C"/>
    <w:rsid w:val="002A6841"/>
    <w:rsid w:val="002A795A"/>
    <w:rsid w:val="002B2413"/>
    <w:rsid w:val="002B5684"/>
    <w:rsid w:val="002B5B63"/>
    <w:rsid w:val="002B6C94"/>
    <w:rsid w:val="002C4E77"/>
    <w:rsid w:val="002C63ED"/>
    <w:rsid w:val="002D28E8"/>
    <w:rsid w:val="002D2AD0"/>
    <w:rsid w:val="002D4655"/>
    <w:rsid w:val="002D67CE"/>
    <w:rsid w:val="002E04CB"/>
    <w:rsid w:val="002E1068"/>
    <w:rsid w:val="002E40AE"/>
    <w:rsid w:val="002E4FD3"/>
    <w:rsid w:val="002E67BE"/>
    <w:rsid w:val="002F06D6"/>
    <w:rsid w:val="002F16BF"/>
    <w:rsid w:val="002F21E5"/>
    <w:rsid w:val="00300F27"/>
    <w:rsid w:val="00304248"/>
    <w:rsid w:val="00305781"/>
    <w:rsid w:val="00305C9F"/>
    <w:rsid w:val="00316753"/>
    <w:rsid w:val="00323431"/>
    <w:rsid w:val="003244DD"/>
    <w:rsid w:val="00327FC3"/>
    <w:rsid w:val="00330313"/>
    <w:rsid w:val="003344C6"/>
    <w:rsid w:val="003361A3"/>
    <w:rsid w:val="003367A6"/>
    <w:rsid w:val="00336D61"/>
    <w:rsid w:val="0034229A"/>
    <w:rsid w:val="00342992"/>
    <w:rsid w:val="003502CD"/>
    <w:rsid w:val="00351F5C"/>
    <w:rsid w:val="00353592"/>
    <w:rsid w:val="0035493F"/>
    <w:rsid w:val="00354EC7"/>
    <w:rsid w:val="0035637D"/>
    <w:rsid w:val="00357B74"/>
    <w:rsid w:val="00360198"/>
    <w:rsid w:val="00362591"/>
    <w:rsid w:val="00363230"/>
    <w:rsid w:val="00364147"/>
    <w:rsid w:val="00366718"/>
    <w:rsid w:val="00370F8A"/>
    <w:rsid w:val="00371331"/>
    <w:rsid w:val="00375FBE"/>
    <w:rsid w:val="003832F6"/>
    <w:rsid w:val="0038413A"/>
    <w:rsid w:val="0038510E"/>
    <w:rsid w:val="003910E6"/>
    <w:rsid w:val="00391145"/>
    <w:rsid w:val="00392CEF"/>
    <w:rsid w:val="00393ADF"/>
    <w:rsid w:val="00393BAE"/>
    <w:rsid w:val="0039487B"/>
    <w:rsid w:val="00395694"/>
    <w:rsid w:val="003A1268"/>
    <w:rsid w:val="003A3428"/>
    <w:rsid w:val="003A71B5"/>
    <w:rsid w:val="003B38A4"/>
    <w:rsid w:val="003B44F3"/>
    <w:rsid w:val="003B5459"/>
    <w:rsid w:val="003B7D5E"/>
    <w:rsid w:val="003C233C"/>
    <w:rsid w:val="003C66BA"/>
    <w:rsid w:val="003D1B77"/>
    <w:rsid w:val="003D2513"/>
    <w:rsid w:val="003D601E"/>
    <w:rsid w:val="003E1241"/>
    <w:rsid w:val="003E1A9C"/>
    <w:rsid w:val="003E4335"/>
    <w:rsid w:val="003E44EF"/>
    <w:rsid w:val="003E529E"/>
    <w:rsid w:val="003E6E10"/>
    <w:rsid w:val="003E7648"/>
    <w:rsid w:val="003E7944"/>
    <w:rsid w:val="003F10BB"/>
    <w:rsid w:val="003F2674"/>
    <w:rsid w:val="003F41D0"/>
    <w:rsid w:val="003F6F83"/>
    <w:rsid w:val="00400A5C"/>
    <w:rsid w:val="00404247"/>
    <w:rsid w:val="004045A0"/>
    <w:rsid w:val="00406D78"/>
    <w:rsid w:val="00407674"/>
    <w:rsid w:val="0040798B"/>
    <w:rsid w:val="00413AB5"/>
    <w:rsid w:val="00413D6A"/>
    <w:rsid w:val="0041747F"/>
    <w:rsid w:val="004206D4"/>
    <w:rsid w:val="00420A98"/>
    <w:rsid w:val="0042168B"/>
    <w:rsid w:val="00422255"/>
    <w:rsid w:val="00431F68"/>
    <w:rsid w:val="00433D16"/>
    <w:rsid w:val="00436471"/>
    <w:rsid w:val="00437258"/>
    <w:rsid w:val="00441669"/>
    <w:rsid w:val="00442843"/>
    <w:rsid w:val="00447224"/>
    <w:rsid w:val="00447621"/>
    <w:rsid w:val="004512E8"/>
    <w:rsid w:val="00451F27"/>
    <w:rsid w:val="004523CD"/>
    <w:rsid w:val="00452D84"/>
    <w:rsid w:val="004654B5"/>
    <w:rsid w:val="00467CB0"/>
    <w:rsid w:val="00470FD0"/>
    <w:rsid w:val="00471DF9"/>
    <w:rsid w:val="00472C5A"/>
    <w:rsid w:val="00474109"/>
    <w:rsid w:val="00481BA5"/>
    <w:rsid w:val="00486978"/>
    <w:rsid w:val="00496EEF"/>
    <w:rsid w:val="00496F72"/>
    <w:rsid w:val="004A218E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63"/>
    <w:rsid w:val="004C499B"/>
    <w:rsid w:val="004C71B1"/>
    <w:rsid w:val="004C73A2"/>
    <w:rsid w:val="004D125E"/>
    <w:rsid w:val="004D28B0"/>
    <w:rsid w:val="004D2F67"/>
    <w:rsid w:val="004D7163"/>
    <w:rsid w:val="004E2341"/>
    <w:rsid w:val="004E356B"/>
    <w:rsid w:val="004E3D6A"/>
    <w:rsid w:val="004E51D0"/>
    <w:rsid w:val="004E7F19"/>
    <w:rsid w:val="004F1E94"/>
    <w:rsid w:val="004F38E8"/>
    <w:rsid w:val="004F3AEE"/>
    <w:rsid w:val="004F3EF4"/>
    <w:rsid w:val="004F4A0B"/>
    <w:rsid w:val="004F79AB"/>
    <w:rsid w:val="005007F9"/>
    <w:rsid w:val="0050096E"/>
    <w:rsid w:val="00503282"/>
    <w:rsid w:val="00503811"/>
    <w:rsid w:val="00505B4C"/>
    <w:rsid w:val="00510AC7"/>
    <w:rsid w:val="00511EE0"/>
    <w:rsid w:val="005132E2"/>
    <w:rsid w:val="00516AB2"/>
    <w:rsid w:val="00520D53"/>
    <w:rsid w:val="00521A89"/>
    <w:rsid w:val="00524E93"/>
    <w:rsid w:val="0052624F"/>
    <w:rsid w:val="00527957"/>
    <w:rsid w:val="0053069E"/>
    <w:rsid w:val="00530FFC"/>
    <w:rsid w:val="00532F3A"/>
    <w:rsid w:val="00533210"/>
    <w:rsid w:val="00533AC9"/>
    <w:rsid w:val="00535C71"/>
    <w:rsid w:val="005418FA"/>
    <w:rsid w:val="00542113"/>
    <w:rsid w:val="00542DFE"/>
    <w:rsid w:val="00542F79"/>
    <w:rsid w:val="005432C2"/>
    <w:rsid w:val="00552AC4"/>
    <w:rsid w:val="00554BDC"/>
    <w:rsid w:val="0056097C"/>
    <w:rsid w:val="00560E41"/>
    <w:rsid w:val="00562099"/>
    <w:rsid w:val="0056523D"/>
    <w:rsid w:val="00565951"/>
    <w:rsid w:val="00566BF6"/>
    <w:rsid w:val="005676E9"/>
    <w:rsid w:val="0057707D"/>
    <w:rsid w:val="005813B7"/>
    <w:rsid w:val="00582CE9"/>
    <w:rsid w:val="00584753"/>
    <w:rsid w:val="0058623C"/>
    <w:rsid w:val="00591190"/>
    <w:rsid w:val="00591971"/>
    <w:rsid w:val="00591C6D"/>
    <w:rsid w:val="005922E8"/>
    <w:rsid w:val="00592D59"/>
    <w:rsid w:val="005A1F13"/>
    <w:rsid w:val="005A37C8"/>
    <w:rsid w:val="005A44F3"/>
    <w:rsid w:val="005A48EB"/>
    <w:rsid w:val="005A4E02"/>
    <w:rsid w:val="005B42F2"/>
    <w:rsid w:val="005B4FA8"/>
    <w:rsid w:val="005B5C5C"/>
    <w:rsid w:val="005B69A9"/>
    <w:rsid w:val="005B750B"/>
    <w:rsid w:val="005C135A"/>
    <w:rsid w:val="005C1E56"/>
    <w:rsid w:val="005C3365"/>
    <w:rsid w:val="005D1F4B"/>
    <w:rsid w:val="005D2A7D"/>
    <w:rsid w:val="005D2AFE"/>
    <w:rsid w:val="005D4E6A"/>
    <w:rsid w:val="005D5254"/>
    <w:rsid w:val="005D7E02"/>
    <w:rsid w:val="005E47A2"/>
    <w:rsid w:val="005E4CF7"/>
    <w:rsid w:val="005F4078"/>
    <w:rsid w:val="005F5649"/>
    <w:rsid w:val="005F6DD6"/>
    <w:rsid w:val="00602E29"/>
    <w:rsid w:val="00603D79"/>
    <w:rsid w:val="00603FE4"/>
    <w:rsid w:val="0060556B"/>
    <w:rsid w:val="006114BF"/>
    <w:rsid w:val="006115FC"/>
    <w:rsid w:val="00611979"/>
    <w:rsid w:val="00612378"/>
    <w:rsid w:val="00614C3B"/>
    <w:rsid w:val="00622B23"/>
    <w:rsid w:val="00623890"/>
    <w:rsid w:val="00623B22"/>
    <w:rsid w:val="00623D71"/>
    <w:rsid w:val="00624255"/>
    <w:rsid w:val="00635694"/>
    <w:rsid w:val="006430D4"/>
    <w:rsid w:val="00643A17"/>
    <w:rsid w:val="0064568A"/>
    <w:rsid w:val="006525A2"/>
    <w:rsid w:val="0066116B"/>
    <w:rsid w:val="00661CDA"/>
    <w:rsid w:val="006620D1"/>
    <w:rsid w:val="00664164"/>
    <w:rsid w:val="0066464E"/>
    <w:rsid w:val="00666142"/>
    <w:rsid w:val="0066649B"/>
    <w:rsid w:val="0067175E"/>
    <w:rsid w:val="00671B9A"/>
    <w:rsid w:val="006739EE"/>
    <w:rsid w:val="00683F2C"/>
    <w:rsid w:val="0069228C"/>
    <w:rsid w:val="0069342C"/>
    <w:rsid w:val="00694718"/>
    <w:rsid w:val="00696CA3"/>
    <w:rsid w:val="006A32E1"/>
    <w:rsid w:val="006A4879"/>
    <w:rsid w:val="006A739A"/>
    <w:rsid w:val="006B194F"/>
    <w:rsid w:val="006B2F9D"/>
    <w:rsid w:val="006B4220"/>
    <w:rsid w:val="006B4F55"/>
    <w:rsid w:val="006B60D0"/>
    <w:rsid w:val="006B6984"/>
    <w:rsid w:val="006B6B87"/>
    <w:rsid w:val="006C1F0C"/>
    <w:rsid w:val="006C5F3E"/>
    <w:rsid w:val="006D07FF"/>
    <w:rsid w:val="006D4952"/>
    <w:rsid w:val="006E176E"/>
    <w:rsid w:val="006E2A38"/>
    <w:rsid w:val="006E411C"/>
    <w:rsid w:val="006E649B"/>
    <w:rsid w:val="006E65D9"/>
    <w:rsid w:val="006F28DA"/>
    <w:rsid w:val="006F4318"/>
    <w:rsid w:val="006F6951"/>
    <w:rsid w:val="0070305E"/>
    <w:rsid w:val="00710987"/>
    <w:rsid w:val="00711089"/>
    <w:rsid w:val="007121F7"/>
    <w:rsid w:val="00712D94"/>
    <w:rsid w:val="00715AB6"/>
    <w:rsid w:val="00715E79"/>
    <w:rsid w:val="00716098"/>
    <w:rsid w:val="00716C22"/>
    <w:rsid w:val="00723165"/>
    <w:rsid w:val="0072435A"/>
    <w:rsid w:val="007250C9"/>
    <w:rsid w:val="00727788"/>
    <w:rsid w:val="00733E40"/>
    <w:rsid w:val="007363D7"/>
    <w:rsid w:val="00737B5D"/>
    <w:rsid w:val="00741641"/>
    <w:rsid w:val="00742059"/>
    <w:rsid w:val="00742ADC"/>
    <w:rsid w:val="00743568"/>
    <w:rsid w:val="00744264"/>
    <w:rsid w:val="00745DC5"/>
    <w:rsid w:val="0074731E"/>
    <w:rsid w:val="0075035A"/>
    <w:rsid w:val="0076029D"/>
    <w:rsid w:val="00760D00"/>
    <w:rsid w:val="0076405E"/>
    <w:rsid w:val="00764A22"/>
    <w:rsid w:val="007707DE"/>
    <w:rsid w:val="00770FEF"/>
    <w:rsid w:val="0077131A"/>
    <w:rsid w:val="007729A3"/>
    <w:rsid w:val="00773FDD"/>
    <w:rsid w:val="0077444F"/>
    <w:rsid w:val="007761C9"/>
    <w:rsid w:val="007770B8"/>
    <w:rsid w:val="007770FE"/>
    <w:rsid w:val="00782A64"/>
    <w:rsid w:val="00783933"/>
    <w:rsid w:val="007842E6"/>
    <w:rsid w:val="0078548C"/>
    <w:rsid w:val="00786886"/>
    <w:rsid w:val="007916EC"/>
    <w:rsid w:val="007A2CC6"/>
    <w:rsid w:val="007A4CF4"/>
    <w:rsid w:val="007A4FCF"/>
    <w:rsid w:val="007B257D"/>
    <w:rsid w:val="007B2F4F"/>
    <w:rsid w:val="007B7985"/>
    <w:rsid w:val="007C5122"/>
    <w:rsid w:val="007C6995"/>
    <w:rsid w:val="007C7273"/>
    <w:rsid w:val="007D1CE3"/>
    <w:rsid w:val="007D22F5"/>
    <w:rsid w:val="007D3EE2"/>
    <w:rsid w:val="007D4F62"/>
    <w:rsid w:val="007D79C4"/>
    <w:rsid w:val="007E1628"/>
    <w:rsid w:val="007E1D67"/>
    <w:rsid w:val="007E1E1B"/>
    <w:rsid w:val="007E2AC1"/>
    <w:rsid w:val="007E5040"/>
    <w:rsid w:val="007E6834"/>
    <w:rsid w:val="007E68B2"/>
    <w:rsid w:val="007F0A1F"/>
    <w:rsid w:val="007F2DE8"/>
    <w:rsid w:val="007F475E"/>
    <w:rsid w:val="00801B1B"/>
    <w:rsid w:val="00802900"/>
    <w:rsid w:val="00803D05"/>
    <w:rsid w:val="008119EB"/>
    <w:rsid w:val="00813546"/>
    <w:rsid w:val="00814010"/>
    <w:rsid w:val="008142DA"/>
    <w:rsid w:val="00814FF7"/>
    <w:rsid w:val="008161EA"/>
    <w:rsid w:val="008162A8"/>
    <w:rsid w:val="00821551"/>
    <w:rsid w:val="008225E7"/>
    <w:rsid w:val="00822FEF"/>
    <w:rsid w:val="00824021"/>
    <w:rsid w:val="008260BE"/>
    <w:rsid w:val="00826766"/>
    <w:rsid w:val="008270AA"/>
    <w:rsid w:val="008313D0"/>
    <w:rsid w:val="00831407"/>
    <w:rsid w:val="008326DB"/>
    <w:rsid w:val="0083483F"/>
    <w:rsid w:val="0083492B"/>
    <w:rsid w:val="00844B7A"/>
    <w:rsid w:val="00844E45"/>
    <w:rsid w:val="00850FE3"/>
    <w:rsid w:val="00851E49"/>
    <w:rsid w:val="008558D3"/>
    <w:rsid w:val="00855DFA"/>
    <w:rsid w:val="00857D49"/>
    <w:rsid w:val="00860494"/>
    <w:rsid w:val="00861B05"/>
    <w:rsid w:val="00862995"/>
    <w:rsid w:val="00862B38"/>
    <w:rsid w:val="0086410B"/>
    <w:rsid w:val="00864AF0"/>
    <w:rsid w:val="00871185"/>
    <w:rsid w:val="008714C1"/>
    <w:rsid w:val="00873885"/>
    <w:rsid w:val="00874C34"/>
    <w:rsid w:val="00877968"/>
    <w:rsid w:val="00882A15"/>
    <w:rsid w:val="00884044"/>
    <w:rsid w:val="008858A8"/>
    <w:rsid w:val="00887F45"/>
    <w:rsid w:val="0089403B"/>
    <w:rsid w:val="00895E8E"/>
    <w:rsid w:val="0089696A"/>
    <w:rsid w:val="008A0AE1"/>
    <w:rsid w:val="008A170D"/>
    <w:rsid w:val="008A1ED6"/>
    <w:rsid w:val="008A268E"/>
    <w:rsid w:val="008A71BD"/>
    <w:rsid w:val="008B2262"/>
    <w:rsid w:val="008B25F8"/>
    <w:rsid w:val="008B474D"/>
    <w:rsid w:val="008B701E"/>
    <w:rsid w:val="008B787B"/>
    <w:rsid w:val="008C0C8D"/>
    <w:rsid w:val="008C1517"/>
    <w:rsid w:val="008C48F2"/>
    <w:rsid w:val="008C7425"/>
    <w:rsid w:val="008D19CD"/>
    <w:rsid w:val="008D32D5"/>
    <w:rsid w:val="008E1117"/>
    <w:rsid w:val="008E1A90"/>
    <w:rsid w:val="008E3158"/>
    <w:rsid w:val="008E33CA"/>
    <w:rsid w:val="008E4BFB"/>
    <w:rsid w:val="008E777D"/>
    <w:rsid w:val="008F142C"/>
    <w:rsid w:val="008F1AA4"/>
    <w:rsid w:val="008F345E"/>
    <w:rsid w:val="008F4F8B"/>
    <w:rsid w:val="00900476"/>
    <w:rsid w:val="00900740"/>
    <w:rsid w:val="0090114E"/>
    <w:rsid w:val="00901C6F"/>
    <w:rsid w:val="00902D2B"/>
    <w:rsid w:val="009060A3"/>
    <w:rsid w:val="00906B16"/>
    <w:rsid w:val="00910B14"/>
    <w:rsid w:val="00910DF8"/>
    <w:rsid w:val="00911453"/>
    <w:rsid w:val="009123CA"/>
    <w:rsid w:val="00917A9D"/>
    <w:rsid w:val="00917E92"/>
    <w:rsid w:val="009221F8"/>
    <w:rsid w:val="00926B0A"/>
    <w:rsid w:val="00926C28"/>
    <w:rsid w:val="009271A5"/>
    <w:rsid w:val="00930788"/>
    <w:rsid w:val="009343BD"/>
    <w:rsid w:val="009347CF"/>
    <w:rsid w:val="0094052A"/>
    <w:rsid w:val="009412C4"/>
    <w:rsid w:val="0094258A"/>
    <w:rsid w:val="00942E2E"/>
    <w:rsid w:val="00944F3E"/>
    <w:rsid w:val="00945265"/>
    <w:rsid w:val="00950E91"/>
    <w:rsid w:val="009518F5"/>
    <w:rsid w:val="00951AA5"/>
    <w:rsid w:val="00952957"/>
    <w:rsid w:val="00952A9C"/>
    <w:rsid w:val="009535ED"/>
    <w:rsid w:val="00953E5A"/>
    <w:rsid w:val="0097085B"/>
    <w:rsid w:val="0097131A"/>
    <w:rsid w:val="0097284A"/>
    <w:rsid w:val="00974EC2"/>
    <w:rsid w:val="00977DC2"/>
    <w:rsid w:val="00981E0D"/>
    <w:rsid w:val="0099305E"/>
    <w:rsid w:val="009970E2"/>
    <w:rsid w:val="009971DC"/>
    <w:rsid w:val="009A01B5"/>
    <w:rsid w:val="009A5A0B"/>
    <w:rsid w:val="009A5DA9"/>
    <w:rsid w:val="009A6C55"/>
    <w:rsid w:val="009A7AA0"/>
    <w:rsid w:val="009B0628"/>
    <w:rsid w:val="009B32DC"/>
    <w:rsid w:val="009B55F7"/>
    <w:rsid w:val="009B56D7"/>
    <w:rsid w:val="009B7799"/>
    <w:rsid w:val="009C3A34"/>
    <w:rsid w:val="009C7697"/>
    <w:rsid w:val="009D023A"/>
    <w:rsid w:val="009D0BC6"/>
    <w:rsid w:val="009D1B03"/>
    <w:rsid w:val="009D55A5"/>
    <w:rsid w:val="009D5644"/>
    <w:rsid w:val="009D6759"/>
    <w:rsid w:val="009D6D72"/>
    <w:rsid w:val="009D73E6"/>
    <w:rsid w:val="009E0BDF"/>
    <w:rsid w:val="009E17C9"/>
    <w:rsid w:val="009E209E"/>
    <w:rsid w:val="009E237A"/>
    <w:rsid w:val="009E55BD"/>
    <w:rsid w:val="009E56FC"/>
    <w:rsid w:val="009E66CF"/>
    <w:rsid w:val="009F152A"/>
    <w:rsid w:val="009F59AF"/>
    <w:rsid w:val="009F5A85"/>
    <w:rsid w:val="00A01EDE"/>
    <w:rsid w:val="00A11658"/>
    <w:rsid w:val="00A1240D"/>
    <w:rsid w:val="00A12E2B"/>
    <w:rsid w:val="00A139D6"/>
    <w:rsid w:val="00A14027"/>
    <w:rsid w:val="00A173F9"/>
    <w:rsid w:val="00A17F05"/>
    <w:rsid w:val="00A20AFD"/>
    <w:rsid w:val="00A23DE6"/>
    <w:rsid w:val="00A2486E"/>
    <w:rsid w:val="00A2514B"/>
    <w:rsid w:val="00A26824"/>
    <w:rsid w:val="00A316FC"/>
    <w:rsid w:val="00A319DC"/>
    <w:rsid w:val="00A37EF9"/>
    <w:rsid w:val="00A409E4"/>
    <w:rsid w:val="00A41844"/>
    <w:rsid w:val="00A45537"/>
    <w:rsid w:val="00A46238"/>
    <w:rsid w:val="00A46BD3"/>
    <w:rsid w:val="00A50588"/>
    <w:rsid w:val="00A74382"/>
    <w:rsid w:val="00A77BD5"/>
    <w:rsid w:val="00A81770"/>
    <w:rsid w:val="00A8189C"/>
    <w:rsid w:val="00A8365E"/>
    <w:rsid w:val="00A836F4"/>
    <w:rsid w:val="00A87675"/>
    <w:rsid w:val="00A87C62"/>
    <w:rsid w:val="00A907FF"/>
    <w:rsid w:val="00A953F3"/>
    <w:rsid w:val="00A9693A"/>
    <w:rsid w:val="00AA0B83"/>
    <w:rsid w:val="00AA3535"/>
    <w:rsid w:val="00AA3719"/>
    <w:rsid w:val="00AA3A37"/>
    <w:rsid w:val="00AA6884"/>
    <w:rsid w:val="00AB163E"/>
    <w:rsid w:val="00AB610F"/>
    <w:rsid w:val="00AB7468"/>
    <w:rsid w:val="00AC3E49"/>
    <w:rsid w:val="00AC79A9"/>
    <w:rsid w:val="00AD1516"/>
    <w:rsid w:val="00AE0110"/>
    <w:rsid w:val="00AE16C4"/>
    <w:rsid w:val="00AE33F0"/>
    <w:rsid w:val="00AE3DD0"/>
    <w:rsid w:val="00AE513E"/>
    <w:rsid w:val="00AE5181"/>
    <w:rsid w:val="00AE5FE1"/>
    <w:rsid w:val="00AF0F3C"/>
    <w:rsid w:val="00AF17B1"/>
    <w:rsid w:val="00AF2FB9"/>
    <w:rsid w:val="00AF388A"/>
    <w:rsid w:val="00AF7DF1"/>
    <w:rsid w:val="00B013B0"/>
    <w:rsid w:val="00B050CC"/>
    <w:rsid w:val="00B05AF4"/>
    <w:rsid w:val="00B06B87"/>
    <w:rsid w:val="00B06C9A"/>
    <w:rsid w:val="00B10DAB"/>
    <w:rsid w:val="00B148C6"/>
    <w:rsid w:val="00B16378"/>
    <w:rsid w:val="00B2137C"/>
    <w:rsid w:val="00B241A8"/>
    <w:rsid w:val="00B26B80"/>
    <w:rsid w:val="00B26EB3"/>
    <w:rsid w:val="00B2796C"/>
    <w:rsid w:val="00B30BED"/>
    <w:rsid w:val="00B328FE"/>
    <w:rsid w:val="00B334DD"/>
    <w:rsid w:val="00B335C6"/>
    <w:rsid w:val="00B34F68"/>
    <w:rsid w:val="00B4018B"/>
    <w:rsid w:val="00B4185F"/>
    <w:rsid w:val="00B45797"/>
    <w:rsid w:val="00B459B3"/>
    <w:rsid w:val="00B465CB"/>
    <w:rsid w:val="00B4782D"/>
    <w:rsid w:val="00B51406"/>
    <w:rsid w:val="00B5147A"/>
    <w:rsid w:val="00B5254C"/>
    <w:rsid w:val="00B5359C"/>
    <w:rsid w:val="00B54B4A"/>
    <w:rsid w:val="00B55DDB"/>
    <w:rsid w:val="00B62EFA"/>
    <w:rsid w:val="00B62F98"/>
    <w:rsid w:val="00B66FB7"/>
    <w:rsid w:val="00B67472"/>
    <w:rsid w:val="00B67808"/>
    <w:rsid w:val="00B70DB5"/>
    <w:rsid w:val="00B71425"/>
    <w:rsid w:val="00B75957"/>
    <w:rsid w:val="00B7649E"/>
    <w:rsid w:val="00B80424"/>
    <w:rsid w:val="00B80F16"/>
    <w:rsid w:val="00B81E9B"/>
    <w:rsid w:val="00B81FB0"/>
    <w:rsid w:val="00B83BC1"/>
    <w:rsid w:val="00B85B25"/>
    <w:rsid w:val="00B93215"/>
    <w:rsid w:val="00BA0B5D"/>
    <w:rsid w:val="00BA1A93"/>
    <w:rsid w:val="00BA2DC8"/>
    <w:rsid w:val="00BA379A"/>
    <w:rsid w:val="00BA7D48"/>
    <w:rsid w:val="00BB2DFC"/>
    <w:rsid w:val="00BB3583"/>
    <w:rsid w:val="00BC0B39"/>
    <w:rsid w:val="00BC108E"/>
    <w:rsid w:val="00BC1D7E"/>
    <w:rsid w:val="00BD28BD"/>
    <w:rsid w:val="00BD5B9E"/>
    <w:rsid w:val="00BE1546"/>
    <w:rsid w:val="00BE2D33"/>
    <w:rsid w:val="00BE3863"/>
    <w:rsid w:val="00BE3F59"/>
    <w:rsid w:val="00BF09D3"/>
    <w:rsid w:val="00BF0FEF"/>
    <w:rsid w:val="00BF33EB"/>
    <w:rsid w:val="00BF383C"/>
    <w:rsid w:val="00BF548D"/>
    <w:rsid w:val="00BF5BE0"/>
    <w:rsid w:val="00C00479"/>
    <w:rsid w:val="00C0782C"/>
    <w:rsid w:val="00C07853"/>
    <w:rsid w:val="00C11C5A"/>
    <w:rsid w:val="00C12A63"/>
    <w:rsid w:val="00C13962"/>
    <w:rsid w:val="00C150DB"/>
    <w:rsid w:val="00C15690"/>
    <w:rsid w:val="00C17189"/>
    <w:rsid w:val="00C2134F"/>
    <w:rsid w:val="00C27379"/>
    <w:rsid w:val="00C31744"/>
    <w:rsid w:val="00C332FF"/>
    <w:rsid w:val="00C361D2"/>
    <w:rsid w:val="00C43FB3"/>
    <w:rsid w:val="00C443B5"/>
    <w:rsid w:val="00C50A72"/>
    <w:rsid w:val="00C517FF"/>
    <w:rsid w:val="00C52484"/>
    <w:rsid w:val="00C54AD6"/>
    <w:rsid w:val="00C554B6"/>
    <w:rsid w:val="00C5715B"/>
    <w:rsid w:val="00C57B5F"/>
    <w:rsid w:val="00C67852"/>
    <w:rsid w:val="00C7442C"/>
    <w:rsid w:val="00C76280"/>
    <w:rsid w:val="00C840E7"/>
    <w:rsid w:val="00C87850"/>
    <w:rsid w:val="00C9100A"/>
    <w:rsid w:val="00C91018"/>
    <w:rsid w:val="00C924D1"/>
    <w:rsid w:val="00C93D06"/>
    <w:rsid w:val="00C95AC5"/>
    <w:rsid w:val="00C96257"/>
    <w:rsid w:val="00CA0FEC"/>
    <w:rsid w:val="00CA1131"/>
    <w:rsid w:val="00CA20B0"/>
    <w:rsid w:val="00CA3427"/>
    <w:rsid w:val="00CA51EB"/>
    <w:rsid w:val="00CA7677"/>
    <w:rsid w:val="00CB045D"/>
    <w:rsid w:val="00CB5EFF"/>
    <w:rsid w:val="00CC187E"/>
    <w:rsid w:val="00CC1984"/>
    <w:rsid w:val="00CC26FF"/>
    <w:rsid w:val="00CC5E6A"/>
    <w:rsid w:val="00CC6580"/>
    <w:rsid w:val="00CC6626"/>
    <w:rsid w:val="00CC66D9"/>
    <w:rsid w:val="00CC7006"/>
    <w:rsid w:val="00CD12ED"/>
    <w:rsid w:val="00CD345B"/>
    <w:rsid w:val="00CE1153"/>
    <w:rsid w:val="00CE16EE"/>
    <w:rsid w:val="00CE18C5"/>
    <w:rsid w:val="00CE3161"/>
    <w:rsid w:val="00CE54D8"/>
    <w:rsid w:val="00CE7486"/>
    <w:rsid w:val="00CF291D"/>
    <w:rsid w:val="00CF2EF5"/>
    <w:rsid w:val="00CF2FE6"/>
    <w:rsid w:val="00CF60CD"/>
    <w:rsid w:val="00CF72E2"/>
    <w:rsid w:val="00D00F5B"/>
    <w:rsid w:val="00D01632"/>
    <w:rsid w:val="00D03E6E"/>
    <w:rsid w:val="00D076CD"/>
    <w:rsid w:val="00D1510D"/>
    <w:rsid w:val="00D1569A"/>
    <w:rsid w:val="00D16AE8"/>
    <w:rsid w:val="00D2019B"/>
    <w:rsid w:val="00D24AE1"/>
    <w:rsid w:val="00D36C6D"/>
    <w:rsid w:val="00D3780F"/>
    <w:rsid w:val="00D42EF5"/>
    <w:rsid w:val="00D44922"/>
    <w:rsid w:val="00D44A4A"/>
    <w:rsid w:val="00D45E38"/>
    <w:rsid w:val="00D47031"/>
    <w:rsid w:val="00D50870"/>
    <w:rsid w:val="00D5157A"/>
    <w:rsid w:val="00D55D23"/>
    <w:rsid w:val="00D56E4A"/>
    <w:rsid w:val="00D57AF5"/>
    <w:rsid w:val="00D60D6E"/>
    <w:rsid w:val="00D60DA4"/>
    <w:rsid w:val="00D638C9"/>
    <w:rsid w:val="00D66C7F"/>
    <w:rsid w:val="00D67544"/>
    <w:rsid w:val="00D706CC"/>
    <w:rsid w:val="00D70768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3AC"/>
    <w:rsid w:val="00D874AC"/>
    <w:rsid w:val="00D91478"/>
    <w:rsid w:val="00D93990"/>
    <w:rsid w:val="00D95C66"/>
    <w:rsid w:val="00D96D6C"/>
    <w:rsid w:val="00D97459"/>
    <w:rsid w:val="00D97C86"/>
    <w:rsid w:val="00DA036F"/>
    <w:rsid w:val="00DA1A59"/>
    <w:rsid w:val="00DA58F0"/>
    <w:rsid w:val="00DA725C"/>
    <w:rsid w:val="00DB1AC6"/>
    <w:rsid w:val="00DB5479"/>
    <w:rsid w:val="00DB6542"/>
    <w:rsid w:val="00DC198C"/>
    <w:rsid w:val="00DC2214"/>
    <w:rsid w:val="00DC243C"/>
    <w:rsid w:val="00DC2703"/>
    <w:rsid w:val="00DC4F2D"/>
    <w:rsid w:val="00DC5025"/>
    <w:rsid w:val="00DC738B"/>
    <w:rsid w:val="00DD64F2"/>
    <w:rsid w:val="00DD7201"/>
    <w:rsid w:val="00DE3616"/>
    <w:rsid w:val="00DE40AF"/>
    <w:rsid w:val="00DE68EE"/>
    <w:rsid w:val="00DE79AD"/>
    <w:rsid w:val="00DF0135"/>
    <w:rsid w:val="00DF298C"/>
    <w:rsid w:val="00DF7B2C"/>
    <w:rsid w:val="00DF7D86"/>
    <w:rsid w:val="00E05E49"/>
    <w:rsid w:val="00E0615E"/>
    <w:rsid w:val="00E06415"/>
    <w:rsid w:val="00E13FE4"/>
    <w:rsid w:val="00E1471F"/>
    <w:rsid w:val="00E14DC8"/>
    <w:rsid w:val="00E2675D"/>
    <w:rsid w:val="00E271CF"/>
    <w:rsid w:val="00E305DD"/>
    <w:rsid w:val="00E31E22"/>
    <w:rsid w:val="00E32D34"/>
    <w:rsid w:val="00E33CAC"/>
    <w:rsid w:val="00E34AB9"/>
    <w:rsid w:val="00E358B7"/>
    <w:rsid w:val="00E4304B"/>
    <w:rsid w:val="00E434BC"/>
    <w:rsid w:val="00E45D22"/>
    <w:rsid w:val="00E50D55"/>
    <w:rsid w:val="00E519DF"/>
    <w:rsid w:val="00E554D4"/>
    <w:rsid w:val="00E5593E"/>
    <w:rsid w:val="00E6000B"/>
    <w:rsid w:val="00E63238"/>
    <w:rsid w:val="00E638A7"/>
    <w:rsid w:val="00E6576D"/>
    <w:rsid w:val="00E65FED"/>
    <w:rsid w:val="00E67804"/>
    <w:rsid w:val="00E70179"/>
    <w:rsid w:val="00E713EE"/>
    <w:rsid w:val="00E72245"/>
    <w:rsid w:val="00E8343A"/>
    <w:rsid w:val="00E84C3D"/>
    <w:rsid w:val="00E85556"/>
    <w:rsid w:val="00E93D4C"/>
    <w:rsid w:val="00E94262"/>
    <w:rsid w:val="00E94F2E"/>
    <w:rsid w:val="00E9522A"/>
    <w:rsid w:val="00E97D41"/>
    <w:rsid w:val="00EA1BFC"/>
    <w:rsid w:val="00EA2162"/>
    <w:rsid w:val="00EA2439"/>
    <w:rsid w:val="00EA282F"/>
    <w:rsid w:val="00EA2FA8"/>
    <w:rsid w:val="00EB0CD9"/>
    <w:rsid w:val="00EB5538"/>
    <w:rsid w:val="00EC1B0D"/>
    <w:rsid w:val="00EC2402"/>
    <w:rsid w:val="00EC35AA"/>
    <w:rsid w:val="00EC6C0C"/>
    <w:rsid w:val="00EC7D5C"/>
    <w:rsid w:val="00ED2850"/>
    <w:rsid w:val="00ED2949"/>
    <w:rsid w:val="00ED3AD0"/>
    <w:rsid w:val="00EE3613"/>
    <w:rsid w:val="00EE416C"/>
    <w:rsid w:val="00EF173E"/>
    <w:rsid w:val="00EF3563"/>
    <w:rsid w:val="00EF42E1"/>
    <w:rsid w:val="00EF4B3F"/>
    <w:rsid w:val="00EF66B3"/>
    <w:rsid w:val="00EF787C"/>
    <w:rsid w:val="00F03879"/>
    <w:rsid w:val="00F0476A"/>
    <w:rsid w:val="00F148DF"/>
    <w:rsid w:val="00F17F1C"/>
    <w:rsid w:val="00F248D5"/>
    <w:rsid w:val="00F25102"/>
    <w:rsid w:val="00F25FE5"/>
    <w:rsid w:val="00F26EA6"/>
    <w:rsid w:val="00F30A7C"/>
    <w:rsid w:val="00F319D6"/>
    <w:rsid w:val="00F32A21"/>
    <w:rsid w:val="00F345BA"/>
    <w:rsid w:val="00F34766"/>
    <w:rsid w:val="00F36459"/>
    <w:rsid w:val="00F41AC8"/>
    <w:rsid w:val="00F43E0C"/>
    <w:rsid w:val="00F512C5"/>
    <w:rsid w:val="00F51CDB"/>
    <w:rsid w:val="00F52F26"/>
    <w:rsid w:val="00F53669"/>
    <w:rsid w:val="00F53E8E"/>
    <w:rsid w:val="00F6061B"/>
    <w:rsid w:val="00F66656"/>
    <w:rsid w:val="00F67EFE"/>
    <w:rsid w:val="00F74BF1"/>
    <w:rsid w:val="00F75150"/>
    <w:rsid w:val="00F77115"/>
    <w:rsid w:val="00F82809"/>
    <w:rsid w:val="00F84AEB"/>
    <w:rsid w:val="00F85FAE"/>
    <w:rsid w:val="00F86158"/>
    <w:rsid w:val="00F86CFC"/>
    <w:rsid w:val="00F91378"/>
    <w:rsid w:val="00F91B1D"/>
    <w:rsid w:val="00F9450C"/>
    <w:rsid w:val="00F94C54"/>
    <w:rsid w:val="00F94EC1"/>
    <w:rsid w:val="00FA207C"/>
    <w:rsid w:val="00FB0F24"/>
    <w:rsid w:val="00FB3863"/>
    <w:rsid w:val="00FB470C"/>
    <w:rsid w:val="00FB6711"/>
    <w:rsid w:val="00FB7E04"/>
    <w:rsid w:val="00FC1C6B"/>
    <w:rsid w:val="00FC205B"/>
    <w:rsid w:val="00FD075E"/>
    <w:rsid w:val="00FD6179"/>
    <w:rsid w:val="00FE1B6F"/>
    <w:rsid w:val="00FE3175"/>
    <w:rsid w:val="00FE4ACA"/>
    <w:rsid w:val="00FE7780"/>
    <w:rsid w:val="00FE7DA6"/>
    <w:rsid w:val="00FF1144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7604E641-F103-4BD8-991C-0806A2393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631</Words>
  <Characters>3473</Characters>
  <Application>Microsoft Office Word</Application>
  <DocSecurity>4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Gloria de Jesús Maldonado</cp:lastModifiedBy>
  <cp:revision>2</cp:revision>
  <cp:lastPrinted>2026-04-07T21:13:00Z</cp:lastPrinted>
  <dcterms:created xsi:type="dcterms:W3CDTF">2026-04-22T17:06:00Z</dcterms:created>
  <dcterms:modified xsi:type="dcterms:W3CDTF">2026-04-22T17:06:00Z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