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0DA928C8"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7F2B0F">
        <w:rPr>
          <w:rFonts w:ascii="Book Antiqua" w:hAnsi="Book Antiqua"/>
          <w:b/>
          <w:sz w:val="52"/>
          <w:lang w:val="es-ES_tradnl"/>
        </w:rPr>
        <w:t>40</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55132E98" w:rsidR="001B5218" w:rsidRPr="005E150B" w:rsidRDefault="00020F80" w:rsidP="0027212A">
      <w:pPr>
        <w:spacing w:line="360" w:lineRule="auto"/>
        <w:jc w:val="center"/>
        <w:rPr>
          <w:rFonts w:ascii="Book Antiqua" w:hAnsi="Book Antiqua"/>
          <w:lang w:val="es-ES_tradnl"/>
        </w:rPr>
      </w:pPr>
      <w:r>
        <w:rPr>
          <w:rFonts w:ascii="Book Antiqua" w:hAnsi="Book Antiqua"/>
          <w:lang w:val="es-ES_tradnl"/>
        </w:rPr>
        <w:t xml:space="preserve">14 </w:t>
      </w:r>
      <w:r w:rsidR="007F2B0F">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4B6B18">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A68D602" w:rsidR="005B2884" w:rsidRPr="00A11ED0" w:rsidRDefault="00A52CD9" w:rsidP="004B6B18">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7F2B0F">
        <w:rPr>
          <w:rFonts w:ascii="Book Antiqua" w:hAnsi="Book Antiqua"/>
          <w:spacing w:val="-3"/>
          <w:lang w:val="es-ES_tradnl"/>
        </w:rPr>
        <w:t>Proyecto del Senado 40,</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FA7E93">
        <w:rPr>
          <w:rFonts w:ascii="Book Antiqua" w:hAnsi="Book Antiqua"/>
          <w:b/>
          <w:bCs/>
          <w:spacing w:val="-3"/>
          <w:lang w:val="es-ES_tradnl"/>
        </w:rPr>
        <w:t>aprobación</w:t>
      </w:r>
      <w:r w:rsidR="001B5218" w:rsidRPr="00A11ED0">
        <w:rPr>
          <w:rFonts w:ascii="Book Antiqua" w:hAnsi="Book Antiqua"/>
          <w:spacing w:val="-3"/>
          <w:lang w:val="es-ES_tradnl"/>
        </w:rPr>
        <w:t xml:space="preserve">, </w:t>
      </w:r>
      <w:r w:rsidR="001B5218" w:rsidRPr="00FD744C">
        <w:rPr>
          <w:rFonts w:ascii="Book Antiqua" w:hAnsi="Book Antiqua"/>
          <w:spacing w:val="-3"/>
          <w:lang w:val="es-ES_tradnl"/>
        </w:rPr>
        <w:t>con las enmiendas contenidas en el entirillado electrónico que se acompaña</w:t>
      </w:r>
      <w:r w:rsidR="00FD744C" w:rsidRPr="00FD744C">
        <w:rPr>
          <w:rFonts w:ascii="Book Antiqua" w:hAnsi="Book Antiqua"/>
          <w:spacing w:val="-3"/>
          <w:lang w:val="es-ES_tradnl"/>
        </w:rPr>
        <w:t>.</w:t>
      </w:r>
    </w:p>
    <w:p w14:paraId="1C36686D" w14:textId="77777777" w:rsidR="000C52A1" w:rsidRPr="00A11ED0" w:rsidRDefault="000C52A1" w:rsidP="004B6B18">
      <w:pPr>
        <w:suppressAutoHyphens/>
        <w:spacing w:line="276" w:lineRule="auto"/>
        <w:jc w:val="both"/>
        <w:rPr>
          <w:rFonts w:ascii="Book Antiqua" w:hAnsi="Book Antiqua"/>
          <w:spacing w:val="-3"/>
          <w:lang w:val="es-ES_tradnl"/>
        </w:rPr>
      </w:pPr>
    </w:p>
    <w:p w14:paraId="632423B1" w14:textId="77777777" w:rsidR="0024131E" w:rsidRPr="00A11ED0" w:rsidRDefault="001B5218" w:rsidP="004B6B18">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4B6B18">
      <w:pPr>
        <w:tabs>
          <w:tab w:val="left" w:pos="-720"/>
        </w:tabs>
        <w:suppressAutoHyphens/>
        <w:spacing w:line="276" w:lineRule="auto"/>
        <w:rPr>
          <w:rFonts w:ascii="Book Antiqua" w:hAnsi="Book Antiqua"/>
          <w:b/>
          <w:bCs/>
          <w:szCs w:val="24"/>
          <w:lang w:val="es-ES_tradnl"/>
        </w:rPr>
      </w:pPr>
    </w:p>
    <w:p w14:paraId="7C7A3389" w14:textId="7618794A" w:rsidR="006F51A8" w:rsidRPr="00A11ED0" w:rsidRDefault="009F427F" w:rsidP="004B6B18">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7F2B0F">
        <w:rPr>
          <w:rFonts w:ascii="Book Antiqua" w:hAnsi="Book Antiqua"/>
          <w:lang w:val="es-PR"/>
        </w:rPr>
        <w:t>40</w:t>
      </w:r>
      <w:r w:rsidRPr="00A11ED0">
        <w:rPr>
          <w:rFonts w:ascii="Book Antiqua" w:hAnsi="Book Antiqua"/>
          <w:lang w:val="es-PR"/>
        </w:rPr>
        <w:t xml:space="preserve"> </w:t>
      </w:r>
      <w:r w:rsidRPr="00337BB7">
        <w:rPr>
          <w:rFonts w:ascii="Book Antiqua" w:hAnsi="Book Antiqua"/>
          <w:lang w:val="es-PR"/>
        </w:rPr>
        <w:t xml:space="preserve">(en adelante, P. del S. </w:t>
      </w:r>
      <w:r w:rsidR="007F2B0F">
        <w:rPr>
          <w:rFonts w:ascii="Book Antiqua" w:hAnsi="Book Antiqua"/>
          <w:lang w:val="es-PR"/>
        </w:rPr>
        <w:t>40)</w:t>
      </w:r>
      <w:r w:rsidRPr="00B8540B">
        <w:rPr>
          <w:rFonts w:ascii="Book Antiqua" w:hAnsi="Book Antiqua"/>
          <w:i/>
          <w:iCs/>
          <w:lang w:val="es-PR"/>
        </w:rPr>
        <w:t xml:space="preserve"> </w:t>
      </w:r>
      <w:r w:rsidR="001B5218" w:rsidRPr="00337BB7">
        <w:rPr>
          <w:rFonts w:ascii="Book Antiqua" w:hAnsi="Book Antiqua"/>
          <w:lang w:val="es-PR"/>
        </w:rPr>
        <w:t>,</w:t>
      </w:r>
      <w:r w:rsidR="001B5218" w:rsidRPr="00A11ED0">
        <w:rPr>
          <w:rFonts w:ascii="Book Antiqua" w:hAnsi="Book Antiqua"/>
          <w:lang w:val="es-PR"/>
        </w:rPr>
        <w:t xml:space="preserve"> según radicado, tiene como propósito, </w:t>
      </w:r>
      <w:r w:rsidR="00162E8A">
        <w:rPr>
          <w:rFonts w:ascii="Book Antiqua" w:hAnsi="Book Antiqua"/>
          <w:lang w:val="es-PR"/>
        </w:rPr>
        <w:t>“</w:t>
      </w:r>
      <w:r w:rsidR="00162E8A" w:rsidRPr="00FC41F7">
        <w:rPr>
          <w:rFonts w:ascii="Book Antiqua" w:hAnsi="Book Antiqua"/>
          <w:lang w:val="es-ES_tradnl"/>
        </w:rPr>
        <w:t xml:space="preserve">enmendar los </w:t>
      </w:r>
      <w:bookmarkStart w:id="4" w:name="_Hlk182117729"/>
      <w:r w:rsidR="00162E8A" w:rsidRPr="00FC41F7">
        <w:rPr>
          <w:rFonts w:ascii="Book Antiqua" w:hAnsi="Book Antiqua"/>
          <w:lang w:val="es-ES_tradnl"/>
        </w:rPr>
        <w:t xml:space="preserve">Artículos 26, 27, 28, 30 y 32 </w:t>
      </w:r>
      <w:bookmarkEnd w:id="4"/>
      <w:r w:rsidR="00162E8A" w:rsidRPr="00FC41F7">
        <w:rPr>
          <w:rFonts w:ascii="Book Antiqua" w:hAnsi="Book Antiqua"/>
          <w:lang w:val="es-ES_tradnl"/>
        </w:rPr>
        <w:t xml:space="preserve">de la </w:t>
      </w:r>
      <w:r w:rsidR="00162E8A" w:rsidRPr="00FC41F7">
        <w:rPr>
          <w:rFonts w:ascii="Book Antiqua" w:hAnsi="Book Antiqua"/>
          <w:lang w:val="es-PR"/>
        </w:rPr>
        <w:t>Ley Núm. 134 de 28 de junio de 1969, según enmendada</w:t>
      </w:r>
      <w:r w:rsidR="00162E8A" w:rsidRPr="00FC41F7">
        <w:rPr>
          <w:rFonts w:ascii="Book Antiqua" w:hAnsi="Book Antiqua"/>
          <w:lang w:val="es-ES_tradnl"/>
        </w:rPr>
        <w:t>, conocida como “</w:t>
      </w:r>
      <w:r w:rsidR="00162E8A" w:rsidRPr="00FC41F7">
        <w:rPr>
          <w:rFonts w:ascii="Book Antiqua" w:hAnsi="Book Antiqua"/>
          <w:lang w:val="es-PR"/>
        </w:rPr>
        <w:t>Ley de Explosivos de Puerto Rico</w:t>
      </w:r>
      <w:r w:rsidR="00162E8A" w:rsidRPr="00FC41F7">
        <w:rPr>
          <w:rFonts w:ascii="Book Antiqua" w:hAnsi="Book Antiqua"/>
          <w:lang w:val="es-ES_tradnl"/>
        </w:rPr>
        <w:t xml:space="preserve">” </w:t>
      </w:r>
      <w:r w:rsidR="00162E8A" w:rsidRPr="00935E02">
        <w:rPr>
          <w:rFonts w:ascii="Book Antiqua" w:hAnsi="Book Antiqua"/>
          <w:lang w:val="es-ES_tradnl"/>
        </w:rPr>
        <w:t xml:space="preserve">a los fines de atemperar </w:t>
      </w:r>
      <w:r w:rsidR="00162E8A">
        <w:rPr>
          <w:rFonts w:ascii="Book Antiqua" w:hAnsi="Book Antiqua"/>
          <w:lang w:val="es-ES_tradnl"/>
        </w:rPr>
        <w:t>sus disposiciones y delitos</w:t>
      </w:r>
      <w:r w:rsidR="00162E8A" w:rsidRPr="00935E02">
        <w:rPr>
          <w:rFonts w:ascii="Book Antiqua" w:hAnsi="Book Antiqua"/>
          <w:lang w:val="es-ES_tradnl"/>
        </w:rPr>
        <w:t xml:space="preserve"> al sistema de penas establecido en la </w:t>
      </w:r>
      <w:r w:rsidR="00162E8A" w:rsidRPr="00935E02">
        <w:rPr>
          <w:rFonts w:ascii="Book Antiqua" w:hAnsi="Book Antiqua"/>
          <w:lang w:val="es-PR"/>
        </w:rPr>
        <w:t>Ley Núm. 146 de 30 de julio de 2012, según enmendada, conocida como “Código Penal de Puerto Rico</w:t>
      </w:r>
      <w:r w:rsidR="00A11ED0" w:rsidRPr="00A11ED0">
        <w:rPr>
          <w:rFonts w:ascii="Book Antiqua" w:hAnsi="Book Antiqua"/>
          <w:lang w:val="es-PR"/>
        </w:rPr>
        <w:t>”</w:t>
      </w:r>
      <w:bookmarkStart w:id="5" w:name="_Hlk194438498"/>
      <w:r w:rsidR="00162E8A">
        <w:rPr>
          <w:rFonts w:ascii="Book Antiqua" w:hAnsi="Book Antiqua"/>
          <w:lang w:val="es-PR"/>
        </w:rPr>
        <w:t>.</w:t>
      </w:r>
    </w:p>
    <w:bookmarkEnd w:id="5"/>
    <w:p w14:paraId="771800BC" w14:textId="77777777" w:rsidR="00A06A16" w:rsidRPr="00A11ED0" w:rsidRDefault="00A06A16" w:rsidP="004B6B18">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4B6B18">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4B6B18">
      <w:pPr>
        <w:tabs>
          <w:tab w:val="left" w:pos="-720"/>
        </w:tabs>
        <w:suppressAutoHyphens/>
        <w:spacing w:line="276" w:lineRule="auto"/>
        <w:ind w:firstLine="360"/>
        <w:jc w:val="center"/>
        <w:rPr>
          <w:rFonts w:ascii="Book Antiqua" w:hAnsi="Book Antiqua"/>
          <w:b/>
          <w:bCs/>
          <w:lang w:val="es-PR"/>
        </w:rPr>
      </w:pPr>
    </w:p>
    <w:p w14:paraId="4B4D6C19" w14:textId="08FC937D" w:rsidR="006F51A8" w:rsidRDefault="00246C97" w:rsidP="004B6B1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8018B">
        <w:rPr>
          <w:rFonts w:ascii="Book Antiqua" w:hAnsi="Book Antiqua"/>
          <w:lang w:val="es-PR"/>
        </w:rPr>
        <w:t xml:space="preserve">La </w:t>
      </w:r>
      <w:r w:rsidR="00D8018B" w:rsidRPr="00FC41F7">
        <w:rPr>
          <w:rFonts w:ascii="Book Antiqua" w:hAnsi="Book Antiqua"/>
          <w:lang w:val="es-PR"/>
        </w:rPr>
        <w:t>Ley Núm. 134 de 28 de junio de 1969, según enmendada</w:t>
      </w:r>
      <w:r w:rsidR="00D8018B" w:rsidRPr="00FC41F7">
        <w:rPr>
          <w:rFonts w:ascii="Book Antiqua" w:hAnsi="Book Antiqua"/>
          <w:lang w:val="es-ES_tradnl"/>
        </w:rPr>
        <w:t>, conocida como “</w:t>
      </w:r>
      <w:r w:rsidR="00D8018B" w:rsidRPr="00FC41F7">
        <w:rPr>
          <w:rFonts w:ascii="Book Antiqua" w:hAnsi="Book Antiqua"/>
          <w:lang w:val="es-PR"/>
        </w:rPr>
        <w:t>Ley de Explosivos de Puerto Rico</w:t>
      </w:r>
      <w:r w:rsidR="00D8018B" w:rsidRPr="00FC41F7">
        <w:rPr>
          <w:rFonts w:ascii="Book Antiqua" w:hAnsi="Book Antiqua"/>
          <w:lang w:val="es-ES_tradnl"/>
        </w:rPr>
        <w:t>”</w:t>
      </w:r>
      <w:r w:rsidR="00D8018B">
        <w:rPr>
          <w:rFonts w:ascii="Book Antiqua" w:hAnsi="Book Antiqua"/>
          <w:lang w:val="es-ES_tradnl"/>
        </w:rPr>
        <w:t xml:space="preserve"> (en adelante, la “Ley de Explosivos”) </w:t>
      </w:r>
      <w:r w:rsidR="00F26431">
        <w:rPr>
          <w:rFonts w:ascii="Book Antiqua" w:hAnsi="Book Antiqua"/>
          <w:lang w:val="es-PR"/>
        </w:rPr>
        <w:t>rige</w:t>
      </w:r>
      <w:r w:rsidR="00D8018B" w:rsidRPr="00D8018B">
        <w:rPr>
          <w:rFonts w:ascii="Book Antiqua" w:hAnsi="Book Antiqua"/>
          <w:lang w:val="es-PR"/>
        </w:rPr>
        <w:t xml:space="preserve"> exhaustivamente la manufactura, uso, posesión, almacenamiento, transporte, venta, traspaso y disposición de explosivos y sustancias precursoras. La ley establece delitos y penalidades para el uso o posesión ilegal, definiendo claramente qué se considera un explosivo y otr</w:t>
      </w:r>
      <w:r w:rsidR="00F26431">
        <w:rPr>
          <w:rFonts w:ascii="Book Antiqua" w:hAnsi="Book Antiqua"/>
          <w:lang w:val="es-PR"/>
        </w:rPr>
        <w:t xml:space="preserve">os términos </w:t>
      </w:r>
      <w:r w:rsidR="00D8018B" w:rsidRPr="00D8018B">
        <w:rPr>
          <w:rFonts w:ascii="Book Antiqua" w:hAnsi="Book Antiqua"/>
          <w:lang w:val="es-PR"/>
        </w:rPr>
        <w:t>clave</w:t>
      </w:r>
      <w:r w:rsidR="00F26431">
        <w:rPr>
          <w:rFonts w:ascii="Book Antiqua" w:hAnsi="Book Antiqua"/>
          <w:lang w:val="es-PR"/>
        </w:rPr>
        <w:t>s</w:t>
      </w:r>
      <w:r w:rsidR="00D8018B" w:rsidRPr="00D8018B">
        <w:rPr>
          <w:rFonts w:ascii="Book Antiqua" w:hAnsi="Book Antiqua"/>
          <w:lang w:val="es-PR"/>
        </w:rPr>
        <w:t xml:space="preserve">. Además, detalla el proceso para obtener, renovar, suspender o revocar permisos controlados por </w:t>
      </w:r>
      <w:r w:rsidR="00F26431">
        <w:rPr>
          <w:rFonts w:ascii="Book Antiqua" w:hAnsi="Book Antiqua"/>
          <w:lang w:val="es-PR"/>
        </w:rPr>
        <w:t>la Policía de Puerto Rico</w:t>
      </w:r>
      <w:r w:rsidR="00D8018B" w:rsidRPr="00D8018B">
        <w:rPr>
          <w:rFonts w:ascii="Book Antiqua" w:hAnsi="Book Antiqua"/>
          <w:lang w:val="es-PR"/>
        </w:rPr>
        <w:t xml:space="preserve">, </w:t>
      </w:r>
      <w:r w:rsidR="00F26431">
        <w:rPr>
          <w:rFonts w:ascii="Book Antiqua" w:hAnsi="Book Antiqua"/>
          <w:lang w:val="es-PR"/>
        </w:rPr>
        <w:lastRenderedPageBreak/>
        <w:t>entidad que</w:t>
      </w:r>
      <w:r w:rsidR="00D8018B" w:rsidRPr="00D8018B">
        <w:rPr>
          <w:rFonts w:ascii="Book Antiqua" w:hAnsi="Book Antiqua"/>
          <w:lang w:val="es-PR"/>
        </w:rPr>
        <w:t xml:space="preserve"> también fija derechos y fianzas. La normativa exige registros meticulosos de transacciones, supervisa a importadores y distribuidores, y dicta estrictas normas de embalaje, almacenaje y transporte. </w:t>
      </w:r>
      <w:r w:rsidR="001B353B">
        <w:rPr>
          <w:rFonts w:ascii="Book Antiqua" w:hAnsi="Book Antiqua"/>
          <w:lang w:val="es-PR"/>
        </w:rPr>
        <w:t>La Ley</w:t>
      </w:r>
      <w:r w:rsidR="00D8018B" w:rsidRPr="00D8018B">
        <w:rPr>
          <w:rFonts w:ascii="Book Antiqua" w:hAnsi="Book Antiqua"/>
          <w:lang w:val="es-PR"/>
        </w:rPr>
        <w:t xml:space="preserve"> también</w:t>
      </w:r>
      <w:r w:rsidR="001B353B">
        <w:rPr>
          <w:rFonts w:ascii="Book Antiqua" w:hAnsi="Book Antiqua"/>
          <w:lang w:val="es-PR"/>
        </w:rPr>
        <w:t xml:space="preserve"> contempla</w:t>
      </w:r>
      <w:r w:rsidR="00D8018B" w:rsidRPr="00D8018B">
        <w:rPr>
          <w:rFonts w:ascii="Book Antiqua" w:hAnsi="Book Antiqua"/>
          <w:lang w:val="es-PR"/>
        </w:rPr>
        <w:t xml:space="preserve"> las consecuencias de abandono, robo o pérdida, y se prohíbe el acceso a menores de 18 años, así como el disparo de armas cerca de instalaciones explosivas. Finalmente, la </w:t>
      </w:r>
      <w:r w:rsidR="001B353B">
        <w:rPr>
          <w:rFonts w:ascii="Book Antiqua" w:hAnsi="Book Antiqua"/>
          <w:lang w:val="es-PR"/>
        </w:rPr>
        <w:t>Ley</w:t>
      </w:r>
      <w:r w:rsidR="00D8018B" w:rsidRPr="00D8018B">
        <w:rPr>
          <w:rFonts w:ascii="Book Antiqua" w:hAnsi="Book Antiqua"/>
          <w:lang w:val="es-PR"/>
        </w:rPr>
        <w:t xml:space="preserve"> otorga al Superintendente </w:t>
      </w:r>
      <w:r w:rsidR="001B353B">
        <w:rPr>
          <w:rFonts w:ascii="Book Antiqua" w:hAnsi="Book Antiqua"/>
          <w:lang w:val="es-PR"/>
        </w:rPr>
        <w:t xml:space="preserve">de la Policía </w:t>
      </w:r>
      <w:r w:rsidR="00D8018B" w:rsidRPr="00D8018B">
        <w:rPr>
          <w:rFonts w:ascii="Book Antiqua" w:hAnsi="Book Antiqua"/>
          <w:lang w:val="es-PR"/>
        </w:rPr>
        <w:t>poderes de investigación y reglamentación, y establece un proceso para la reconsideración y revisión de sus decisiones, incluyendo la confiscación de bienes utilizados en violaciones.</w:t>
      </w:r>
    </w:p>
    <w:p w14:paraId="04C5E280" w14:textId="12D4E9DE"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0F325D" w:rsidRPr="000F325D">
        <w:rPr>
          <w:rFonts w:ascii="Book Antiqua" w:hAnsi="Book Antiqua"/>
          <w:lang w:val="es-PR"/>
        </w:rPr>
        <w:t xml:space="preserve">El Artículo 26 de la Ley de Explosivos establece que cualquier persona que use explosivos o sustancias que puedan fabricar explosivos con el propósito ilegal de causar daño corporal, aterrorizar a alguien, o dañar o destruir propiedad, será culpable de delito grave y, si es convicta, será castigada con </w:t>
      </w:r>
      <w:r w:rsidR="004D38ED">
        <w:rPr>
          <w:rFonts w:ascii="Book Antiqua" w:hAnsi="Book Antiqua"/>
          <w:lang w:val="es-PR"/>
        </w:rPr>
        <w:t>“</w:t>
      </w:r>
      <w:r w:rsidR="000F325D" w:rsidRPr="000F325D">
        <w:rPr>
          <w:rFonts w:ascii="Book Antiqua" w:hAnsi="Book Antiqua"/>
          <w:lang w:val="es-PR"/>
        </w:rPr>
        <w:t>pena de delito grave de segundo grado</w:t>
      </w:r>
      <w:r w:rsidR="004D38ED">
        <w:rPr>
          <w:rFonts w:ascii="Book Antiqua" w:hAnsi="Book Antiqua"/>
          <w:lang w:val="es-PR"/>
        </w:rPr>
        <w:t>”</w:t>
      </w:r>
      <w:r w:rsidR="000F325D" w:rsidRPr="000F325D">
        <w:rPr>
          <w:rFonts w:ascii="Book Antiqua" w:hAnsi="Book Antiqua"/>
          <w:lang w:val="es-PR"/>
        </w:rPr>
        <w:t>.</w:t>
      </w:r>
    </w:p>
    <w:p w14:paraId="368EFBFA" w14:textId="0D1CA6B8"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4D38ED">
        <w:rPr>
          <w:rFonts w:ascii="Book Antiqua" w:hAnsi="Book Antiqua"/>
          <w:lang w:val="es-PR"/>
        </w:rPr>
        <w:t>Por su parte, e</w:t>
      </w:r>
      <w:r w:rsidR="000F325D" w:rsidRPr="000F325D">
        <w:rPr>
          <w:rFonts w:ascii="Book Antiqua" w:hAnsi="Book Antiqua"/>
          <w:lang w:val="es-PR"/>
        </w:rPr>
        <w:t xml:space="preserve">l Artículo 27 </w:t>
      </w:r>
      <w:r w:rsidR="004D38ED">
        <w:rPr>
          <w:rFonts w:ascii="Book Antiqua" w:hAnsi="Book Antiqua"/>
          <w:lang w:val="es-PR"/>
        </w:rPr>
        <w:t>castiga</w:t>
      </w:r>
      <w:r w:rsidR="000F325D" w:rsidRPr="000F325D">
        <w:rPr>
          <w:rFonts w:ascii="Book Antiqua" w:hAnsi="Book Antiqua"/>
          <w:lang w:val="es-PR"/>
        </w:rPr>
        <w:t xml:space="preserve"> a la posesión con propósitos ilegales. Dispone que toda persona que tenga en su poder explosivos, sustancias para fabricar explosivos, o cualquier objeto análogo (como mecha, batería, reloj, ácido, fulminante o detonador) con la intención de usarlos para causar daño corporal, aterrorizar, o dañar o destruir propiedad, incurrirá en </w:t>
      </w:r>
      <w:r w:rsidR="004D38ED">
        <w:rPr>
          <w:rFonts w:ascii="Book Antiqua" w:hAnsi="Book Antiqua"/>
          <w:lang w:val="es-PR"/>
        </w:rPr>
        <w:t>“</w:t>
      </w:r>
      <w:r w:rsidR="000F325D" w:rsidRPr="000F325D">
        <w:rPr>
          <w:rFonts w:ascii="Book Antiqua" w:hAnsi="Book Antiqua"/>
          <w:lang w:val="es-PR"/>
        </w:rPr>
        <w:t>delito grave de tercer grado</w:t>
      </w:r>
      <w:r w:rsidR="004D38ED">
        <w:rPr>
          <w:rFonts w:ascii="Book Antiqua" w:hAnsi="Book Antiqua"/>
          <w:lang w:val="es-PR"/>
        </w:rPr>
        <w:t>”</w:t>
      </w:r>
      <w:r w:rsidR="000F325D" w:rsidRPr="000F325D">
        <w:rPr>
          <w:rFonts w:ascii="Book Antiqua" w:hAnsi="Book Antiqua"/>
          <w:lang w:val="es-PR"/>
        </w:rPr>
        <w:t xml:space="preserve">. </w:t>
      </w:r>
    </w:p>
    <w:p w14:paraId="2665777E" w14:textId="1F3495BF"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FB775E">
        <w:rPr>
          <w:rFonts w:ascii="Book Antiqua" w:hAnsi="Book Antiqua"/>
          <w:lang w:val="es-PR"/>
        </w:rPr>
        <w:t>Asimismo, el</w:t>
      </w:r>
      <w:r w:rsidR="000F325D" w:rsidRPr="000F325D">
        <w:rPr>
          <w:rFonts w:ascii="Book Antiqua" w:hAnsi="Book Antiqua"/>
          <w:lang w:val="es-PR"/>
        </w:rPr>
        <w:t xml:space="preserve"> Artículo 28 aborda la posesión ilegal con propósitos distintos a los mencionados en el Artículo 27. Indica que cualquier persona que posea ilegalmente explosivos o sustancias que puedan utilizarse para fabricar explosivos con propósitos diferentes a los de causar daño o terror, será culpable de delito menos grave.</w:t>
      </w:r>
    </w:p>
    <w:p w14:paraId="1DA5F62A" w14:textId="3F617D01"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497ECB">
        <w:rPr>
          <w:rFonts w:ascii="Book Antiqua" w:hAnsi="Book Antiqua"/>
          <w:lang w:val="es-PR"/>
        </w:rPr>
        <w:t>Con respecto al</w:t>
      </w:r>
      <w:r w:rsidR="000F325D" w:rsidRPr="000F325D">
        <w:rPr>
          <w:rFonts w:ascii="Book Antiqua" w:hAnsi="Book Antiqua"/>
          <w:lang w:val="es-PR"/>
        </w:rPr>
        <w:t xml:space="preserve"> Artículo 30</w:t>
      </w:r>
      <w:r w:rsidR="00497ECB">
        <w:rPr>
          <w:rFonts w:ascii="Book Antiqua" w:hAnsi="Book Antiqua"/>
          <w:lang w:val="es-PR"/>
        </w:rPr>
        <w:t>, la Ley</w:t>
      </w:r>
      <w:r w:rsidR="000F325D" w:rsidRPr="000F325D">
        <w:rPr>
          <w:rFonts w:ascii="Book Antiqua" w:hAnsi="Book Antiqua"/>
          <w:lang w:val="es-PR"/>
        </w:rPr>
        <w:t xml:space="preserve"> establece que, a menos que la ley o sus reglamentos dispongan expresamente lo contrario, toda infracción a las disposiciones de la Ley de Explosivos y sus reglamentos constituirá un delito menos grave.</w:t>
      </w:r>
    </w:p>
    <w:p w14:paraId="1EB19BCD" w14:textId="1A05672F"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0F325D" w:rsidRPr="000F325D">
        <w:rPr>
          <w:rFonts w:ascii="Book Antiqua" w:hAnsi="Book Antiqua"/>
          <w:lang w:val="es-PR"/>
        </w:rPr>
        <w:t xml:space="preserve">Finalmente, el Artículo 32 </w:t>
      </w:r>
      <w:r w:rsidR="005120A3">
        <w:rPr>
          <w:rFonts w:ascii="Book Antiqua" w:hAnsi="Book Antiqua"/>
          <w:lang w:val="es-PR"/>
        </w:rPr>
        <w:t>reglamenta el tema</w:t>
      </w:r>
      <w:r w:rsidR="000F325D" w:rsidRPr="000F325D">
        <w:rPr>
          <w:rFonts w:ascii="Book Antiqua" w:hAnsi="Book Antiqua"/>
          <w:lang w:val="es-PR"/>
        </w:rPr>
        <w:t xml:space="preserve"> sobre la confiscación</w:t>
      </w:r>
      <w:r w:rsidR="00E36623">
        <w:rPr>
          <w:rFonts w:ascii="Book Antiqua" w:hAnsi="Book Antiqua"/>
          <w:lang w:val="es-PR"/>
        </w:rPr>
        <w:t>: a</w:t>
      </w:r>
      <w:r w:rsidR="000F325D" w:rsidRPr="000F325D">
        <w:rPr>
          <w:rFonts w:ascii="Book Antiqua" w:hAnsi="Book Antiqua"/>
          <w:lang w:val="es-PR"/>
        </w:rPr>
        <w:t xml:space="preserve">utoriza al Secretario de Justicia a confiscar todo vehículo, bestia, embarcación o nave aérea que sea utilizada, o sorprendida siendo utilizada, para cargar, descargar, transportar, llevar o trasladar explosivos o sustancias que puedan utilizarse para fabricar explosivos en violación de las disposiciones de esta ley o sus reglamentos. </w:t>
      </w:r>
      <w:r w:rsidR="00E36623">
        <w:rPr>
          <w:rFonts w:ascii="Book Antiqua" w:hAnsi="Book Antiqua"/>
          <w:lang w:val="es-PR"/>
        </w:rPr>
        <w:t>La Ley de Explosivos vigente menciona que</w:t>
      </w:r>
      <w:r w:rsidR="000F325D" w:rsidRPr="000F325D">
        <w:rPr>
          <w:rFonts w:ascii="Book Antiqua" w:hAnsi="Book Antiqua"/>
          <w:lang w:val="es-PR"/>
        </w:rPr>
        <w:t xml:space="preserve"> la confiscación y disposición de estos bienes, se seguirá el procedimiento establecido por </w:t>
      </w:r>
      <w:r w:rsidR="00E36623">
        <w:rPr>
          <w:rFonts w:ascii="Book Antiqua" w:hAnsi="Book Antiqua"/>
          <w:lang w:val="es-PR"/>
        </w:rPr>
        <w:t>“</w:t>
      </w:r>
      <w:r w:rsidR="000F325D" w:rsidRPr="000F325D">
        <w:rPr>
          <w:rFonts w:ascii="Book Antiqua" w:hAnsi="Book Antiqua"/>
          <w:lang w:val="es-PR"/>
        </w:rPr>
        <w:t>Ley Uniforme de Confiscaciones de Vehículos, Bestias y Embarcaciones</w:t>
      </w:r>
      <w:r w:rsidR="00E36623">
        <w:rPr>
          <w:rFonts w:ascii="Book Antiqua" w:hAnsi="Book Antiqua"/>
          <w:lang w:val="es-PR"/>
        </w:rPr>
        <w:t>”</w:t>
      </w:r>
      <w:r w:rsidR="000F325D" w:rsidRPr="000F325D">
        <w:rPr>
          <w:rFonts w:ascii="Book Antiqua" w:hAnsi="Book Antiqua"/>
          <w:lang w:val="es-PR"/>
        </w:rPr>
        <w:t xml:space="preserve">, Ley Núm. 39, de 4 de junio de 1960, la cual ha sido derogada y sustituida por la Ley 119-2011, según enmendada, conocida como </w:t>
      </w:r>
      <w:r w:rsidR="00E36623">
        <w:rPr>
          <w:rFonts w:ascii="Book Antiqua" w:hAnsi="Book Antiqua"/>
          <w:lang w:val="es-PR"/>
        </w:rPr>
        <w:t>“</w:t>
      </w:r>
      <w:r w:rsidR="000F325D" w:rsidRPr="000F325D">
        <w:rPr>
          <w:rFonts w:ascii="Book Antiqua" w:hAnsi="Book Antiqua"/>
          <w:lang w:val="es-PR"/>
        </w:rPr>
        <w:t>Ley Uniforme de Confiscaciones de 2011</w:t>
      </w:r>
      <w:r w:rsidR="00E36623">
        <w:rPr>
          <w:rFonts w:ascii="Book Antiqua" w:hAnsi="Book Antiqua"/>
          <w:lang w:val="es-PR"/>
        </w:rPr>
        <w:t>”</w:t>
      </w:r>
      <w:r w:rsidR="000F325D" w:rsidRPr="000F325D">
        <w:rPr>
          <w:rFonts w:ascii="Book Antiqua" w:hAnsi="Book Antiqua"/>
          <w:lang w:val="es-PR"/>
        </w:rPr>
        <w:t>.</w:t>
      </w:r>
    </w:p>
    <w:p w14:paraId="1EB2D374" w14:textId="7C0DB299"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0F325D" w:rsidRPr="000F325D">
        <w:rPr>
          <w:rFonts w:ascii="Book Antiqua" w:hAnsi="Book Antiqua"/>
          <w:lang w:val="es-PR"/>
        </w:rPr>
        <w:t>El P. del S. 40</w:t>
      </w:r>
      <w:r w:rsidR="00E36623">
        <w:rPr>
          <w:rFonts w:ascii="Book Antiqua" w:hAnsi="Book Antiqua"/>
          <w:lang w:val="es-PR"/>
        </w:rPr>
        <w:t xml:space="preserve"> </w:t>
      </w:r>
      <w:r w:rsidR="000F325D" w:rsidRPr="000F325D">
        <w:rPr>
          <w:rFonts w:ascii="Book Antiqua" w:hAnsi="Book Antiqua"/>
          <w:lang w:val="es-PR"/>
        </w:rPr>
        <w:t xml:space="preserve">busca atemperar las disposiciones y delitos de la Ley </w:t>
      </w:r>
      <w:r w:rsidR="00E36623">
        <w:rPr>
          <w:rFonts w:ascii="Book Antiqua" w:hAnsi="Book Antiqua"/>
          <w:lang w:val="es-PR"/>
        </w:rPr>
        <w:t xml:space="preserve">de </w:t>
      </w:r>
      <w:r w:rsidR="004F7631">
        <w:rPr>
          <w:rFonts w:ascii="Book Antiqua" w:hAnsi="Book Antiqua"/>
          <w:lang w:val="es-PR"/>
        </w:rPr>
        <w:t>Explosivos</w:t>
      </w:r>
      <w:r w:rsidR="00E36623">
        <w:rPr>
          <w:rFonts w:ascii="Book Antiqua" w:hAnsi="Book Antiqua"/>
          <w:lang w:val="es-PR"/>
        </w:rPr>
        <w:t xml:space="preserve"> </w:t>
      </w:r>
      <w:r w:rsidR="000F325D" w:rsidRPr="000F325D">
        <w:rPr>
          <w:rFonts w:ascii="Book Antiqua" w:hAnsi="Book Antiqua"/>
          <w:lang w:val="es-PR"/>
        </w:rPr>
        <w:t xml:space="preserve">al sistema de penas establecido en la Ley </w:t>
      </w:r>
      <w:r w:rsidR="004F7631">
        <w:rPr>
          <w:rFonts w:ascii="Book Antiqua" w:hAnsi="Book Antiqua"/>
          <w:lang w:val="es-PR"/>
        </w:rPr>
        <w:t>146-2012</w:t>
      </w:r>
      <w:r w:rsidR="000F325D" w:rsidRPr="000F325D">
        <w:rPr>
          <w:rFonts w:ascii="Book Antiqua" w:hAnsi="Book Antiqua"/>
          <w:lang w:val="es-PR"/>
        </w:rPr>
        <w:t xml:space="preserve">, conocida como "Código </w:t>
      </w:r>
      <w:r w:rsidR="000F325D" w:rsidRPr="000F325D">
        <w:rPr>
          <w:rFonts w:ascii="Book Antiqua" w:hAnsi="Book Antiqua"/>
          <w:lang w:val="es-PR"/>
        </w:rPr>
        <w:lastRenderedPageBreak/>
        <w:t>Penal de Puerto Rico". La Exposición de Motivos del P. del S. 40 señala que la aprobación del Código Penal de 2012 reformuló el ordenamiento jurídico penal y modificó las penas aplicables a cada delito, estableciendo que los delitos graves en leyes penales especiales (como la Ley de Explosivos) seguirían vigentes hasta que estas leyes fueran enmendadas y armonizadas con el nuevo sistema de sentencias fijas. La falta de armonización crea un vacío legal que dificulta la aplicación uniforme</w:t>
      </w:r>
      <w:r w:rsidR="00E36623">
        <w:rPr>
          <w:rFonts w:ascii="Book Antiqua" w:hAnsi="Book Antiqua"/>
          <w:lang w:val="es-PR"/>
        </w:rPr>
        <w:t xml:space="preserve"> y coherente</w:t>
      </w:r>
      <w:r w:rsidR="000F325D" w:rsidRPr="000F325D">
        <w:rPr>
          <w:rFonts w:ascii="Book Antiqua" w:hAnsi="Book Antiqua"/>
          <w:lang w:val="es-PR"/>
        </w:rPr>
        <w:t xml:space="preserve"> de las penas y podría generar resultados inconsistentes, impidiendo también el cumplimiento del objetivo de rehabilitación y reintegración social que promueve el Código Penal de 2012.</w:t>
      </w:r>
    </w:p>
    <w:p w14:paraId="7DDF7735" w14:textId="231E5FA8" w:rsidR="000F325D" w:rsidRPr="000F325D"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0F325D" w:rsidRPr="000F325D">
        <w:rPr>
          <w:rFonts w:ascii="Book Antiqua" w:hAnsi="Book Antiqua"/>
          <w:lang w:val="es-PR"/>
        </w:rPr>
        <w:t xml:space="preserve">El proyecto de ley propone enmiendas específicas </w:t>
      </w:r>
      <w:r w:rsidR="00E36623">
        <w:rPr>
          <w:rFonts w:ascii="Book Antiqua" w:hAnsi="Book Antiqua"/>
          <w:lang w:val="es-PR"/>
        </w:rPr>
        <w:t xml:space="preserve">a la Ley de </w:t>
      </w:r>
      <w:r>
        <w:rPr>
          <w:rFonts w:ascii="Book Antiqua" w:hAnsi="Book Antiqua"/>
          <w:lang w:val="es-PR"/>
        </w:rPr>
        <w:t>Explosivos</w:t>
      </w:r>
      <w:r w:rsidR="00E36623">
        <w:rPr>
          <w:rFonts w:ascii="Book Antiqua" w:hAnsi="Book Antiqua"/>
          <w:lang w:val="es-PR"/>
        </w:rPr>
        <w:t xml:space="preserve"> </w:t>
      </w:r>
      <w:r w:rsidR="000F325D" w:rsidRPr="000F325D">
        <w:rPr>
          <w:rFonts w:ascii="Book Antiqua" w:hAnsi="Book Antiqua"/>
          <w:lang w:val="es-PR"/>
        </w:rPr>
        <w:t xml:space="preserve">para armonizar las </w:t>
      </w:r>
      <w:r>
        <w:rPr>
          <w:rFonts w:ascii="Book Antiqua" w:hAnsi="Book Antiqua"/>
          <w:lang w:val="es-PR"/>
        </w:rPr>
        <w:t>penas</w:t>
      </w:r>
      <w:r w:rsidR="00E36623">
        <w:rPr>
          <w:rFonts w:ascii="Book Antiqua" w:hAnsi="Book Antiqua"/>
          <w:lang w:val="es-PR"/>
        </w:rPr>
        <w:t xml:space="preserve">. Veamos. </w:t>
      </w:r>
    </w:p>
    <w:p w14:paraId="506697A3" w14:textId="6EFF1DD0" w:rsidR="00CA1098" w:rsidRDefault="00FD744C" w:rsidP="004B6B18">
      <w:pPr>
        <w:tabs>
          <w:tab w:val="left" w:pos="-720"/>
        </w:tabs>
        <w:suppressAutoHyphens/>
        <w:spacing w:line="276" w:lineRule="auto"/>
        <w:jc w:val="both"/>
        <w:rPr>
          <w:rFonts w:ascii="Book Antiqua" w:hAnsi="Book Antiqua"/>
          <w:lang w:val="es-PR"/>
        </w:rPr>
      </w:pPr>
      <w:r>
        <w:rPr>
          <w:rFonts w:ascii="Book Antiqua" w:hAnsi="Book Antiqua"/>
          <w:lang w:val="es-PR"/>
        </w:rPr>
        <w:tab/>
      </w:r>
      <w:r w:rsidR="00E36623">
        <w:rPr>
          <w:rFonts w:ascii="Book Antiqua" w:hAnsi="Book Antiqua"/>
          <w:lang w:val="es-PR"/>
        </w:rPr>
        <w:t xml:space="preserve">En cuanto al </w:t>
      </w:r>
      <w:r w:rsidR="000F325D" w:rsidRPr="000F325D">
        <w:rPr>
          <w:rFonts w:ascii="Book Antiqua" w:hAnsi="Book Antiqua"/>
          <w:lang w:val="es-PR"/>
        </w:rPr>
        <w:t>Artículo 26 (Penalidad por uso ilegal)</w:t>
      </w:r>
      <w:r w:rsidR="00E36623">
        <w:rPr>
          <w:rFonts w:ascii="Book Antiqua" w:hAnsi="Book Antiqua"/>
          <w:lang w:val="es-PR"/>
        </w:rPr>
        <w:t xml:space="preserve">, el proyecto </w:t>
      </w:r>
      <w:r w:rsidR="000F325D" w:rsidRPr="000F325D">
        <w:rPr>
          <w:rFonts w:ascii="Book Antiqua" w:hAnsi="Book Antiqua"/>
          <w:lang w:val="es-PR"/>
        </w:rPr>
        <w:t xml:space="preserve">busca que, en lugar de ser castigado con </w:t>
      </w:r>
      <w:r w:rsidR="00E36623">
        <w:rPr>
          <w:rFonts w:ascii="Book Antiqua" w:hAnsi="Book Antiqua"/>
          <w:lang w:val="es-PR"/>
        </w:rPr>
        <w:t>“</w:t>
      </w:r>
      <w:r w:rsidR="000F325D" w:rsidRPr="000F325D">
        <w:rPr>
          <w:rFonts w:ascii="Book Antiqua" w:hAnsi="Book Antiqua"/>
          <w:lang w:val="es-PR"/>
        </w:rPr>
        <w:t>pena de delito grave de segundo grado</w:t>
      </w:r>
      <w:r w:rsidR="00E36623">
        <w:rPr>
          <w:rFonts w:ascii="Book Antiqua" w:hAnsi="Book Antiqua"/>
          <w:lang w:val="es-PR"/>
        </w:rPr>
        <w:t>”</w:t>
      </w:r>
      <w:r w:rsidR="000F325D" w:rsidRPr="000F325D">
        <w:rPr>
          <w:rFonts w:ascii="Book Antiqua" w:hAnsi="Book Antiqua"/>
          <w:lang w:val="es-PR"/>
        </w:rPr>
        <w:t>, la persona convicta sea sancionada con pena de reclusión por un término fijo de quince (15) años.</w:t>
      </w:r>
      <w:r w:rsidR="00E36623">
        <w:rPr>
          <w:rFonts w:ascii="Book Antiqua" w:hAnsi="Book Antiqua"/>
          <w:lang w:val="es-PR"/>
        </w:rPr>
        <w:t xml:space="preserve"> Por su parte, en relación con el </w:t>
      </w:r>
      <w:r w:rsidR="000F325D" w:rsidRPr="000F325D">
        <w:rPr>
          <w:rFonts w:ascii="Book Antiqua" w:hAnsi="Book Antiqua"/>
          <w:lang w:val="es-PR"/>
        </w:rPr>
        <w:t>Artículo 27 (Penalidad por posesión con propósitos ilegales)</w:t>
      </w:r>
      <w:r w:rsidR="00E36623">
        <w:rPr>
          <w:rFonts w:ascii="Book Antiqua" w:hAnsi="Book Antiqua"/>
          <w:lang w:val="es-PR"/>
        </w:rPr>
        <w:t xml:space="preserve"> e</w:t>
      </w:r>
      <w:r w:rsidR="000F325D" w:rsidRPr="000F325D">
        <w:rPr>
          <w:rFonts w:ascii="Book Antiqua" w:hAnsi="Book Antiqua"/>
          <w:lang w:val="es-PR"/>
        </w:rPr>
        <w:t xml:space="preserve">l cambio propuesto es que la persona que incurra en este delito, en lugar de un </w:t>
      </w:r>
      <w:r w:rsidR="00E36623">
        <w:rPr>
          <w:rFonts w:ascii="Book Antiqua" w:hAnsi="Book Antiqua"/>
          <w:lang w:val="es-PR"/>
        </w:rPr>
        <w:t>“</w:t>
      </w:r>
      <w:r w:rsidR="000F325D" w:rsidRPr="000F325D">
        <w:rPr>
          <w:rFonts w:ascii="Book Antiqua" w:hAnsi="Book Antiqua"/>
          <w:lang w:val="es-PR"/>
        </w:rPr>
        <w:t>delito grave de tercer grado</w:t>
      </w:r>
      <w:r w:rsidR="00E36623">
        <w:rPr>
          <w:rFonts w:ascii="Book Antiqua" w:hAnsi="Book Antiqua"/>
          <w:lang w:val="es-PR"/>
        </w:rPr>
        <w:t>”</w:t>
      </w:r>
      <w:r w:rsidR="000F325D" w:rsidRPr="000F325D">
        <w:rPr>
          <w:rFonts w:ascii="Book Antiqua" w:hAnsi="Book Antiqua"/>
          <w:lang w:val="es-PR"/>
        </w:rPr>
        <w:t>, sea culpable de delito grave y castigada con pena de reclusión por un término fijo de ocho (8) años.</w:t>
      </w:r>
      <w:r w:rsidR="00E36623">
        <w:rPr>
          <w:rFonts w:ascii="Book Antiqua" w:hAnsi="Book Antiqua"/>
          <w:lang w:val="es-PR"/>
        </w:rPr>
        <w:t xml:space="preserve"> En cuanto al </w:t>
      </w:r>
      <w:r w:rsidR="000F325D" w:rsidRPr="000F325D">
        <w:rPr>
          <w:rFonts w:ascii="Book Antiqua" w:hAnsi="Book Antiqua"/>
          <w:lang w:val="es-PR"/>
        </w:rPr>
        <w:t>Artículo 28 (Posesión ilegal):</w:t>
      </w:r>
      <w:r w:rsidR="00E36623">
        <w:rPr>
          <w:rFonts w:ascii="Book Antiqua" w:hAnsi="Book Antiqua"/>
          <w:lang w:val="es-PR"/>
        </w:rPr>
        <w:t xml:space="preserve"> p</w:t>
      </w:r>
      <w:r w:rsidR="000F325D" w:rsidRPr="000F325D">
        <w:rPr>
          <w:rFonts w:ascii="Book Antiqua" w:hAnsi="Book Antiqua"/>
          <w:lang w:val="es-PR"/>
        </w:rPr>
        <w:t xml:space="preserve">ara la posesión ilegal con propósitos distintos a los de daño o terror, la enmienda establece que, en lugar de simplemente ser un </w:t>
      </w:r>
      <w:r w:rsidR="00E36623">
        <w:rPr>
          <w:rFonts w:ascii="Book Antiqua" w:hAnsi="Book Antiqua"/>
          <w:lang w:val="es-PR"/>
        </w:rPr>
        <w:t>“</w:t>
      </w:r>
      <w:r w:rsidR="000F325D" w:rsidRPr="000F325D">
        <w:rPr>
          <w:rFonts w:ascii="Book Antiqua" w:hAnsi="Book Antiqua"/>
          <w:lang w:val="es-PR"/>
        </w:rPr>
        <w:t>delito menos grave</w:t>
      </w:r>
      <w:r w:rsidR="00E36623">
        <w:rPr>
          <w:rFonts w:ascii="Book Antiqua" w:hAnsi="Book Antiqua"/>
          <w:lang w:val="es-PR"/>
        </w:rPr>
        <w:t>”</w:t>
      </w:r>
      <w:r w:rsidR="000F325D" w:rsidRPr="000F325D">
        <w:rPr>
          <w:rFonts w:ascii="Book Antiqua" w:hAnsi="Book Antiqua"/>
          <w:lang w:val="es-PR"/>
        </w:rPr>
        <w:t>, el culpable será sancionado con pena de reclusión por un término fijo de seis (6) meses. Adicionalmente, el tribunal a su discreción podrá imponer una multa que no excederá de cinco mil (5</w:t>
      </w:r>
      <w:r w:rsidR="00F12830">
        <w:rPr>
          <w:rFonts w:ascii="Book Antiqua" w:hAnsi="Book Antiqua"/>
          <w:lang w:val="es-PR"/>
        </w:rPr>
        <w:t>,</w:t>
      </w:r>
      <w:r w:rsidR="000F325D" w:rsidRPr="000F325D">
        <w:rPr>
          <w:rFonts w:ascii="Book Antiqua" w:hAnsi="Book Antiqua"/>
          <w:lang w:val="es-PR"/>
        </w:rPr>
        <w:t>000) dólares.</w:t>
      </w:r>
      <w:r w:rsidR="00E36623">
        <w:rPr>
          <w:rFonts w:ascii="Book Antiqua" w:hAnsi="Book Antiqua"/>
          <w:lang w:val="es-PR"/>
        </w:rPr>
        <w:t xml:space="preserve"> </w:t>
      </w:r>
      <w:r w:rsidR="001C3C68">
        <w:rPr>
          <w:rFonts w:ascii="Book Antiqua" w:hAnsi="Book Antiqua"/>
          <w:lang w:val="es-PR"/>
        </w:rPr>
        <w:t xml:space="preserve">En relación con el </w:t>
      </w:r>
      <w:r w:rsidR="000F325D" w:rsidRPr="000F325D">
        <w:rPr>
          <w:rFonts w:ascii="Book Antiqua" w:hAnsi="Book Antiqua"/>
          <w:lang w:val="es-PR"/>
        </w:rPr>
        <w:t xml:space="preserve">Artículo 30 (Otras penalidades) </w:t>
      </w:r>
      <w:r w:rsidR="001C3C68">
        <w:rPr>
          <w:rFonts w:ascii="Book Antiqua" w:hAnsi="Book Antiqua"/>
          <w:lang w:val="es-PR"/>
        </w:rPr>
        <w:t>s</w:t>
      </w:r>
      <w:r w:rsidR="000F325D" w:rsidRPr="000F325D">
        <w:rPr>
          <w:rFonts w:ascii="Book Antiqua" w:hAnsi="Book Antiqua"/>
          <w:lang w:val="es-PR"/>
        </w:rPr>
        <w:t>e aclara que toda infracción a la ley y sus reglamentos que constituya delito menos grave y para la cual no se haya dispuesto otra pena, se castigará con pena de reclusión por un término fijo de seis (6) meses. Al igual que en el Artículo 28, el tribunal podrá imponer, a su discreción, una pena de multa que no excederá de cinco mil (5</w:t>
      </w:r>
      <w:r w:rsidR="00F12830">
        <w:rPr>
          <w:rFonts w:ascii="Book Antiqua" w:hAnsi="Book Antiqua"/>
          <w:lang w:val="es-PR"/>
        </w:rPr>
        <w:t>,</w:t>
      </w:r>
      <w:r w:rsidR="000F325D" w:rsidRPr="000F325D">
        <w:rPr>
          <w:rFonts w:ascii="Book Antiqua" w:hAnsi="Book Antiqua"/>
          <w:lang w:val="es-PR"/>
        </w:rPr>
        <w:t>000) dólares.</w:t>
      </w:r>
      <w:r w:rsidR="001C3C68">
        <w:rPr>
          <w:rFonts w:ascii="Book Antiqua" w:hAnsi="Book Antiqua"/>
          <w:lang w:val="es-PR"/>
        </w:rPr>
        <w:t xml:space="preserve"> Por último, en cuanto al </w:t>
      </w:r>
      <w:r w:rsidR="000F325D" w:rsidRPr="000F325D">
        <w:rPr>
          <w:rFonts w:ascii="Book Antiqua" w:hAnsi="Book Antiqua"/>
          <w:lang w:val="es-PR"/>
        </w:rPr>
        <w:t>Artículo 32 (Confiscación)</w:t>
      </w:r>
      <w:r w:rsidR="001C3C68">
        <w:rPr>
          <w:rFonts w:ascii="Book Antiqua" w:hAnsi="Book Antiqua"/>
          <w:lang w:val="es-PR"/>
        </w:rPr>
        <w:t xml:space="preserve"> l</w:t>
      </w:r>
      <w:r w:rsidR="000F325D" w:rsidRPr="000F325D">
        <w:rPr>
          <w:rFonts w:ascii="Book Antiqua" w:hAnsi="Book Antiqua"/>
          <w:lang w:val="es-PR"/>
        </w:rPr>
        <w:t>a enmienda en este artículo busca actualizar la referencia legal para los procedimientos de confiscación. Específicamente, cambia la mención de la</w:t>
      </w:r>
      <w:r w:rsidR="001C3C68">
        <w:rPr>
          <w:rFonts w:ascii="Book Antiqua" w:hAnsi="Book Antiqua"/>
          <w:lang w:val="es-PR"/>
        </w:rPr>
        <w:t xml:space="preserve"> derogada</w:t>
      </w:r>
      <w:r w:rsidR="000F325D" w:rsidRPr="000F325D">
        <w:rPr>
          <w:rFonts w:ascii="Book Antiqua" w:hAnsi="Book Antiqua"/>
          <w:lang w:val="es-PR"/>
        </w:rPr>
        <w:t xml:space="preserve"> </w:t>
      </w:r>
      <w:r w:rsidR="001C3C68">
        <w:rPr>
          <w:rFonts w:ascii="Book Antiqua" w:hAnsi="Book Antiqua"/>
          <w:lang w:val="es-PR"/>
        </w:rPr>
        <w:t>“</w:t>
      </w:r>
      <w:r w:rsidR="000F325D" w:rsidRPr="000F325D">
        <w:rPr>
          <w:rFonts w:ascii="Book Antiqua" w:hAnsi="Book Antiqua"/>
          <w:lang w:val="es-PR"/>
        </w:rPr>
        <w:t>Ley núm. 39, de 4 de junio de 1960</w:t>
      </w:r>
      <w:r w:rsidR="001C3C68">
        <w:rPr>
          <w:rFonts w:ascii="Book Antiqua" w:hAnsi="Book Antiqua"/>
          <w:lang w:val="es-PR"/>
        </w:rPr>
        <w:t>”</w:t>
      </w:r>
      <w:r w:rsidR="000F325D" w:rsidRPr="000F325D">
        <w:rPr>
          <w:rFonts w:ascii="Book Antiqua" w:hAnsi="Book Antiqua"/>
          <w:lang w:val="es-PR"/>
        </w:rPr>
        <w:t xml:space="preserve"> por la </w:t>
      </w:r>
      <w:r w:rsidR="001C3C68">
        <w:rPr>
          <w:rFonts w:ascii="Book Antiqua" w:hAnsi="Book Antiqua"/>
          <w:lang w:val="es-PR"/>
        </w:rPr>
        <w:t>vigente</w:t>
      </w:r>
      <w:r w:rsidR="009522C5">
        <w:rPr>
          <w:rFonts w:ascii="Book Antiqua" w:hAnsi="Book Antiqua"/>
          <w:lang w:val="es-PR"/>
        </w:rPr>
        <w:t xml:space="preserve"> “</w:t>
      </w:r>
      <w:r w:rsidR="000F325D" w:rsidRPr="000F325D">
        <w:rPr>
          <w:rFonts w:ascii="Book Antiqua" w:hAnsi="Book Antiqua"/>
          <w:lang w:val="es-PR"/>
        </w:rPr>
        <w:t>Ley Uniforme de Confiscaciones de 2011</w:t>
      </w:r>
      <w:r w:rsidR="009522C5">
        <w:rPr>
          <w:rFonts w:ascii="Book Antiqua" w:hAnsi="Book Antiqua"/>
          <w:lang w:val="es-PR"/>
        </w:rPr>
        <w:t>”.</w:t>
      </w:r>
    </w:p>
    <w:p w14:paraId="2B1011B4" w14:textId="7D025A0A" w:rsidR="00C05C42" w:rsidRPr="001D7EA7" w:rsidRDefault="00C05C42" w:rsidP="00C05C4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1D7EA7">
        <w:rPr>
          <w:rFonts w:ascii="Book Antiqua" w:hAnsi="Book Antiqua"/>
          <w:szCs w:val="24"/>
          <w:lang w:val="es-PR"/>
        </w:rPr>
        <w:t xml:space="preserve">Para propósitos ilustrativos exponemos </w:t>
      </w:r>
      <w:r>
        <w:rPr>
          <w:rFonts w:ascii="Book Antiqua" w:hAnsi="Book Antiqua"/>
          <w:szCs w:val="24"/>
          <w:lang w:val="es-PR"/>
        </w:rPr>
        <w:t>la comparación</w:t>
      </w:r>
      <w:r w:rsidRPr="001D7EA7">
        <w:rPr>
          <w:rFonts w:ascii="Book Antiqua" w:hAnsi="Book Antiqua"/>
          <w:szCs w:val="24"/>
          <w:lang w:val="es-PR"/>
        </w:rPr>
        <w:t xml:space="preserve"> entre el “Código Penal del Estado Libre Asociado de Puerto Rico de 2004” y el “Código Penal de Puerto Rico de 2012”, respecto a la clasificación de los delitos:</w:t>
      </w:r>
    </w:p>
    <w:p w14:paraId="2283E5C8" w14:textId="5E452C37" w:rsidR="00C05C42" w:rsidRDefault="00C05C42">
      <w:pPr>
        <w:rPr>
          <w:rFonts w:ascii="Book Antiqua" w:hAnsi="Book Antiqua"/>
          <w:szCs w:val="24"/>
          <w:lang w:val="es-PR"/>
        </w:rPr>
      </w:pPr>
      <w:r>
        <w:rPr>
          <w:rFonts w:ascii="Book Antiqua" w:hAnsi="Book Antiqua"/>
          <w:szCs w:val="24"/>
          <w:lang w:val="es-PR"/>
        </w:rPr>
        <w:br w:type="page"/>
      </w:r>
    </w:p>
    <w:p w14:paraId="1EBE1A1E" w14:textId="77777777" w:rsidR="00C05C42" w:rsidRPr="001D7EA7" w:rsidRDefault="00C05C42" w:rsidP="00C05C42">
      <w:pPr>
        <w:tabs>
          <w:tab w:val="left" w:pos="-720"/>
        </w:tabs>
        <w:suppressAutoHyphens/>
        <w:spacing w:line="276" w:lineRule="auto"/>
        <w:ind w:firstLine="360"/>
        <w:jc w:val="both"/>
        <w:rPr>
          <w:rFonts w:ascii="Book Antiqua" w:hAnsi="Book Antiqua"/>
          <w:szCs w:val="24"/>
          <w:lang w:val="es-PR"/>
        </w:rPr>
      </w:pPr>
    </w:p>
    <w:tbl>
      <w:tblPr>
        <w:tblStyle w:val="TableGrid"/>
        <w:tblW w:w="0" w:type="auto"/>
        <w:tblLook w:val="04A0" w:firstRow="1" w:lastRow="0" w:firstColumn="1" w:lastColumn="0" w:noHBand="0" w:noVBand="1"/>
      </w:tblPr>
      <w:tblGrid>
        <w:gridCol w:w="4516"/>
        <w:gridCol w:w="4517"/>
      </w:tblGrid>
      <w:tr w:rsidR="00C05C42" w:rsidRPr="00020F80" w14:paraId="7347429C" w14:textId="77777777" w:rsidTr="00F06E46">
        <w:tc>
          <w:tcPr>
            <w:tcW w:w="4516" w:type="dxa"/>
            <w:vAlign w:val="center"/>
          </w:tcPr>
          <w:p w14:paraId="3912F6C2" w14:textId="77777777" w:rsidR="00C05C42" w:rsidRDefault="00C05C42" w:rsidP="00F06E46">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 xml:space="preserve">Código Penal del Estado Libre Asociado de Puerto Rico de 2004 </w:t>
            </w:r>
          </w:p>
          <w:p w14:paraId="279146CC" w14:textId="77777777" w:rsidR="00C05C42" w:rsidRPr="001D7EA7" w:rsidRDefault="00C05C42" w:rsidP="00F06E46">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(ley derogada)</w:t>
            </w:r>
          </w:p>
        </w:tc>
        <w:tc>
          <w:tcPr>
            <w:tcW w:w="4517" w:type="dxa"/>
            <w:vAlign w:val="center"/>
          </w:tcPr>
          <w:p w14:paraId="0B55BD2E" w14:textId="77777777" w:rsidR="00C05C42" w:rsidRPr="001D7EA7" w:rsidRDefault="00C05C42" w:rsidP="00F06E46">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Código Penal de Puerto Rico de 2012 (ley vigente)</w:t>
            </w:r>
          </w:p>
        </w:tc>
      </w:tr>
      <w:tr w:rsidR="00C05C42" w:rsidRPr="00020F80" w14:paraId="063D9DDA" w14:textId="77777777" w:rsidTr="00F06E46">
        <w:tc>
          <w:tcPr>
            <w:tcW w:w="4516" w:type="dxa"/>
          </w:tcPr>
          <w:p w14:paraId="0FD33DA8"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35F1078F" w14:textId="77777777" w:rsidR="00C05C42" w:rsidRPr="001D7EA7" w:rsidRDefault="00C05C42" w:rsidP="00F06E46">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7ABBD542"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12F13CCA"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4BB5D5F1"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19DD601C"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5CBCD8AE"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3D16220"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grave aquél que conlleva una pena de reclusión mayor de seis (6) meses y que según la pena correspondiente, se clasifica en cuatro grados, como sigue:</w:t>
            </w:r>
          </w:p>
          <w:p w14:paraId="22AE5A71"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15D05B59"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(a) Grave de primer grado, cuya pena es de reclusión por noventa y nueve (99) años.</w:t>
            </w:r>
          </w:p>
          <w:p w14:paraId="754D24F1"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2B8F39EC"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w:t>
            </w:r>
            <w:r w:rsidRPr="001D7EA7">
              <w:rPr>
                <w:rFonts w:ascii="Book Antiqua" w:hAnsi="Book Antiqua"/>
                <w:szCs w:val="24"/>
                <w:lang w:val="es-PR"/>
              </w:rPr>
              <w:lastRenderedPageBreak/>
              <w:t>esté la víctima serán delitos graves de segundo grado severo, con pena de reclusión entre quince (15) años y un día y veinticinco (25) años.</w:t>
            </w:r>
          </w:p>
          <w:p w14:paraId="30ADDCB1"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18F8307E"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(c) Grave de tercer grado, cuya pena de reclusión fluctúa entre tres (3) años un (1) día y ocho (8) años.</w:t>
            </w:r>
          </w:p>
          <w:p w14:paraId="0469227A"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05C477C"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 Grave de cuarto grado, cuya pena de reclusión fluctúa entre seis (6) meses un día y tres</w:t>
            </w:r>
            <w:r>
              <w:rPr>
                <w:rFonts w:ascii="Book Antiqua" w:hAnsi="Book Antiqua"/>
                <w:szCs w:val="24"/>
                <w:lang w:val="es-PR"/>
              </w:rPr>
              <w:t xml:space="preserve"> </w:t>
            </w:r>
            <w:r w:rsidRPr="001D7EA7">
              <w:rPr>
                <w:rFonts w:ascii="Book Antiqua" w:hAnsi="Book Antiqua"/>
                <w:szCs w:val="24"/>
                <w:lang w:val="es-PR"/>
              </w:rPr>
              <w:t>(3) años.</w:t>
            </w:r>
          </w:p>
          <w:p w14:paraId="7F2F3D7B"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25684EE"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No obstante, en los delitos graves y en los delitos menos graves podrá imponerse otros tipos de penas, además de la reclusión.</w:t>
            </w:r>
          </w:p>
          <w:p w14:paraId="5C367201"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2FC07E82"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06C21B85"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FA66C12"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menos graves que se tipifican en leyes especiales mantienen la clasificación de</w:t>
            </w:r>
            <w:r>
              <w:rPr>
                <w:rFonts w:ascii="Book Antiqua" w:hAnsi="Book Antiqua"/>
                <w:szCs w:val="24"/>
                <w:lang w:val="es-PR"/>
              </w:rPr>
              <w:t xml:space="preserve"> </w:t>
            </w:r>
            <w:r w:rsidRPr="001D7EA7">
              <w:rPr>
                <w:rFonts w:ascii="Book Antiqua" w:hAnsi="Book Antiqua"/>
                <w:szCs w:val="24"/>
                <w:lang w:val="es-PR"/>
              </w:rPr>
              <w:t>menos grave y la pena correspondiente si conllevan una pena que no exceda de seis (6) meses o multa que no exceda de cinco mil (5,000) dólares, o ambas penas.</w:t>
            </w:r>
          </w:p>
        </w:tc>
        <w:tc>
          <w:tcPr>
            <w:tcW w:w="4517" w:type="dxa"/>
          </w:tcPr>
          <w:p w14:paraId="0E8CD592"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4BE9EC26" w14:textId="77777777" w:rsidR="00C05C42" w:rsidRPr="001D7EA7" w:rsidRDefault="00C05C42" w:rsidP="00F06E46">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68154ACA"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13E3112F"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0916FDD6"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214B257" w14:textId="77777777" w:rsidR="00C05C42"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7F0A84E6" w14:textId="77777777" w:rsidR="00C05C42" w:rsidRDefault="00C05C42" w:rsidP="00F06E46">
            <w:pPr>
              <w:tabs>
                <w:tab w:val="left" w:pos="-720"/>
              </w:tabs>
              <w:suppressAutoHyphens/>
              <w:spacing w:line="276" w:lineRule="auto"/>
              <w:jc w:val="both"/>
              <w:rPr>
                <w:rFonts w:ascii="Book Antiqua" w:hAnsi="Book Antiqua"/>
                <w:szCs w:val="24"/>
                <w:lang w:val="es-PR"/>
              </w:rPr>
            </w:pPr>
          </w:p>
          <w:p w14:paraId="51996ED4"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Delito grave comprende todos los demás delitos.</w:t>
            </w:r>
          </w:p>
        </w:tc>
      </w:tr>
      <w:tr w:rsidR="00C05C42" w:rsidRPr="00020F80" w14:paraId="0B1E62E6" w14:textId="77777777" w:rsidTr="00F06E46">
        <w:tc>
          <w:tcPr>
            <w:tcW w:w="4516" w:type="dxa"/>
          </w:tcPr>
          <w:p w14:paraId="04DD57B7"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3A7ABEB4" w14:textId="77777777" w:rsidR="00C05C42" w:rsidRPr="001D7EA7" w:rsidRDefault="00C05C42" w:rsidP="00F06E46">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17. — Delito sin pena estatuida. </w:t>
            </w:r>
          </w:p>
          <w:p w14:paraId="11F2D436"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2BC3E6C6"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lastRenderedPageBreak/>
              <w:t>Si algún acto u omisión es declarado delito y no se establece la pena correspondiente, tal acto u omisión se penalizará como delito menos grave.</w:t>
            </w:r>
          </w:p>
          <w:p w14:paraId="1578F487"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5C49942A"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Si algún acto u omisión es declarado delito grave y no se establece la pena correspondiente, se le impondrá la pena de delito grave de cuarto grado</w:t>
            </w:r>
          </w:p>
        </w:tc>
        <w:tc>
          <w:tcPr>
            <w:tcW w:w="4517" w:type="dxa"/>
          </w:tcPr>
          <w:p w14:paraId="0DC60725"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p>
          <w:p w14:paraId="010CE1E6" w14:textId="77777777" w:rsidR="00C05C42" w:rsidRPr="001D7EA7" w:rsidRDefault="00C05C42" w:rsidP="00F06E46">
            <w:pPr>
              <w:tabs>
                <w:tab w:val="left" w:pos="-720"/>
              </w:tabs>
              <w:suppressAutoHyphens/>
              <w:spacing w:line="276" w:lineRule="auto"/>
              <w:jc w:val="both"/>
              <w:rPr>
                <w:rFonts w:ascii="Book Antiqua" w:hAnsi="Book Antiqua"/>
                <w:b/>
                <w:bCs/>
                <w:szCs w:val="24"/>
                <w:lang w:val="es-ES"/>
              </w:rPr>
            </w:pPr>
            <w:r w:rsidRPr="001D7EA7">
              <w:rPr>
                <w:rFonts w:ascii="Book Antiqua" w:hAnsi="Book Antiqua"/>
                <w:b/>
                <w:bCs/>
                <w:szCs w:val="24"/>
                <w:lang w:val="es-ES"/>
              </w:rPr>
              <w:t xml:space="preserve">Artículo 17. — Delito sin pena estatuida. </w:t>
            </w:r>
          </w:p>
          <w:p w14:paraId="6642E4A8" w14:textId="77777777" w:rsidR="00C05C42" w:rsidRPr="001D7EA7" w:rsidRDefault="00C05C42" w:rsidP="00F06E46">
            <w:pPr>
              <w:tabs>
                <w:tab w:val="left" w:pos="-720"/>
              </w:tabs>
              <w:suppressAutoHyphens/>
              <w:spacing w:line="276" w:lineRule="auto"/>
              <w:jc w:val="both"/>
              <w:rPr>
                <w:rFonts w:ascii="Book Antiqua" w:hAnsi="Book Antiqua"/>
                <w:szCs w:val="24"/>
                <w:lang w:val="es-ES"/>
              </w:rPr>
            </w:pPr>
          </w:p>
          <w:p w14:paraId="2F4AF266" w14:textId="77777777" w:rsidR="00C05C42" w:rsidRPr="001D7EA7" w:rsidRDefault="00C05C42" w:rsidP="00F06E46">
            <w:pPr>
              <w:tabs>
                <w:tab w:val="left" w:pos="-720"/>
              </w:tabs>
              <w:suppressAutoHyphens/>
              <w:spacing w:line="276" w:lineRule="auto"/>
              <w:jc w:val="both"/>
              <w:rPr>
                <w:rFonts w:ascii="Book Antiqua" w:hAnsi="Book Antiqua"/>
                <w:szCs w:val="24"/>
                <w:lang w:val="es-ES"/>
              </w:rPr>
            </w:pPr>
            <w:r w:rsidRPr="001D7EA7">
              <w:rPr>
                <w:rFonts w:ascii="Book Antiqua" w:hAnsi="Book Antiqua"/>
                <w:szCs w:val="24"/>
                <w:lang w:val="es-ES"/>
              </w:rPr>
              <w:lastRenderedPageBreak/>
              <w:t xml:space="preserve">Si algún acto u omisión es declarado delito y no se establece la pena correspondiente, tal acto u omisión se penalizará como delito menos grave. </w:t>
            </w:r>
          </w:p>
          <w:p w14:paraId="69421189" w14:textId="77777777" w:rsidR="00C05C42" w:rsidRPr="001D7EA7" w:rsidRDefault="00C05C42" w:rsidP="00F06E46">
            <w:pPr>
              <w:tabs>
                <w:tab w:val="left" w:pos="-720"/>
              </w:tabs>
              <w:suppressAutoHyphens/>
              <w:spacing w:line="276" w:lineRule="auto"/>
              <w:jc w:val="both"/>
              <w:rPr>
                <w:rFonts w:ascii="Book Antiqua" w:hAnsi="Book Antiqua"/>
                <w:szCs w:val="24"/>
                <w:lang w:val="es-ES"/>
              </w:rPr>
            </w:pPr>
          </w:p>
          <w:p w14:paraId="26A7B6D9" w14:textId="77777777" w:rsidR="00C05C42" w:rsidRPr="001D7EA7" w:rsidRDefault="00C05C42" w:rsidP="00F06E46">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27C4D0A5" w14:textId="77777777" w:rsidR="00C05C42" w:rsidRDefault="00C05C42" w:rsidP="00C05C42">
      <w:pPr>
        <w:tabs>
          <w:tab w:val="left" w:pos="-720"/>
        </w:tabs>
        <w:suppressAutoHyphens/>
        <w:spacing w:line="276" w:lineRule="auto"/>
        <w:jc w:val="both"/>
        <w:rPr>
          <w:rFonts w:ascii="Book Antiqua" w:hAnsi="Book Antiqua"/>
          <w:szCs w:val="24"/>
          <w:lang w:val="es-PR"/>
        </w:rPr>
      </w:pPr>
    </w:p>
    <w:p w14:paraId="44852188" w14:textId="77777777" w:rsidR="00C05C42" w:rsidRDefault="00C05C42" w:rsidP="00C05C4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t>En ese sentido, el Código Penal de Puerto Rico 2012, en su Artículo 307, provee una</w:t>
      </w:r>
      <w:r w:rsidRPr="0050653B">
        <w:rPr>
          <w:rFonts w:ascii="Book Antiqua" w:hAnsi="Book Antiqua"/>
          <w:szCs w:val="24"/>
          <w:lang w:val="es-PR"/>
        </w:rPr>
        <w:t xml:space="preserve"> </w:t>
      </w:r>
      <w:r>
        <w:rPr>
          <w:rFonts w:ascii="Book Antiqua" w:hAnsi="Book Antiqua"/>
          <w:szCs w:val="24"/>
          <w:lang w:val="es-PR"/>
        </w:rPr>
        <w:t>c</w:t>
      </w:r>
      <w:r w:rsidRPr="0050653B">
        <w:rPr>
          <w:rFonts w:ascii="Book Antiqua" w:hAnsi="Book Antiqua"/>
          <w:szCs w:val="24"/>
          <w:lang w:val="es-PR"/>
        </w:rPr>
        <w:t xml:space="preserve">láusula de transición para la fijación de penas en las leyes penales especiales. </w:t>
      </w:r>
      <w:r>
        <w:rPr>
          <w:rFonts w:ascii="Book Antiqua" w:hAnsi="Book Antiqua"/>
          <w:szCs w:val="24"/>
          <w:lang w:val="es-PR"/>
        </w:rPr>
        <w:t>Conforme al marco legal vigente, l</w:t>
      </w:r>
      <w:r w:rsidRPr="0050653B">
        <w:rPr>
          <w:rFonts w:ascii="Book Antiqua" w:hAnsi="Book Antiqua"/>
          <w:szCs w:val="24"/>
          <w:lang w:val="es-PR"/>
        </w:rPr>
        <w:t>os delitos graves que se tipifican en leyes penales especiales bajo el sistema de clasificación de delitos de</w:t>
      </w:r>
      <w:r>
        <w:rPr>
          <w:rFonts w:ascii="Book Antiqua" w:hAnsi="Book Antiqua"/>
          <w:szCs w:val="24"/>
          <w:lang w:val="es-PR"/>
        </w:rPr>
        <w:t xml:space="preserve">l </w:t>
      </w:r>
      <w:r w:rsidRPr="0050653B">
        <w:rPr>
          <w:rFonts w:ascii="Book Antiqua" w:hAnsi="Book Antiqua"/>
          <w:szCs w:val="24"/>
          <w:lang w:val="es-PR"/>
        </w:rPr>
        <w:t>Código Penal del Estado Libre Asociado de Puerto Rico estarán sujetos a las siguientes penas, hasta que se proceda a enmendarlas para atemperarlas al sistema de sentencias fijas adoptado en el Código de 2012, según enmendado</w:t>
      </w:r>
      <w:r>
        <w:rPr>
          <w:rFonts w:ascii="Book Antiqua" w:hAnsi="Book Antiqua"/>
          <w:szCs w:val="24"/>
          <w:lang w:val="es-PR"/>
        </w:rPr>
        <w:t>:</w:t>
      </w:r>
    </w:p>
    <w:p w14:paraId="42644535" w14:textId="77777777" w:rsid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1BBFE430" w14:textId="77777777" w:rsid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2BA1C86D" w14:textId="77777777" w:rsid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7892BFE8" w14:textId="77777777" w:rsid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tercer grado — conllevará una pena de reclusión, restricción terapéutica, restricción domiciliaria, servicios comunitarios, o combinación de </w:t>
      </w:r>
      <w:r w:rsidRPr="00933614">
        <w:rPr>
          <w:rFonts w:ascii="Book Antiqua" w:hAnsi="Book Antiqua"/>
          <w:szCs w:val="24"/>
          <w:lang w:val="es-PR"/>
        </w:rPr>
        <w:lastRenderedPageBreak/>
        <w:t>estas penas, por un término fijo de ocho (8) años. En tal caso, la persona podrá ser considerada para libertad bajo palabra por la Junta de Libertad Bajo Palabra al cumplir el setenta y cinco (75) por ciento del término de reclusión impuesto.</w:t>
      </w:r>
    </w:p>
    <w:p w14:paraId="64E69581" w14:textId="77777777" w:rsid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w:t>
      </w:r>
      <w:r w:rsidRPr="000F62FA">
        <w:rPr>
          <w:rFonts w:ascii="Book Antiqua" w:hAnsi="Book Antiqua"/>
          <w:szCs w:val="24"/>
          <w:lang w:val="es-PR"/>
        </w:rPr>
        <w:t xml:space="preserve">por la Junta de Libertad Bajo Palabra al cumplir el setenta y cinco (75) por ciento del término de reclusión impuesto. </w:t>
      </w:r>
    </w:p>
    <w:p w14:paraId="098E020C" w14:textId="2043D246" w:rsidR="008F35E2" w:rsidRPr="00C05C42" w:rsidRDefault="00C05C42" w:rsidP="00C05C42">
      <w:pPr>
        <w:pStyle w:val="ListParagraph"/>
        <w:numPr>
          <w:ilvl w:val="0"/>
          <w:numId w:val="7"/>
        </w:numPr>
        <w:tabs>
          <w:tab w:val="left" w:pos="-720"/>
        </w:tabs>
        <w:suppressAutoHyphens/>
        <w:spacing w:line="276" w:lineRule="auto"/>
        <w:jc w:val="both"/>
        <w:rPr>
          <w:rFonts w:ascii="Book Antiqua" w:hAnsi="Book Antiqua"/>
          <w:szCs w:val="24"/>
          <w:lang w:val="es-PR"/>
        </w:rPr>
      </w:pPr>
      <w:r w:rsidRPr="00C05C42">
        <w:rPr>
          <w:rFonts w:ascii="Book Antiqua" w:hAnsi="Book Antiqua"/>
          <w:szCs w:val="24"/>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35931FC5" w14:textId="77777777" w:rsidR="00940E84" w:rsidRDefault="00940E84" w:rsidP="004B6B18">
      <w:pPr>
        <w:tabs>
          <w:tab w:val="left" w:pos="-720"/>
        </w:tabs>
        <w:suppressAutoHyphens/>
        <w:spacing w:line="276" w:lineRule="auto"/>
        <w:jc w:val="both"/>
        <w:rPr>
          <w:rFonts w:ascii="Book Antiqua" w:hAnsi="Book Antiqua"/>
          <w:lang w:val="es-PR"/>
        </w:rPr>
      </w:pPr>
    </w:p>
    <w:p w14:paraId="302CAC3A" w14:textId="141F50AB" w:rsidR="00D13D23" w:rsidRDefault="0096171F" w:rsidP="004B6B18">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4B6B18">
      <w:pPr>
        <w:tabs>
          <w:tab w:val="left" w:pos="-720"/>
        </w:tabs>
        <w:suppressAutoHyphens/>
        <w:spacing w:line="276" w:lineRule="auto"/>
        <w:ind w:firstLine="360"/>
        <w:jc w:val="center"/>
        <w:rPr>
          <w:rFonts w:ascii="Book Antiqua" w:hAnsi="Book Antiqua"/>
          <w:b/>
          <w:bCs/>
          <w:lang w:val="es-PR"/>
        </w:rPr>
      </w:pPr>
    </w:p>
    <w:p w14:paraId="3CD7EB56" w14:textId="2B100CC1" w:rsidR="002C402D" w:rsidRPr="00DF45DC" w:rsidRDefault="004F6E72" w:rsidP="004B6B18">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7F5051">
        <w:rPr>
          <w:rFonts w:ascii="Book Antiqua" w:hAnsi="Book Antiqua"/>
          <w:spacing w:val="-3"/>
          <w:lang w:val="es-ES_tradnl"/>
        </w:rPr>
        <w:t>Comisión de lo Jurídico del Senado de Puerto Rico</w:t>
      </w:r>
      <w:r w:rsidR="007F5051" w:rsidRPr="00337BB7">
        <w:rPr>
          <w:rFonts w:ascii="Book Antiqua" w:hAnsi="Book Antiqua"/>
          <w:lang w:val="es-PR"/>
        </w:rPr>
        <w:t xml:space="preserve"> </w:t>
      </w:r>
      <w:r w:rsidR="007F5051">
        <w:rPr>
          <w:rFonts w:ascii="Book Antiqua" w:hAnsi="Book Antiqua"/>
          <w:lang w:val="es-PR"/>
        </w:rPr>
        <w:t xml:space="preserve"> </w:t>
      </w:r>
      <w:r w:rsidRPr="00337BB7">
        <w:rPr>
          <w:rFonts w:ascii="Book Antiqua" w:hAnsi="Book Antiqua"/>
          <w:lang w:val="es-PR"/>
        </w:rPr>
        <w:t xml:space="preserve">certifica que el </w:t>
      </w:r>
      <w:r w:rsidR="009522C5">
        <w:rPr>
          <w:rFonts w:ascii="Book Antiqua" w:hAnsi="Book Antiqua"/>
          <w:lang w:val="es-PR"/>
        </w:rPr>
        <w:t>P. del S. 40</w:t>
      </w:r>
      <w:r w:rsidR="00D13D23" w:rsidRPr="00DF45DC">
        <w:rPr>
          <w:rFonts w:ascii="Book Antiqua" w:hAnsi="Book Antiqua"/>
          <w:lang w:val="es-PR"/>
        </w:rPr>
        <w:t xml:space="preserve"> 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4B6B18">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4B6B18">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4B6B18">
      <w:pPr>
        <w:tabs>
          <w:tab w:val="left" w:pos="-720"/>
        </w:tabs>
        <w:suppressAutoHyphens/>
        <w:spacing w:line="276" w:lineRule="auto"/>
        <w:ind w:firstLine="360"/>
        <w:jc w:val="center"/>
        <w:rPr>
          <w:rFonts w:ascii="Book Antiqua" w:hAnsi="Book Antiqua"/>
          <w:b/>
          <w:bCs/>
          <w:lang w:val="es-PR"/>
        </w:rPr>
      </w:pPr>
    </w:p>
    <w:p w14:paraId="297F9E43" w14:textId="77777777" w:rsidR="00F12830" w:rsidRDefault="00006DDC" w:rsidP="009C6C59">
      <w:pPr>
        <w:tabs>
          <w:tab w:val="left" w:pos="-720"/>
        </w:tabs>
        <w:suppressAutoHyphens/>
        <w:spacing w:line="276" w:lineRule="auto"/>
        <w:ind w:firstLine="360"/>
        <w:jc w:val="both"/>
        <w:rPr>
          <w:rFonts w:ascii="Book Antiqua" w:hAnsi="Book Antiqua"/>
          <w:lang w:val="es-ES_tradnl"/>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Pr="00DF45DC">
        <w:rPr>
          <w:rFonts w:ascii="Book Antiqua" w:hAnsi="Book Antiqua"/>
          <w:lang w:val="es-PR"/>
        </w:rPr>
        <w:t xml:space="preserve">, reconociendo la importancia del </w:t>
      </w:r>
      <w:r w:rsidR="00CF13F6">
        <w:rPr>
          <w:rFonts w:ascii="Book Antiqua" w:hAnsi="Book Antiqua"/>
          <w:lang w:val="es-PR"/>
        </w:rPr>
        <w:t>P. del S. 40</w:t>
      </w:r>
      <w:r w:rsidR="00352C78" w:rsidRPr="00DF45DC">
        <w:rPr>
          <w:rFonts w:ascii="Book Antiqua" w:hAnsi="Book Antiqua"/>
          <w:lang w:val="es-PR"/>
        </w:rPr>
        <w:t xml:space="preserve"> </w:t>
      </w:r>
      <w:r w:rsidR="004F6E72" w:rsidRPr="00337BB7">
        <w:rPr>
          <w:rFonts w:ascii="Book Antiqua" w:hAnsi="Book Antiqua"/>
          <w:lang w:val="es-PR"/>
        </w:rPr>
        <w:t xml:space="preserve">efectuó un análisis minucioso de </w:t>
      </w:r>
      <w:r w:rsidR="00352C78" w:rsidRPr="00DF45DC">
        <w:rPr>
          <w:rFonts w:ascii="Book Antiqua" w:hAnsi="Book Antiqua"/>
          <w:lang w:val="es-PR"/>
        </w:rPr>
        <w:t xml:space="preserve">la </w:t>
      </w:r>
      <w:r w:rsidR="001D12A7">
        <w:rPr>
          <w:rFonts w:ascii="Book Antiqua" w:hAnsi="Book Antiqua"/>
          <w:lang w:val="es-PR"/>
        </w:rPr>
        <w:t xml:space="preserve">medida, </w:t>
      </w:r>
      <w:r w:rsidR="00CF13F6">
        <w:rPr>
          <w:rFonts w:ascii="Book Antiqua" w:hAnsi="Book Antiqua"/>
          <w:lang w:val="es-PR"/>
        </w:rPr>
        <w:t xml:space="preserve">y de la </w:t>
      </w:r>
      <w:r w:rsidR="00CF13F6" w:rsidRPr="00FC41F7">
        <w:rPr>
          <w:rFonts w:ascii="Book Antiqua" w:hAnsi="Book Antiqua"/>
          <w:lang w:val="es-PR"/>
        </w:rPr>
        <w:t>Ley Núm. 134 de 28 de junio de 1969, según enmendada</w:t>
      </w:r>
      <w:r w:rsidR="00CF13F6" w:rsidRPr="00FC41F7">
        <w:rPr>
          <w:rFonts w:ascii="Book Antiqua" w:hAnsi="Book Antiqua"/>
          <w:lang w:val="es-ES_tradnl"/>
        </w:rPr>
        <w:t>, conocida como “</w:t>
      </w:r>
      <w:r w:rsidR="00CF13F6" w:rsidRPr="00FC41F7">
        <w:rPr>
          <w:rFonts w:ascii="Book Antiqua" w:hAnsi="Book Antiqua"/>
          <w:lang w:val="es-PR"/>
        </w:rPr>
        <w:t>Ley de Explosivos de Puerto Rico</w:t>
      </w:r>
      <w:r w:rsidR="00CF13F6">
        <w:rPr>
          <w:rFonts w:ascii="Book Antiqua" w:hAnsi="Book Antiqua"/>
          <w:lang w:val="es-ES_tradnl"/>
        </w:rPr>
        <w:t>”</w:t>
      </w:r>
      <w:r w:rsidR="00DC34F2">
        <w:rPr>
          <w:rFonts w:ascii="Book Antiqua" w:hAnsi="Book Antiqua"/>
          <w:lang w:val="es-ES_tradnl"/>
        </w:rPr>
        <w:t xml:space="preserve">. </w:t>
      </w:r>
    </w:p>
    <w:p w14:paraId="3B874D72" w14:textId="041D432A" w:rsidR="00882D62" w:rsidRDefault="00A019C4" w:rsidP="00F84541">
      <w:pPr>
        <w:tabs>
          <w:tab w:val="left" w:pos="-720"/>
        </w:tabs>
        <w:suppressAutoHyphens/>
        <w:spacing w:line="276" w:lineRule="auto"/>
        <w:jc w:val="both"/>
        <w:rPr>
          <w:rFonts w:ascii="Book Antiqua" w:hAnsi="Book Antiqua"/>
          <w:szCs w:val="24"/>
          <w:lang w:val="es-PR"/>
        </w:rPr>
      </w:pPr>
      <w:r>
        <w:rPr>
          <w:rFonts w:ascii="Book Antiqua" w:hAnsi="Book Antiqua"/>
          <w:lang w:val="es-PR"/>
        </w:rPr>
        <w:tab/>
      </w:r>
      <w:r w:rsidR="00F84541" w:rsidRPr="001D7EA7">
        <w:rPr>
          <w:rFonts w:ascii="Book Antiqua" w:hAnsi="Book Antiqua"/>
          <w:szCs w:val="24"/>
          <w:lang w:val="es-PR"/>
        </w:rPr>
        <w:t>La Comisión coincide en que la aprobación de la medida es necesaria para promover y mantener un ordenamiento jurídico-penal coherente y armonioso, y para que la aplicación de las penas sea uniforme, clara y consecuente, libre de ambiguedades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F84541">
        <w:rPr>
          <w:rStyle w:val="FootnoteReference"/>
          <w:rFonts w:ascii="Book Antiqua" w:hAnsi="Book Antiqua"/>
          <w:szCs w:val="24"/>
          <w:lang w:val="es-PR"/>
        </w:rPr>
        <w:footnoteReference w:id="1"/>
      </w:r>
      <w:r w:rsidR="00F84541" w:rsidRPr="001D7EA7">
        <w:rPr>
          <w:rFonts w:ascii="Book Antiqua" w:hAnsi="Book Antiqua"/>
          <w:szCs w:val="24"/>
          <w:lang w:val="es-PR"/>
        </w:rPr>
        <w:t xml:space="preserve"> Asimismo, mediante la aprobación de la medida ante nuestra consideración se promueve un ejercicio más equilibrado del poder punitivo del Estado, al evitar </w:t>
      </w:r>
      <w:r w:rsidR="00F84541" w:rsidRPr="001D7EA7">
        <w:rPr>
          <w:rFonts w:ascii="Book Antiqua" w:hAnsi="Book Antiqua"/>
          <w:szCs w:val="24"/>
          <w:lang w:val="es-PR"/>
        </w:rPr>
        <w:lastRenderedPageBreak/>
        <w:t xml:space="preserve">decisiones arbitrarias o contradictorias derivadas de disposiciones vagas o inconexas. </w:t>
      </w:r>
      <w:r w:rsidR="00F84541">
        <w:rPr>
          <w:rFonts w:ascii="Book Antiqua" w:hAnsi="Book Antiqua"/>
          <w:szCs w:val="24"/>
          <w:lang w:val="es-PR"/>
        </w:rPr>
        <w:t>Conviene recordar que l</w:t>
      </w:r>
      <w:r w:rsidR="00F84541" w:rsidRPr="00825E79">
        <w:rPr>
          <w:rFonts w:ascii="Book Antiqua" w:hAnsi="Book Antiqua"/>
          <w:szCs w:val="24"/>
          <w:lang w:val="es-PR"/>
        </w:rPr>
        <w:t>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F84541">
        <w:rPr>
          <w:rStyle w:val="FootnoteReference"/>
          <w:rFonts w:ascii="Book Antiqua" w:hAnsi="Book Antiqua"/>
          <w:szCs w:val="24"/>
          <w:lang w:val="es-PR"/>
        </w:rPr>
        <w:footnoteReference w:id="2"/>
      </w:r>
      <w:r w:rsidR="00F84541" w:rsidRPr="00825E79">
        <w:rPr>
          <w:rFonts w:ascii="Book Antiqua" w:hAnsi="Book Antiqua"/>
          <w:szCs w:val="24"/>
          <w:lang w:val="es-PR"/>
        </w:rPr>
        <w:t xml:space="preserve"> En </w:t>
      </w:r>
      <w:r w:rsidR="00F84541">
        <w:rPr>
          <w:rFonts w:ascii="Book Antiqua" w:hAnsi="Book Antiqua"/>
          <w:szCs w:val="24"/>
          <w:lang w:val="es-PR"/>
        </w:rPr>
        <w:t>esencia</w:t>
      </w:r>
      <w:r w:rsidR="00F84541" w:rsidRPr="00825E79">
        <w:rPr>
          <w:rFonts w:ascii="Book Antiqua" w:hAnsi="Book Antiqua"/>
          <w:szCs w:val="24"/>
          <w:lang w:val="es-PR"/>
        </w:rPr>
        <w:t>, las penas no pueden ser arbitrarias ni caprichosas, porque de serlo, se estaría violando la garantía constitucional contra delitos crueles e inusitados.</w:t>
      </w:r>
      <w:r w:rsidR="00F84541">
        <w:rPr>
          <w:rStyle w:val="FootnoteReference"/>
          <w:rFonts w:ascii="Book Antiqua" w:hAnsi="Book Antiqua"/>
          <w:szCs w:val="24"/>
          <w:lang w:val="es-PR"/>
        </w:rPr>
        <w:footnoteReference w:id="3"/>
      </w:r>
      <w:r w:rsidR="00F84541">
        <w:rPr>
          <w:rFonts w:ascii="Book Antiqua" w:hAnsi="Book Antiqua"/>
          <w:szCs w:val="24"/>
          <w:lang w:val="es-PR"/>
        </w:rPr>
        <w:t xml:space="preserve"> </w:t>
      </w:r>
      <w:r w:rsidR="00F84541" w:rsidRPr="001D7EA7">
        <w:rPr>
          <w:rFonts w:ascii="Book Antiqua" w:hAnsi="Book Antiqua"/>
          <w:szCs w:val="24"/>
          <w:lang w:val="es-PR"/>
        </w:rPr>
        <w:t xml:space="preserve">Medidas </w:t>
      </w:r>
      <w:r w:rsidR="00F84541">
        <w:rPr>
          <w:rFonts w:ascii="Book Antiqua" w:hAnsi="Book Antiqua"/>
          <w:szCs w:val="24"/>
          <w:lang w:val="es-PR"/>
        </w:rPr>
        <w:t xml:space="preserve">legislativas </w:t>
      </w:r>
      <w:r w:rsidR="00F84541"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sidR="00F84541">
        <w:rPr>
          <w:rStyle w:val="FootnoteReference"/>
          <w:rFonts w:ascii="Book Antiqua" w:hAnsi="Book Antiqua"/>
          <w:szCs w:val="24"/>
          <w:lang w:val="es-PR"/>
        </w:rPr>
        <w:footnoteReference w:id="4"/>
      </w:r>
    </w:p>
    <w:p w14:paraId="4EDE8E55" w14:textId="77777777" w:rsidR="00F84541" w:rsidRDefault="00F84541" w:rsidP="00F84541">
      <w:pPr>
        <w:tabs>
          <w:tab w:val="left" w:pos="-720"/>
        </w:tabs>
        <w:suppressAutoHyphens/>
        <w:spacing w:line="276" w:lineRule="auto"/>
        <w:jc w:val="both"/>
        <w:rPr>
          <w:rFonts w:ascii="Book Antiqua" w:hAnsi="Book Antiqua"/>
          <w:lang w:val="es-PR"/>
        </w:rPr>
      </w:pPr>
    </w:p>
    <w:p w14:paraId="7885E90D" w14:textId="7F5F9CC1" w:rsidR="00DF45DC" w:rsidRPr="00DF45DC" w:rsidRDefault="00A019C4" w:rsidP="00A019C4">
      <w:pPr>
        <w:tabs>
          <w:tab w:val="left" w:pos="-720"/>
        </w:tabs>
        <w:suppressAutoHyphens/>
        <w:spacing w:line="276" w:lineRule="auto"/>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FD744C">
        <w:rPr>
          <w:rFonts w:ascii="Book Antiqua" w:hAnsi="Book Antiqua"/>
          <w:b/>
          <w:bCs/>
          <w:lang w:val="es-PR"/>
        </w:rPr>
        <w:t>Proyecto del Senado 40</w:t>
      </w:r>
      <w:r w:rsidR="00006DDC" w:rsidRPr="00DF45DC">
        <w:rPr>
          <w:rFonts w:ascii="Book Antiqua" w:hAnsi="Book Antiqua"/>
          <w:lang w:val="es-PR"/>
        </w:rPr>
        <w:t xml:space="preserve"> recomendando su aprobación con las enmiendas contenidas en el entirillado electrónico que se acompaña. </w:t>
      </w:r>
    </w:p>
    <w:p w14:paraId="02F3C812" w14:textId="77777777" w:rsidR="006861CE" w:rsidRDefault="006861CE" w:rsidP="004B6B18">
      <w:pPr>
        <w:tabs>
          <w:tab w:val="left" w:pos="-720"/>
        </w:tabs>
        <w:suppressAutoHyphens/>
        <w:spacing w:line="276" w:lineRule="auto"/>
        <w:rPr>
          <w:rFonts w:ascii="Book Antiqua" w:hAnsi="Book Antiqua"/>
          <w:lang w:val="es-PR"/>
        </w:rPr>
      </w:pPr>
    </w:p>
    <w:p w14:paraId="10325F5D" w14:textId="2225106C" w:rsidR="00006DDC" w:rsidRDefault="002C402D" w:rsidP="004B6B18">
      <w:pPr>
        <w:tabs>
          <w:tab w:val="left" w:pos="-720"/>
        </w:tabs>
        <w:suppressAutoHyphens/>
        <w:spacing w:line="276"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07DE7A1A" w:rsidR="000B3411" w:rsidRPr="001D12A7" w:rsidRDefault="001D12A7" w:rsidP="001D12A7">
      <w:pPr>
        <w:tabs>
          <w:tab w:val="left" w:pos="-720"/>
        </w:tabs>
        <w:suppressAutoHyphens/>
        <w:rPr>
          <w:rFonts w:ascii="Book Antiqua" w:hAnsi="Book Antiqua"/>
          <w:lang w:val="es-ES_tradnl"/>
        </w:rPr>
      </w:pPr>
      <w:r>
        <w:rPr>
          <w:rFonts w:ascii="Book Antiqua" w:hAnsi="Book Antiqua"/>
          <w:spacing w:val="-3"/>
          <w:lang w:val="es-ES_tradnl"/>
        </w:rPr>
        <w:t>Senado de Puerto Rico</w:t>
      </w: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AE56F" w14:textId="77777777" w:rsidR="008E631A" w:rsidRDefault="008E631A">
      <w:r>
        <w:separator/>
      </w:r>
    </w:p>
  </w:endnote>
  <w:endnote w:type="continuationSeparator" w:id="0">
    <w:p w14:paraId="11FD6D15" w14:textId="77777777" w:rsidR="008E631A" w:rsidRDefault="008E6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B5FF0" w14:textId="77777777" w:rsidR="008E631A" w:rsidRDefault="008E631A">
      <w:r>
        <w:separator/>
      </w:r>
    </w:p>
  </w:footnote>
  <w:footnote w:type="continuationSeparator" w:id="0">
    <w:p w14:paraId="74B46C80" w14:textId="77777777" w:rsidR="008E631A" w:rsidRDefault="008E631A">
      <w:r>
        <w:continuationSeparator/>
      </w:r>
    </w:p>
  </w:footnote>
  <w:footnote w:id="1">
    <w:p w14:paraId="71A65B63" w14:textId="77777777" w:rsidR="00F84541" w:rsidRPr="00490798" w:rsidRDefault="00F84541" w:rsidP="00F84541">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160CE535" w14:textId="77777777" w:rsidR="00F84541" w:rsidRPr="00433924" w:rsidRDefault="00F84541" w:rsidP="00F84541">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3">
    <w:p w14:paraId="07C1E445" w14:textId="77777777" w:rsidR="00F84541" w:rsidRPr="0068426D" w:rsidRDefault="00F84541" w:rsidP="00F84541">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345EDF84" w14:textId="77777777" w:rsidR="00F84541" w:rsidRPr="00490798" w:rsidRDefault="00F84541" w:rsidP="00F84541">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4D2BFAB"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FD744C">
      <w:rPr>
        <w:rFonts w:ascii="Book Antiqua" w:hAnsi="Book Antiqua"/>
        <w:i/>
        <w:iCs/>
        <w:sz w:val="20"/>
        <w:lang w:val="es-PR"/>
      </w:rPr>
      <w:t>P. del S. 40</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DAA39" w14:textId="77777777" w:rsidR="00FD744C" w:rsidRPr="007B4C52" w:rsidRDefault="00FD744C" w:rsidP="00FD744C">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40</w:t>
    </w:r>
  </w:p>
  <w:p w14:paraId="77682199" w14:textId="77777777" w:rsidR="00FD744C" w:rsidRDefault="00FD744C" w:rsidP="00FD744C">
    <w:pPr>
      <w:pStyle w:val="Header"/>
      <w:jc w:val="right"/>
      <w:rPr>
        <w:rFonts w:ascii="Book Antiqua" w:hAnsi="Book Antiqua"/>
        <w:i/>
        <w:iCs/>
        <w:sz w:val="20"/>
        <w:lang w:val="es-PR"/>
      </w:rPr>
    </w:pPr>
    <w:r>
      <w:rPr>
        <w:rFonts w:ascii="Book Antiqua" w:hAnsi="Book Antiqua"/>
        <w:i/>
        <w:iCs/>
        <w:sz w:val="20"/>
        <w:lang w:val="es-PR"/>
      </w:rPr>
      <w:t>Comisión de lo Jurídico</w:t>
    </w:r>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0F80"/>
    <w:rsid w:val="000230E7"/>
    <w:rsid w:val="00043B59"/>
    <w:rsid w:val="00045442"/>
    <w:rsid w:val="00046DD2"/>
    <w:rsid w:val="000533CB"/>
    <w:rsid w:val="0005560C"/>
    <w:rsid w:val="00066916"/>
    <w:rsid w:val="000879BC"/>
    <w:rsid w:val="000902F9"/>
    <w:rsid w:val="000945D3"/>
    <w:rsid w:val="000A0CEF"/>
    <w:rsid w:val="000A135C"/>
    <w:rsid w:val="000B3411"/>
    <w:rsid w:val="000B39C5"/>
    <w:rsid w:val="000C18B9"/>
    <w:rsid w:val="000C52A1"/>
    <w:rsid w:val="000C5B91"/>
    <w:rsid w:val="000D3899"/>
    <w:rsid w:val="000D38E7"/>
    <w:rsid w:val="000E0D6C"/>
    <w:rsid w:val="000E4A6D"/>
    <w:rsid w:val="000E6B35"/>
    <w:rsid w:val="000F325D"/>
    <w:rsid w:val="000F7663"/>
    <w:rsid w:val="0010073E"/>
    <w:rsid w:val="00104CF6"/>
    <w:rsid w:val="00107712"/>
    <w:rsid w:val="00111E71"/>
    <w:rsid w:val="00114F93"/>
    <w:rsid w:val="001312DC"/>
    <w:rsid w:val="00152956"/>
    <w:rsid w:val="00152AEE"/>
    <w:rsid w:val="00157BC8"/>
    <w:rsid w:val="00162E8A"/>
    <w:rsid w:val="00172EE0"/>
    <w:rsid w:val="00186AB6"/>
    <w:rsid w:val="001A4A02"/>
    <w:rsid w:val="001A7434"/>
    <w:rsid w:val="001B353B"/>
    <w:rsid w:val="001B5218"/>
    <w:rsid w:val="001B77D6"/>
    <w:rsid w:val="001C0F9B"/>
    <w:rsid w:val="001C2FA8"/>
    <w:rsid w:val="001C31BA"/>
    <w:rsid w:val="001C3C68"/>
    <w:rsid w:val="001C5DEB"/>
    <w:rsid w:val="001D12A7"/>
    <w:rsid w:val="001D3C1D"/>
    <w:rsid w:val="001D70F5"/>
    <w:rsid w:val="001D79E5"/>
    <w:rsid w:val="001E78B4"/>
    <w:rsid w:val="001F7ABB"/>
    <w:rsid w:val="00200B6F"/>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3E4D6C"/>
    <w:rsid w:val="00402413"/>
    <w:rsid w:val="004076B9"/>
    <w:rsid w:val="00412A61"/>
    <w:rsid w:val="00413DF3"/>
    <w:rsid w:val="004227D1"/>
    <w:rsid w:val="00424144"/>
    <w:rsid w:val="004278D1"/>
    <w:rsid w:val="004408DF"/>
    <w:rsid w:val="004440CB"/>
    <w:rsid w:val="00444FD2"/>
    <w:rsid w:val="00445E69"/>
    <w:rsid w:val="004713D2"/>
    <w:rsid w:val="004817F3"/>
    <w:rsid w:val="00481C39"/>
    <w:rsid w:val="00487AC3"/>
    <w:rsid w:val="00491302"/>
    <w:rsid w:val="004918F1"/>
    <w:rsid w:val="00497ECB"/>
    <w:rsid w:val="004A05FC"/>
    <w:rsid w:val="004A0FD4"/>
    <w:rsid w:val="004A18C6"/>
    <w:rsid w:val="004B0082"/>
    <w:rsid w:val="004B6B18"/>
    <w:rsid w:val="004C370E"/>
    <w:rsid w:val="004D2BC7"/>
    <w:rsid w:val="004D38ED"/>
    <w:rsid w:val="004D4E14"/>
    <w:rsid w:val="004E7F65"/>
    <w:rsid w:val="004F6E72"/>
    <w:rsid w:val="004F7173"/>
    <w:rsid w:val="004F7631"/>
    <w:rsid w:val="0051050B"/>
    <w:rsid w:val="005120A3"/>
    <w:rsid w:val="00530395"/>
    <w:rsid w:val="00533D4F"/>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8551F"/>
    <w:rsid w:val="00592B05"/>
    <w:rsid w:val="005A24EF"/>
    <w:rsid w:val="005A4787"/>
    <w:rsid w:val="005B2884"/>
    <w:rsid w:val="005C5E81"/>
    <w:rsid w:val="005D2E57"/>
    <w:rsid w:val="005D4AA7"/>
    <w:rsid w:val="005E150B"/>
    <w:rsid w:val="005E7E85"/>
    <w:rsid w:val="005F3A32"/>
    <w:rsid w:val="0061550A"/>
    <w:rsid w:val="00615AB1"/>
    <w:rsid w:val="00615E64"/>
    <w:rsid w:val="00622333"/>
    <w:rsid w:val="00650D8E"/>
    <w:rsid w:val="0066129F"/>
    <w:rsid w:val="00662809"/>
    <w:rsid w:val="006807C0"/>
    <w:rsid w:val="006861CE"/>
    <w:rsid w:val="006A24A9"/>
    <w:rsid w:val="006B3D07"/>
    <w:rsid w:val="006B6346"/>
    <w:rsid w:val="006B7E26"/>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5203"/>
    <w:rsid w:val="00777E1D"/>
    <w:rsid w:val="00785050"/>
    <w:rsid w:val="00793E19"/>
    <w:rsid w:val="007B4C52"/>
    <w:rsid w:val="007C04E5"/>
    <w:rsid w:val="007C156B"/>
    <w:rsid w:val="007C592E"/>
    <w:rsid w:val="007D5A59"/>
    <w:rsid w:val="007E17BE"/>
    <w:rsid w:val="007E3B6D"/>
    <w:rsid w:val="007F0829"/>
    <w:rsid w:val="007F2B0F"/>
    <w:rsid w:val="007F5051"/>
    <w:rsid w:val="007F62AB"/>
    <w:rsid w:val="00803A23"/>
    <w:rsid w:val="008061C2"/>
    <w:rsid w:val="00815BF2"/>
    <w:rsid w:val="00820C41"/>
    <w:rsid w:val="008235BE"/>
    <w:rsid w:val="00855CD6"/>
    <w:rsid w:val="0086515A"/>
    <w:rsid w:val="00865634"/>
    <w:rsid w:val="00882D62"/>
    <w:rsid w:val="008A154B"/>
    <w:rsid w:val="008A40E0"/>
    <w:rsid w:val="008C18B2"/>
    <w:rsid w:val="008C331F"/>
    <w:rsid w:val="008C39D5"/>
    <w:rsid w:val="008E051A"/>
    <w:rsid w:val="008E631A"/>
    <w:rsid w:val="008F1561"/>
    <w:rsid w:val="008F35E2"/>
    <w:rsid w:val="008F717C"/>
    <w:rsid w:val="00904165"/>
    <w:rsid w:val="00905655"/>
    <w:rsid w:val="00907E93"/>
    <w:rsid w:val="009133CF"/>
    <w:rsid w:val="009154BD"/>
    <w:rsid w:val="0092080B"/>
    <w:rsid w:val="009313EE"/>
    <w:rsid w:val="009374E4"/>
    <w:rsid w:val="00940E84"/>
    <w:rsid w:val="00946BB4"/>
    <w:rsid w:val="00946E55"/>
    <w:rsid w:val="009522C5"/>
    <w:rsid w:val="0096171F"/>
    <w:rsid w:val="009645CD"/>
    <w:rsid w:val="00970DEB"/>
    <w:rsid w:val="00981A1F"/>
    <w:rsid w:val="00984F56"/>
    <w:rsid w:val="009A08E8"/>
    <w:rsid w:val="009A4A2C"/>
    <w:rsid w:val="009A4FB3"/>
    <w:rsid w:val="009B5669"/>
    <w:rsid w:val="009B619C"/>
    <w:rsid w:val="009C455C"/>
    <w:rsid w:val="009C6C59"/>
    <w:rsid w:val="009E20DD"/>
    <w:rsid w:val="009F427F"/>
    <w:rsid w:val="009F68F4"/>
    <w:rsid w:val="00A019C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B4B49"/>
    <w:rsid w:val="00AC3813"/>
    <w:rsid w:val="00AD076F"/>
    <w:rsid w:val="00AD4B71"/>
    <w:rsid w:val="00AE555C"/>
    <w:rsid w:val="00AF12FB"/>
    <w:rsid w:val="00AF56F5"/>
    <w:rsid w:val="00B03E1C"/>
    <w:rsid w:val="00B216D4"/>
    <w:rsid w:val="00B24B05"/>
    <w:rsid w:val="00B25721"/>
    <w:rsid w:val="00B316DC"/>
    <w:rsid w:val="00B36F9D"/>
    <w:rsid w:val="00B37EF9"/>
    <w:rsid w:val="00B46464"/>
    <w:rsid w:val="00B47BDF"/>
    <w:rsid w:val="00B571D9"/>
    <w:rsid w:val="00B57451"/>
    <w:rsid w:val="00B6135D"/>
    <w:rsid w:val="00B70EB9"/>
    <w:rsid w:val="00B807DC"/>
    <w:rsid w:val="00B8514B"/>
    <w:rsid w:val="00B8540B"/>
    <w:rsid w:val="00BA0F95"/>
    <w:rsid w:val="00BA43F4"/>
    <w:rsid w:val="00BB20A7"/>
    <w:rsid w:val="00BB6946"/>
    <w:rsid w:val="00BB7826"/>
    <w:rsid w:val="00BC7625"/>
    <w:rsid w:val="00BD3BEF"/>
    <w:rsid w:val="00BE1535"/>
    <w:rsid w:val="00BF358A"/>
    <w:rsid w:val="00C0210B"/>
    <w:rsid w:val="00C05C42"/>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13F6"/>
    <w:rsid w:val="00CF32AA"/>
    <w:rsid w:val="00CF4C00"/>
    <w:rsid w:val="00D0004D"/>
    <w:rsid w:val="00D01A55"/>
    <w:rsid w:val="00D13D23"/>
    <w:rsid w:val="00D16947"/>
    <w:rsid w:val="00D51274"/>
    <w:rsid w:val="00D5351E"/>
    <w:rsid w:val="00D61B6F"/>
    <w:rsid w:val="00D759DB"/>
    <w:rsid w:val="00D8018B"/>
    <w:rsid w:val="00D8699D"/>
    <w:rsid w:val="00D9263A"/>
    <w:rsid w:val="00D93BA6"/>
    <w:rsid w:val="00D95836"/>
    <w:rsid w:val="00D96D40"/>
    <w:rsid w:val="00DA0051"/>
    <w:rsid w:val="00DA1E64"/>
    <w:rsid w:val="00DB25BF"/>
    <w:rsid w:val="00DB3451"/>
    <w:rsid w:val="00DB4C88"/>
    <w:rsid w:val="00DC2909"/>
    <w:rsid w:val="00DC34F2"/>
    <w:rsid w:val="00DC7D84"/>
    <w:rsid w:val="00DD122E"/>
    <w:rsid w:val="00DD48C9"/>
    <w:rsid w:val="00DD58BD"/>
    <w:rsid w:val="00DE189A"/>
    <w:rsid w:val="00DE6362"/>
    <w:rsid w:val="00DF0352"/>
    <w:rsid w:val="00DF45DC"/>
    <w:rsid w:val="00E14B9C"/>
    <w:rsid w:val="00E17E3B"/>
    <w:rsid w:val="00E251EA"/>
    <w:rsid w:val="00E35157"/>
    <w:rsid w:val="00E35171"/>
    <w:rsid w:val="00E36623"/>
    <w:rsid w:val="00E36FA6"/>
    <w:rsid w:val="00E63FA4"/>
    <w:rsid w:val="00E652A1"/>
    <w:rsid w:val="00E722CA"/>
    <w:rsid w:val="00E73DB1"/>
    <w:rsid w:val="00E930DD"/>
    <w:rsid w:val="00E9570B"/>
    <w:rsid w:val="00EA477A"/>
    <w:rsid w:val="00EA5757"/>
    <w:rsid w:val="00EB0B16"/>
    <w:rsid w:val="00EB1664"/>
    <w:rsid w:val="00EC5454"/>
    <w:rsid w:val="00EC56E8"/>
    <w:rsid w:val="00EE4536"/>
    <w:rsid w:val="00EE7BBD"/>
    <w:rsid w:val="00EF237A"/>
    <w:rsid w:val="00EF62F7"/>
    <w:rsid w:val="00F02F4A"/>
    <w:rsid w:val="00F042CB"/>
    <w:rsid w:val="00F12830"/>
    <w:rsid w:val="00F26431"/>
    <w:rsid w:val="00F3003D"/>
    <w:rsid w:val="00F44E24"/>
    <w:rsid w:val="00F4686E"/>
    <w:rsid w:val="00F566F4"/>
    <w:rsid w:val="00F65FAA"/>
    <w:rsid w:val="00F816B8"/>
    <w:rsid w:val="00F84541"/>
    <w:rsid w:val="00F85B37"/>
    <w:rsid w:val="00F86C0C"/>
    <w:rsid w:val="00F90AAD"/>
    <w:rsid w:val="00F969D4"/>
    <w:rsid w:val="00FA7E93"/>
    <w:rsid w:val="00FB10AE"/>
    <w:rsid w:val="00FB775E"/>
    <w:rsid w:val="00FC5FDD"/>
    <w:rsid w:val="00FD19DB"/>
    <w:rsid w:val="00FD4E9F"/>
    <w:rsid w:val="00FD744C"/>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C05C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36888">
      <w:bodyDiv w:val="1"/>
      <w:marLeft w:val="0"/>
      <w:marRight w:val="0"/>
      <w:marTop w:val="0"/>
      <w:marBottom w:val="0"/>
      <w:divBdr>
        <w:top w:val="none" w:sz="0" w:space="0" w:color="auto"/>
        <w:left w:val="none" w:sz="0" w:space="0" w:color="auto"/>
        <w:bottom w:val="none" w:sz="0" w:space="0" w:color="auto"/>
        <w:right w:val="none" w:sz="0" w:space="0" w:color="auto"/>
      </w:divBdr>
    </w:div>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4SQX5P7U7WPY-958212181-817412</_dlc_DocId>
    <_dlc_DocIdUrl xmlns="c890fddd-4e87-4e08-8b51-545f2a3f7b06">
      <Url>https://senpr.sharepoint.com/sites/obralegislativa/_layouts/15/DocIdRedir.aspx?ID=4SQX5P7U7WPY-958212181-817412</Url>
      <Description>4SQX5P7U7WPY-958212181-817412</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F7338E75-4C5C-430A-8BAF-C4CF4CC79605}"/>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E3A65AC9-C92C-45CB-B08C-78241F225B36}"/>
</file>

<file path=docProps/app.xml><?xml version="1.0" encoding="utf-8"?>
<Properties xmlns="http://schemas.openxmlformats.org/officeDocument/2006/extended-properties" xmlns:vt="http://schemas.openxmlformats.org/officeDocument/2006/docPropsVTypes">
  <Template>Medida-V2009</Template>
  <TotalTime>1</TotalTime>
  <Pages>8</Pages>
  <Words>2536</Words>
  <Characters>13083</Characters>
  <Application>Microsoft Office Word</Application>
  <DocSecurity>0</DocSecurity>
  <Lines>109</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2025-08-14T16:07:00Z</dcterms:created>
  <dcterms:modified xsi:type="dcterms:W3CDTF">2025-08-14T16:07:00Z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da5beba2-6c8a-47b0-b9f3-2541e78a10c6</vt:lpwstr>
  </property>
  <property fmtid="{D5CDD505-2E9C-101B-9397-08002B2CF9AE}" pid="4" name="MediaServiceImageTags">
    <vt:lpwstr/>
  </property>
</Properties>
</file>