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E6990" w14:textId="391E0D5B" w:rsidR="00A24519" w:rsidRDefault="00A24519" w:rsidP="00F80BFF">
      <w:pPr>
        <w:suppressLineNumbers/>
        <w:spacing w:after="0" w:line="240" w:lineRule="auto"/>
        <w:jc w:val="center"/>
        <w:rPr>
          <w:rFonts w:ascii="Book Antiqua" w:hAnsi="Book Antiqua"/>
          <w:sz w:val="36"/>
          <w:szCs w:val="36"/>
          <w:lang w:val="es-PR"/>
        </w:rPr>
      </w:pPr>
      <w:proofErr w:type="spellStart"/>
      <w:r>
        <w:rPr>
          <w:rFonts w:ascii="Book Antiqua" w:hAnsi="Book Antiqua"/>
          <w:sz w:val="36"/>
          <w:szCs w:val="36"/>
          <w:lang w:val="es-PR"/>
        </w:rPr>
        <w:t>Entirillado</w:t>
      </w:r>
      <w:proofErr w:type="spellEnd"/>
      <w:r>
        <w:rPr>
          <w:rFonts w:ascii="Book Antiqua" w:hAnsi="Book Antiqua"/>
          <w:sz w:val="36"/>
          <w:szCs w:val="36"/>
          <w:lang w:val="es-PR"/>
        </w:rPr>
        <w:t xml:space="preserve"> electrónico</w:t>
      </w:r>
    </w:p>
    <w:p w14:paraId="77C4B380" w14:textId="77777777" w:rsidR="00A1356E" w:rsidRPr="00635F68" w:rsidRDefault="00CD1E3A" w:rsidP="00F80BFF">
      <w:pPr>
        <w:suppressLineNumbers/>
        <w:spacing w:after="0" w:line="240" w:lineRule="auto"/>
        <w:jc w:val="center"/>
        <w:rPr>
          <w:rFonts w:ascii="Book Antiqua" w:hAnsi="Book Antiqua"/>
          <w:sz w:val="36"/>
          <w:szCs w:val="36"/>
          <w:lang w:val="es-PR"/>
        </w:rPr>
      </w:pPr>
      <w:r w:rsidRPr="00635F68">
        <w:rPr>
          <w:rFonts w:ascii="Book Antiqua" w:hAnsi="Book Antiqua"/>
          <w:sz w:val="36"/>
          <w:szCs w:val="36"/>
          <w:lang w:val="es-PR"/>
        </w:rPr>
        <w:t>GOBI</w:t>
      </w:r>
      <w:r w:rsidR="00A10DA3" w:rsidRPr="00635F68">
        <w:rPr>
          <w:rFonts w:ascii="Book Antiqua" w:hAnsi="Book Antiqua"/>
          <w:sz w:val="36"/>
          <w:szCs w:val="36"/>
          <w:lang w:val="es-PR"/>
        </w:rPr>
        <w:t>E</w:t>
      </w:r>
      <w:r w:rsidRPr="00635F68">
        <w:rPr>
          <w:rFonts w:ascii="Book Antiqua" w:hAnsi="Book Antiqua"/>
          <w:sz w:val="36"/>
          <w:szCs w:val="36"/>
          <w:lang w:val="es-PR"/>
        </w:rPr>
        <w:t>RNO</w:t>
      </w:r>
      <w:r w:rsidR="00A1356E" w:rsidRPr="00635F68">
        <w:rPr>
          <w:rFonts w:ascii="Book Antiqua" w:hAnsi="Book Antiqua"/>
          <w:sz w:val="36"/>
          <w:szCs w:val="36"/>
          <w:lang w:val="es-PR"/>
        </w:rPr>
        <w:t xml:space="preserve"> DE PUERTO RICO</w:t>
      </w:r>
    </w:p>
    <w:p w14:paraId="50272CA3" w14:textId="77777777" w:rsidR="006523AA" w:rsidRPr="00635F68" w:rsidRDefault="006523AA" w:rsidP="00F80BFF">
      <w:pPr>
        <w:suppressLineNumbers/>
        <w:spacing w:after="0" w:line="240" w:lineRule="auto"/>
        <w:jc w:val="center"/>
        <w:rPr>
          <w:rFonts w:ascii="Book Antiqua" w:hAnsi="Book Antiqua"/>
          <w:strike/>
          <w:sz w:val="16"/>
          <w:szCs w:val="16"/>
          <w:lang w:val="es-PR"/>
        </w:rPr>
      </w:pPr>
    </w:p>
    <w:tbl>
      <w:tblPr>
        <w:tblW w:w="9540" w:type="dxa"/>
        <w:tblInd w:w="-90" w:type="dxa"/>
        <w:tblLook w:val="04A0" w:firstRow="1" w:lastRow="0" w:firstColumn="1" w:lastColumn="0" w:noHBand="0" w:noVBand="1"/>
      </w:tblPr>
      <w:tblGrid>
        <w:gridCol w:w="2243"/>
        <w:gridCol w:w="4098"/>
        <w:gridCol w:w="3199"/>
      </w:tblGrid>
      <w:tr w:rsidR="00BA2C02" w:rsidRPr="00635F68" w14:paraId="20EE30BE" w14:textId="77777777" w:rsidTr="00C05D01">
        <w:tc>
          <w:tcPr>
            <w:tcW w:w="2243" w:type="dxa"/>
          </w:tcPr>
          <w:p w14:paraId="09E83BDD" w14:textId="77777777" w:rsidR="00BA2C02" w:rsidRPr="00635F68" w:rsidRDefault="00BA2C02" w:rsidP="00C05D01">
            <w:pPr>
              <w:spacing w:after="0" w:line="240" w:lineRule="auto"/>
              <w:rPr>
                <w:rFonts w:ascii="Book Antiqua" w:eastAsia="Times New Roman" w:hAnsi="Book Antiqua"/>
                <w:sz w:val="20"/>
                <w:szCs w:val="24"/>
                <w:lang w:val="es-ES_tradnl" w:eastAsia="es-PR"/>
              </w:rPr>
            </w:pPr>
            <w:bookmarkStart w:id="0" w:name="_Hlk85213220"/>
          </w:p>
          <w:p w14:paraId="2D4D4E2D" w14:textId="77777777" w:rsidR="00BA2C02" w:rsidRPr="00635F68" w:rsidRDefault="000325FE" w:rsidP="00C05D01">
            <w:pPr>
              <w:spacing w:after="0" w:line="240" w:lineRule="auto"/>
              <w:rPr>
                <w:rFonts w:ascii="Book Antiqua" w:hAnsi="Book Antiqua"/>
                <w:sz w:val="20"/>
                <w:szCs w:val="24"/>
                <w:lang w:val="es-ES_tradnl" w:eastAsia="es-PR"/>
              </w:rPr>
            </w:pPr>
            <w:r w:rsidRPr="00635F68">
              <w:rPr>
                <w:rFonts w:ascii="Book Antiqua" w:hAnsi="Book Antiqua"/>
                <w:sz w:val="24"/>
                <w:szCs w:val="24"/>
                <w:lang w:val="es-ES_tradnl" w:eastAsia="es-PR"/>
              </w:rPr>
              <w:t>20</w:t>
            </w:r>
            <w:r w:rsidRPr="00635F68">
              <w:rPr>
                <w:rFonts w:ascii="Book Antiqua" w:hAnsi="Book Antiqua"/>
                <w:sz w:val="24"/>
                <w:szCs w:val="24"/>
                <w:vertAlign w:val="superscript"/>
                <w:lang w:val="es-ES_tradnl" w:eastAsia="es-PR"/>
              </w:rPr>
              <w:t>ma</w:t>
            </w:r>
            <w:r w:rsidR="00BA2C02" w:rsidRPr="00635F68">
              <w:rPr>
                <w:rFonts w:ascii="Book Antiqua" w:hAnsi="Book Antiqua"/>
                <w:sz w:val="24"/>
                <w:szCs w:val="24"/>
                <w:vertAlign w:val="superscript"/>
                <w:lang w:val="es-ES_tradnl" w:eastAsia="es-PR"/>
              </w:rPr>
              <w:t xml:space="preserve">. </w:t>
            </w:r>
            <w:r w:rsidR="00BA2C02" w:rsidRPr="00635F68">
              <w:rPr>
                <w:rFonts w:ascii="Book Antiqua" w:hAnsi="Book Antiqua"/>
                <w:sz w:val="24"/>
                <w:szCs w:val="24"/>
                <w:lang w:val="es-ES_tradnl" w:eastAsia="es-PR"/>
              </w:rPr>
              <w:t xml:space="preserve">Asamblea </w:t>
            </w:r>
          </w:p>
          <w:p w14:paraId="09BCD35E" w14:textId="77777777" w:rsidR="00BA2C02" w:rsidRPr="00635F68" w:rsidRDefault="00BA2C02" w:rsidP="00C05D01">
            <w:pPr>
              <w:spacing w:after="0" w:line="240" w:lineRule="auto"/>
              <w:jc w:val="center"/>
              <w:rPr>
                <w:rFonts w:ascii="Book Antiqua" w:hAnsi="Book Antiqua"/>
                <w:sz w:val="24"/>
                <w:szCs w:val="24"/>
                <w:lang w:val="es-ES_tradnl" w:eastAsia="es-PR"/>
              </w:rPr>
            </w:pPr>
            <w:r w:rsidRPr="00635F68">
              <w:rPr>
                <w:rFonts w:ascii="Book Antiqua" w:hAnsi="Book Antiqua"/>
                <w:sz w:val="20"/>
                <w:szCs w:val="24"/>
                <w:lang w:val="es-ES_tradnl" w:eastAsia="es-PR"/>
              </w:rPr>
              <w:t xml:space="preserve">       </w:t>
            </w:r>
            <w:r w:rsidRPr="00635F68">
              <w:rPr>
                <w:rFonts w:ascii="Book Antiqua" w:hAnsi="Book Antiqua"/>
                <w:sz w:val="24"/>
                <w:szCs w:val="24"/>
                <w:lang w:val="es-ES_tradnl" w:eastAsia="es-PR"/>
              </w:rPr>
              <w:t>Legislativa</w:t>
            </w:r>
          </w:p>
        </w:tc>
        <w:tc>
          <w:tcPr>
            <w:tcW w:w="4098" w:type="dxa"/>
            <w:hideMark/>
          </w:tcPr>
          <w:p w14:paraId="2C056769" w14:textId="77777777" w:rsidR="00BA2C02" w:rsidRPr="00635F68" w:rsidRDefault="00BA2C02" w:rsidP="00C05D01">
            <w:pPr>
              <w:spacing w:after="0" w:line="240" w:lineRule="auto"/>
              <w:jc w:val="center"/>
              <w:rPr>
                <w:rFonts w:ascii="Book Antiqua" w:hAnsi="Book Antiqua"/>
                <w:noProof/>
                <w:sz w:val="20"/>
                <w:szCs w:val="20"/>
                <w:lang w:val="es-PR" w:eastAsia="es-PR"/>
              </w:rPr>
            </w:pPr>
          </w:p>
          <w:p w14:paraId="665CEBB4" w14:textId="77777777" w:rsidR="00BA2C02" w:rsidRPr="00635F68" w:rsidRDefault="00BA2C02" w:rsidP="00C05D01">
            <w:pPr>
              <w:spacing w:after="0" w:line="240" w:lineRule="auto"/>
              <w:jc w:val="center"/>
              <w:rPr>
                <w:rFonts w:ascii="Book Antiqua" w:hAnsi="Book Antiqua"/>
                <w:noProof/>
                <w:sz w:val="20"/>
                <w:szCs w:val="20"/>
                <w:lang w:val="es-PR" w:eastAsia="es-PR"/>
              </w:rPr>
            </w:pPr>
          </w:p>
          <w:p w14:paraId="15CB39F3" w14:textId="77777777" w:rsidR="00BA2C02" w:rsidRPr="00635F68" w:rsidRDefault="00BA2C02" w:rsidP="00C05D01">
            <w:pPr>
              <w:spacing w:after="0" w:line="240" w:lineRule="auto"/>
              <w:jc w:val="center"/>
              <w:rPr>
                <w:rFonts w:ascii="Book Antiqua" w:hAnsi="Book Antiqua"/>
                <w:noProof/>
                <w:sz w:val="20"/>
                <w:szCs w:val="20"/>
                <w:lang w:val="es-PR" w:eastAsia="es-PR"/>
              </w:rPr>
            </w:pPr>
          </w:p>
          <w:p w14:paraId="307AE5C9" w14:textId="77777777" w:rsidR="00BA2C02" w:rsidRPr="00635F68" w:rsidRDefault="00BA2C02" w:rsidP="00C05D01">
            <w:pPr>
              <w:spacing w:after="0" w:line="240" w:lineRule="auto"/>
              <w:jc w:val="center"/>
              <w:rPr>
                <w:rFonts w:ascii="Book Antiqua" w:hAnsi="Book Antiqua"/>
                <w:noProof/>
                <w:sz w:val="20"/>
                <w:szCs w:val="20"/>
                <w:lang w:val="es-PR" w:eastAsia="es-PR"/>
              </w:rPr>
            </w:pPr>
          </w:p>
          <w:p w14:paraId="75CE26EF" w14:textId="77777777" w:rsidR="00BA2C02" w:rsidRPr="00635F68" w:rsidRDefault="00BA2C02" w:rsidP="00C05D01">
            <w:pPr>
              <w:spacing w:after="0" w:line="240" w:lineRule="auto"/>
              <w:jc w:val="center"/>
              <w:rPr>
                <w:rFonts w:ascii="Book Antiqua" w:hAnsi="Book Antiqua"/>
                <w:noProof/>
                <w:sz w:val="20"/>
                <w:szCs w:val="20"/>
                <w:lang w:val="es-PR" w:eastAsia="es-PR"/>
              </w:rPr>
            </w:pPr>
          </w:p>
          <w:p w14:paraId="00B893A4" w14:textId="77777777" w:rsidR="00BA2C02" w:rsidRPr="00635F68" w:rsidRDefault="00BA2C02" w:rsidP="00C05D01">
            <w:pPr>
              <w:spacing w:after="0" w:line="240" w:lineRule="auto"/>
              <w:jc w:val="center"/>
              <w:rPr>
                <w:rFonts w:ascii="Book Antiqua" w:hAnsi="Book Antiqua"/>
                <w:sz w:val="16"/>
                <w:szCs w:val="16"/>
                <w:lang w:val="es-ES_tradnl" w:eastAsia="es-PR"/>
              </w:rPr>
            </w:pPr>
          </w:p>
        </w:tc>
        <w:tc>
          <w:tcPr>
            <w:tcW w:w="3199" w:type="dxa"/>
          </w:tcPr>
          <w:p w14:paraId="4404B4F3" w14:textId="77777777" w:rsidR="00BA2C02" w:rsidRPr="00635F68" w:rsidRDefault="00BA2C02" w:rsidP="00C05D01">
            <w:pPr>
              <w:spacing w:after="0" w:line="240" w:lineRule="auto"/>
              <w:jc w:val="right"/>
              <w:rPr>
                <w:rFonts w:ascii="Book Antiqua" w:hAnsi="Book Antiqua"/>
                <w:szCs w:val="24"/>
                <w:lang w:val="es-ES_tradnl" w:eastAsia="es-PR"/>
              </w:rPr>
            </w:pPr>
          </w:p>
          <w:p w14:paraId="039E94DD" w14:textId="77777777" w:rsidR="00BA2C02" w:rsidRPr="00635F68" w:rsidRDefault="00BA2C02" w:rsidP="00C05D01">
            <w:pPr>
              <w:spacing w:after="0" w:line="240" w:lineRule="auto"/>
              <w:jc w:val="center"/>
              <w:rPr>
                <w:rFonts w:ascii="Book Antiqua" w:hAnsi="Book Antiqua"/>
                <w:sz w:val="24"/>
                <w:szCs w:val="24"/>
                <w:lang w:val="es-ES_tradnl" w:eastAsia="es-PR"/>
              </w:rPr>
            </w:pPr>
            <w:r w:rsidRPr="00635F68">
              <w:rPr>
                <w:rFonts w:ascii="Book Antiqua" w:hAnsi="Book Antiqua"/>
                <w:sz w:val="24"/>
                <w:szCs w:val="24"/>
                <w:lang w:val="es-ES_tradnl" w:eastAsia="es-PR"/>
              </w:rPr>
              <w:t xml:space="preserve">                    </w:t>
            </w:r>
            <w:r w:rsidR="000325FE" w:rsidRPr="00635F68">
              <w:rPr>
                <w:rFonts w:ascii="Book Antiqua" w:hAnsi="Book Antiqua"/>
                <w:sz w:val="24"/>
                <w:szCs w:val="24"/>
                <w:lang w:val="es-ES_tradnl" w:eastAsia="es-PR"/>
              </w:rPr>
              <w:t>1</w:t>
            </w:r>
            <w:r w:rsidR="000325FE" w:rsidRPr="00635F68">
              <w:rPr>
                <w:rFonts w:ascii="Book Antiqua" w:hAnsi="Book Antiqua"/>
                <w:sz w:val="24"/>
                <w:szCs w:val="24"/>
                <w:vertAlign w:val="superscript"/>
                <w:lang w:val="es-ES_tradnl" w:eastAsia="es-PR"/>
              </w:rPr>
              <w:t>r</w:t>
            </w:r>
            <w:r w:rsidRPr="00635F68">
              <w:rPr>
                <w:rFonts w:ascii="Book Antiqua" w:hAnsi="Book Antiqua"/>
                <w:sz w:val="24"/>
                <w:szCs w:val="24"/>
                <w:vertAlign w:val="superscript"/>
                <w:lang w:val="es-ES_tradnl" w:eastAsia="es-PR"/>
              </w:rPr>
              <w:t>a.</w:t>
            </w:r>
            <w:r w:rsidRPr="00635F68">
              <w:rPr>
                <w:rFonts w:ascii="Book Antiqua" w:hAnsi="Book Antiqua"/>
                <w:sz w:val="20"/>
                <w:szCs w:val="24"/>
                <w:vertAlign w:val="superscript"/>
                <w:lang w:val="es-ES_tradnl" w:eastAsia="es-PR"/>
              </w:rPr>
              <w:t xml:space="preserve"> </w:t>
            </w:r>
            <w:r w:rsidRPr="00635F68">
              <w:rPr>
                <w:rFonts w:ascii="Book Antiqua" w:hAnsi="Book Antiqua"/>
                <w:sz w:val="24"/>
                <w:szCs w:val="24"/>
                <w:lang w:val="es-ES_tradnl" w:eastAsia="es-PR"/>
              </w:rPr>
              <w:t>Sesión</w:t>
            </w:r>
          </w:p>
          <w:p w14:paraId="75C1A545" w14:textId="77777777" w:rsidR="00BA2C02" w:rsidRPr="00635F68" w:rsidRDefault="00BA2C02" w:rsidP="00C05D01">
            <w:pPr>
              <w:spacing w:after="0" w:line="240" w:lineRule="auto"/>
              <w:jc w:val="right"/>
              <w:rPr>
                <w:rFonts w:ascii="Book Antiqua" w:hAnsi="Book Antiqua"/>
                <w:sz w:val="24"/>
                <w:szCs w:val="24"/>
                <w:lang w:val="es-ES_tradnl" w:eastAsia="es-PR"/>
              </w:rPr>
            </w:pPr>
            <w:r w:rsidRPr="00635F68">
              <w:rPr>
                <w:rFonts w:ascii="Book Antiqua" w:hAnsi="Book Antiqua"/>
                <w:sz w:val="24"/>
                <w:szCs w:val="24"/>
                <w:lang w:val="es-ES_tradnl" w:eastAsia="es-PR"/>
              </w:rPr>
              <w:t xml:space="preserve"> Ordinaria</w:t>
            </w:r>
          </w:p>
        </w:tc>
      </w:tr>
    </w:tbl>
    <w:bookmarkEnd w:id="0"/>
    <w:p w14:paraId="6CD0B96B" w14:textId="77777777" w:rsidR="00BA2C02" w:rsidRPr="00635F68" w:rsidRDefault="00BA2C02" w:rsidP="001475F5">
      <w:pPr>
        <w:suppressLineNumbers/>
        <w:spacing w:after="0" w:line="360" w:lineRule="auto"/>
        <w:jc w:val="center"/>
        <w:rPr>
          <w:rFonts w:ascii="Book Antiqua" w:hAnsi="Book Antiqua"/>
          <w:b/>
          <w:bCs/>
          <w:sz w:val="36"/>
          <w:szCs w:val="36"/>
          <w:lang w:val="es-PR"/>
        </w:rPr>
      </w:pPr>
      <w:r w:rsidRPr="00635F68">
        <w:rPr>
          <w:rFonts w:ascii="Book Antiqua" w:hAnsi="Book Antiqua"/>
          <w:b/>
          <w:bCs/>
          <w:sz w:val="36"/>
          <w:szCs w:val="36"/>
          <w:lang w:val="es-PR"/>
        </w:rPr>
        <w:t>SENADO DE PUERTO RICO</w:t>
      </w:r>
    </w:p>
    <w:p w14:paraId="1E663A41" w14:textId="77777777" w:rsidR="006523AA" w:rsidRPr="00635F68" w:rsidRDefault="006523AA" w:rsidP="00980162">
      <w:pPr>
        <w:suppressLineNumbers/>
        <w:spacing w:after="0" w:line="360" w:lineRule="auto"/>
        <w:jc w:val="center"/>
        <w:rPr>
          <w:rFonts w:ascii="Book Antiqua" w:hAnsi="Book Antiqua"/>
          <w:b/>
          <w:bCs/>
          <w:sz w:val="52"/>
          <w:szCs w:val="52"/>
          <w:lang w:val="es-PR"/>
        </w:rPr>
      </w:pPr>
      <w:r w:rsidRPr="00635F68">
        <w:rPr>
          <w:rFonts w:ascii="Book Antiqua" w:hAnsi="Book Antiqua"/>
          <w:b/>
          <w:bCs/>
          <w:sz w:val="52"/>
          <w:szCs w:val="52"/>
          <w:lang w:val="es-PR"/>
        </w:rPr>
        <w:t>P. de</w:t>
      </w:r>
      <w:r w:rsidR="00005E51" w:rsidRPr="00635F68">
        <w:rPr>
          <w:rFonts w:ascii="Book Antiqua" w:hAnsi="Book Antiqua"/>
          <w:b/>
          <w:bCs/>
          <w:sz w:val="52"/>
          <w:szCs w:val="52"/>
          <w:lang w:val="es-PR"/>
        </w:rPr>
        <w:t>l S</w:t>
      </w:r>
      <w:r w:rsidRPr="00635F68">
        <w:rPr>
          <w:rFonts w:ascii="Book Antiqua" w:hAnsi="Book Antiqua"/>
          <w:b/>
          <w:bCs/>
          <w:sz w:val="52"/>
          <w:szCs w:val="52"/>
          <w:lang w:val="es-PR"/>
        </w:rPr>
        <w:t xml:space="preserve">. </w:t>
      </w:r>
      <w:r w:rsidR="00980162">
        <w:rPr>
          <w:rFonts w:ascii="Book Antiqua" w:hAnsi="Book Antiqua"/>
          <w:b/>
          <w:bCs/>
          <w:sz w:val="52"/>
          <w:szCs w:val="52"/>
          <w:lang w:val="es-PR"/>
        </w:rPr>
        <w:t>51</w:t>
      </w:r>
    </w:p>
    <w:p w14:paraId="52D5972B" w14:textId="77777777" w:rsidR="006523AA" w:rsidRPr="00635F68" w:rsidRDefault="00635F68" w:rsidP="00980162">
      <w:pPr>
        <w:suppressLineNumbers/>
        <w:spacing w:after="0" w:line="360" w:lineRule="auto"/>
        <w:jc w:val="center"/>
        <w:rPr>
          <w:rFonts w:ascii="Book Antiqua" w:hAnsi="Book Antiqua"/>
          <w:sz w:val="24"/>
          <w:szCs w:val="24"/>
          <w:lang w:val="es-PR"/>
        </w:rPr>
      </w:pPr>
      <w:r>
        <w:rPr>
          <w:rFonts w:ascii="Book Antiqua" w:hAnsi="Book Antiqua"/>
          <w:sz w:val="24"/>
          <w:szCs w:val="24"/>
          <w:lang w:val="es-PR"/>
        </w:rPr>
        <w:t>2</w:t>
      </w:r>
      <w:r w:rsidR="00C05D01" w:rsidRPr="00635F68">
        <w:rPr>
          <w:rFonts w:ascii="Book Antiqua" w:hAnsi="Book Antiqua"/>
          <w:sz w:val="24"/>
          <w:szCs w:val="24"/>
          <w:lang w:val="es-PR"/>
        </w:rPr>
        <w:t xml:space="preserve"> </w:t>
      </w:r>
      <w:r w:rsidR="006523AA" w:rsidRPr="00635F68">
        <w:rPr>
          <w:rFonts w:ascii="Book Antiqua" w:hAnsi="Book Antiqua"/>
          <w:sz w:val="24"/>
          <w:szCs w:val="24"/>
          <w:lang w:val="es-PR"/>
        </w:rPr>
        <w:t xml:space="preserve">de </w:t>
      </w:r>
      <w:r w:rsidR="00CD1E3A" w:rsidRPr="00635F68">
        <w:rPr>
          <w:rFonts w:ascii="Book Antiqua" w:hAnsi="Book Antiqua"/>
          <w:sz w:val="24"/>
          <w:szCs w:val="24"/>
          <w:lang w:val="es-PR"/>
        </w:rPr>
        <w:t>enero</w:t>
      </w:r>
      <w:r w:rsidR="006523AA" w:rsidRPr="00635F68">
        <w:rPr>
          <w:rFonts w:ascii="Book Antiqua" w:hAnsi="Book Antiqua"/>
          <w:sz w:val="24"/>
          <w:szCs w:val="24"/>
          <w:lang w:val="es-PR"/>
        </w:rPr>
        <w:t xml:space="preserve"> de 202</w:t>
      </w:r>
      <w:r w:rsidR="00CD1E3A" w:rsidRPr="00635F68">
        <w:rPr>
          <w:rFonts w:ascii="Book Antiqua" w:hAnsi="Book Antiqua"/>
          <w:sz w:val="24"/>
          <w:szCs w:val="24"/>
          <w:lang w:val="es-PR"/>
        </w:rPr>
        <w:t>5</w:t>
      </w:r>
    </w:p>
    <w:p w14:paraId="6715385E" w14:textId="77777777" w:rsidR="006523AA" w:rsidRDefault="00005E51" w:rsidP="00980162">
      <w:pPr>
        <w:suppressLineNumbers/>
        <w:spacing w:after="0" w:line="360" w:lineRule="auto"/>
        <w:ind w:left="720" w:hanging="720"/>
        <w:jc w:val="center"/>
        <w:rPr>
          <w:rFonts w:ascii="Book Antiqua" w:hAnsi="Book Antiqua"/>
          <w:i/>
          <w:iCs/>
          <w:color w:val="000000"/>
          <w:sz w:val="24"/>
          <w:szCs w:val="24"/>
          <w:lang w:val="es-PR"/>
        </w:rPr>
      </w:pPr>
      <w:r w:rsidRPr="00635F68">
        <w:rPr>
          <w:rFonts w:ascii="Book Antiqua" w:hAnsi="Book Antiqua"/>
          <w:color w:val="000000"/>
          <w:sz w:val="24"/>
          <w:szCs w:val="24"/>
          <w:lang w:val="es-PR"/>
        </w:rPr>
        <w:t xml:space="preserve">Presentado por </w:t>
      </w:r>
      <w:r w:rsidR="00CD1E3A" w:rsidRPr="00635F68">
        <w:rPr>
          <w:rFonts w:ascii="Book Antiqua" w:hAnsi="Book Antiqua"/>
          <w:color w:val="000000"/>
          <w:sz w:val="24"/>
          <w:szCs w:val="24"/>
          <w:lang w:val="es-PR"/>
        </w:rPr>
        <w:t>e</w:t>
      </w:r>
      <w:r w:rsidRPr="00635F68">
        <w:rPr>
          <w:rFonts w:ascii="Book Antiqua" w:hAnsi="Book Antiqua"/>
          <w:color w:val="000000"/>
          <w:sz w:val="24"/>
          <w:szCs w:val="24"/>
          <w:lang w:val="es-PR"/>
        </w:rPr>
        <w:t>l señor</w:t>
      </w:r>
      <w:r w:rsidRPr="00635F68">
        <w:rPr>
          <w:rFonts w:ascii="Book Antiqua" w:hAnsi="Book Antiqua"/>
          <w:i/>
          <w:iCs/>
          <w:color w:val="000000"/>
          <w:sz w:val="24"/>
          <w:szCs w:val="24"/>
          <w:lang w:val="es-PR"/>
        </w:rPr>
        <w:t xml:space="preserve"> Rivera Schatz</w:t>
      </w:r>
    </w:p>
    <w:p w14:paraId="34204FA2" w14:textId="77777777" w:rsidR="00B212DA" w:rsidRPr="00635F68" w:rsidRDefault="00B212DA" w:rsidP="00980162">
      <w:pPr>
        <w:suppressLineNumbers/>
        <w:spacing w:after="0" w:line="360" w:lineRule="auto"/>
        <w:ind w:left="720" w:hanging="720"/>
        <w:jc w:val="center"/>
        <w:rPr>
          <w:rFonts w:ascii="Book Antiqua" w:hAnsi="Book Antiqua"/>
          <w:i/>
          <w:iCs/>
          <w:color w:val="000000"/>
          <w:sz w:val="24"/>
          <w:szCs w:val="24"/>
          <w:lang w:val="es-PR"/>
        </w:rPr>
      </w:pPr>
      <w:r>
        <w:rPr>
          <w:rFonts w:ascii="Book Antiqua" w:hAnsi="Book Antiqua"/>
          <w:i/>
          <w:iCs/>
          <w:color w:val="000000"/>
          <w:sz w:val="24"/>
          <w:szCs w:val="24"/>
          <w:lang w:val="es-PR"/>
        </w:rPr>
        <w:t>Coautor el señor Reyes Berríos</w:t>
      </w:r>
    </w:p>
    <w:p w14:paraId="569BB964" w14:textId="77777777" w:rsidR="006523AA" w:rsidRPr="00635F68" w:rsidRDefault="006523AA" w:rsidP="00980162">
      <w:pPr>
        <w:suppressLineNumbers/>
        <w:spacing w:after="0" w:line="360" w:lineRule="auto"/>
        <w:jc w:val="center"/>
        <w:rPr>
          <w:rFonts w:ascii="Book Antiqua" w:hAnsi="Book Antiqua"/>
          <w:i/>
          <w:sz w:val="24"/>
          <w:szCs w:val="24"/>
          <w:lang w:val="es-PR"/>
        </w:rPr>
      </w:pPr>
      <w:r w:rsidRPr="00635F68">
        <w:rPr>
          <w:rFonts w:ascii="Book Antiqua" w:hAnsi="Book Antiqua"/>
          <w:i/>
          <w:sz w:val="24"/>
          <w:szCs w:val="24"/>
          <w:lang w:val="es-PR"/>
        </w:rPr>
        <w:t>Referido a</w:t>
      </w:r>
      <w:r w:rsidR="007A5C6B">
        <w:rPr>
          <w:rFonts w:ascii="Book Antiqua" w:hAnsi="Book Antiqua"/>
          <w:i/>
          <w:sz w:val="24"/>
          <w:szCs w:val="24"/>
          <w:lang w:val="es-PR"/>
        </w:rPr>
        <w:t xml:space="preserve"> la Comisión de lo Jurídico</w:t>
      </w:r>
      <w:r w:rsidR="008F016C" w:rsidRPr="00635F68">
        <w:rPr>
          <w:rFonts w:ascii="Book Antiqua" w:hAnsi="Book Antiqua"/>
          <w:i/>
          <w:sz w:val="24"/>
          <w:szCs w:val="24"/>
          <w:lang w:val="es-PR"/>
        </w:rPr>
        <w:t xml:space="preserve"> </w:t>
      </w:r>
      <w:r w:rsidR="001B081A" w:rsidRPr="00635F68">
        <w:rPr>
          <w:rFonts w:ascii="Book Antiqua" w:hAnsi="Book Antiqua"/>
          <w:i/>
          <w:sz w:val="24"/>
          <w:szCs w:val="24"/>
          <w:lang w:val="es-PR"/>
        </w:rPr>
        <w:tab/>
      </w:r>
    </w:p>
    <w:p w14:paraId="2F240C5E" w14:textId="77777777" w:rsidR="006523AA" w:rsidRPr="007A5C6B" w:rsidRDefault="006523AA" w:rsidP="00683C9C">
      <w:pPr>
        <w:suppressLineNumbers/>
        <w:spacing w:before="240" w:after="240" w:line="240" w:lineRule="auto"/>
        <w:jc w:val="center"/>
        <w:rPr>
          <w:rFonts w:ascii="Book Antiqua" w:hAnsi="Book Antiqua"/>
          <w:b/>
          <w:bCs/>
          <w:sz w:val="24"/>
          <w:szCs w:val="24"/>
          <w:lang w:val="es-PR"/>
        </w:rPr>
      </w:pPr>
      <w:r w:rsidRPr="007A5C6B">
        <w:rPr>
          <w:rFonts w:ascii="Book Antiqua" w:hAnsi="Book Antiqua"/>
          <w:b/>
          <w:bCs/>
          <w:sz w:val="24"/>
          <w:szCs w:val="24"/>
          <w:lang w:val="es-PR"/>
        </w:rPr>
        <w:t>LEY</w:t>
      </w:r>
    </w:p>
    <w:p w14:paraId="14FB403A" w14:textId="77777777" w:rsidR="006523AA" w:rsidRPr="0086073D" w:rsidRDefault="006523AA" w:rsidP="00683C9C">
      <w:pPr>
        <w:suppressLineNumbers/>
        <w:spacing w:after="0" w:line="240" w:lineRule="auto"/>
        <w:ind w:left="547" w:hanging="547"/>
        <w:contextualSpacing/>
        <w:jc w:val="both"/>
        <w:rPr>
          <w:rFonts w:ascii="Book Antiqua" w:hAnsi="Book Antiqua"/>
          <w:sz w:val="24"/>
          <w:szCs w:val="24"/>
          <w:lang w:val="es-PR"/>
        </w:rPr>
      </w:pPr>
      <w:r w:rsidRPr="0086073D">
        <w:rPr>
          <w:rFonts w:ascii="Book Antiqua" w:hAnsi="Book Antiqua"/>
          <w:sz w:val="24"/>
          <w:szCs w:val="24"/>
          <w:lang w:val="es-PR"/>
        </w:rPr>
        <w:t xml:space="preserve">Para </w:t>
      </w:r>
      <w:r w:rsidR="00836A89" w:rsidRPr="0086073D">
        <w:rPr>
          <w:rFonts w:ascii="Book Antiqua" w:hAnsi="Book Antiqua"/>
          <w:sz w:val="24"/>
          <w:szCs w:val="24"/>
          <w:lang w:val="es-PR"/>
        </w:rPr>
        <w:t xml:space="preserve">enmendar el sub-inciso 1 del inciso </w:t>
      </w:r>
      <w:r w:rsidR="00767607" w:rsidRPr="0086073D">
        <w:rPr>
          <w:rFonts w:ascii="Book Antiqua" w:hAnsi="Book Antiqua"/>
          <w:sz w:val="24"/>
          <w:szCs w:val="24"/>
          <w:lang w:val="es-PR"/>
        </w:rPr>
        <w:t>(</w:t>
      </w:r>
      <w:r w:rsidR="00EC1F0E">
        <w:rPr>
          <w:rFonts w:ascii="Book Antiqua" w:hAnsi="Book Antiqua"/>
          <w:sz w:val="24"/>
          <w:szCs w:val="24"/>
          <w:lang w:val="es-PR"/>
        </w:rPr>
        <w:t>c</w:t>
      </w:r>
      <w:r w:rsidR="00767607" w:rsidRPr="0086073D">
        <w:rPr>
          <w:rFonts w:ascii="Book Antiqua" w:hAnsi="Book Antiqua"/>
          <w:sz w:val="24"/>
          <w:szCs w:val="24"/>
          <w:lang w:val="es-PR"/>
        </w:rPr>
        <w:t>)</w:t>
      </w:r>
      <w:r w:rsidR="00836A89" w:rsidRPr="0086073D">
        <w:rPr>
          <w:rFonts w:ascii="Book Antiqua" w:hAnsi="Book Antiqua"/>
          <w:sz w:val="24"/>
          <w:szCs w:val="24"/>
          <w:lang w:val="es-PR"/>
        </w:rPr>
        <w:t xml:space="preserve"> </w:t>
      </w:r>
      <w:r w:rsidR="00767607" w:rsidRPr="0086073D">
        <w:rPr>
          <w:rFonts w:ascii="Book Antiqua" w:hAnsi="Book Antiqua"/>
          <w:sz w:val="24"/>
          <w:szCs w:val="24"/>
          <w:lang w:val="es-PR"/>
        </w:rPr>
        <w:t xml:space="preserve">de </w:t>
      </w:r>
      <w:r w:rsidR="00836A89" w:rsidRPr="0086073D">
        <w:rPr>
          <w:rFonts w:ascii="Book Antiqua" w:hAnsi="Book Antiqua"/>
          <w:sz w:val="24"/>
          <w:szCs w:val="24"/>
          <w:lang w:val="es-PR"/>
        </w:rPr>
        <w:t xml:space="preserve">la Regla 23.1 de las </w:t>
      </w:r>
      <w:bookmarkStart w:id="1" w:name="_Hlk71144920"/>
      <w:r w:rsidR="00836A89" w:rsidRPr="0086073D">
        <w:rPr>
          <w:rFonts w:ascii="Book Antiqua" w:hAnsi="Book Antiqua"/>
          <w:sz w:val="24"/>
          <w:szCs w:val="24"/>
          <w:lang w:val="es-PR"/>
        </w:rPr>
        <w:t>Reglas de Procedimiento Civil de 2009</w:t>
      </w:r>
      <w:bookmarkEnd w:id="1"/>
      <w:r w:rsidR="00836A89" w:rsidRPr="0086073D">
        <w:rPr>
          <w:rFonts w:ascii="Book Antiqua" w:hAnsi="Book Antiqua"/>
          <w:sz w:val="24"/>
          <w:szCs w:val="24"/>
          <w:lang w:val="es-PR"/>
        </w:rPr>
        <w:t>, según enmendadas, a los fines de establecer que los borradores de los informes preparados por las personas peritas, así como las comunicaciones entre el abogado y la persona perita est</w:t>
      </w:r>
      <w:r w:rsidR="00EC1F0E">
        <w:rPr>
          <w:rFonts w:ascii="Book Antiqua" w:hAnsi="Book Antiqua"/>
          <w:sz w:val="24"/>
          <w:szCs w:val="24"/>
          <w:lang w:val="es-PR"/>
        </w:rPr>
        <w:t>é</w:t>
      </w:r>
      <w:r w:rsidR="00836A89" w:rsidRPr="0086073D">
        <w:rPr>
          <w:rFonts w:ascii="Book Antiqua" w:hAnsi="Book Antiqua"/>
          <w:sz w:val="24"/>
          <w:szCs w:val="24"/>
          <w:lang w:val="es-PR"/>
        </w:rPr>
        <w:t>n protegid</w:t>
      </w:r>
      <w:r w:rsidR="00EC1F0E">
        <w:rPr>
          <w:rFonts w:ascii="Book Antiqua" w:hAnsi="Book Antiqua"/>
          <w:sz w:val="24"/>
          <w:szCs w:val="24"/>
          <w:lang w:val="es-PR"/>
        </w:rPr>
        <w:t>o</w:t>
      </w:r>
      <w:r w:rsidR="00836A89" w:rsidRPr="0086073D">
        <w:rPr>
          <w:rFonts w:ascii="Book Antiqua" w:hAnsi="Book Antiqua"/>
          <w:sz w:val="24"/>
          <w:szCs w:val="24"/>
          <w:lang w:val="es-PR"/>
        </w:rPr>
        <w:t>s por la doctrina del producto del trabajo (</w:t>
      </w:r>
      <w:r w:rsidR="00836A89" w:rsidRPr="0086073D">
        <w:rPr>
          <w:rFonts w:ascii="Book Antiqua" w:hAnsi="Book Antiqua"/>
          <w:i/>
          <w:iCs/>
          <w:sz w:val="24"/>
          <w:szCs w:val="24"/>
          <w:lang w:val="es-PR"/>
        </w:rPr>
        <w:t>work product</w:t>
      </w:r>
      <w:r w:rsidR="00836A89" w:rsidRPr="0086073D">
        <w:rPr>
          <w:rFonts w:ascii="Book Antiqua" w:hAnsi="Book Antiqua"/>
          <w:sz w:val="24"/>
          <w:szCs w:val="24"/>
          <w:lang w:val="es-PR"/>
        </w:rPr>
        <w:t>) del abogado</w:t>
      </w:r>
      <w:r w:rsidRPr="0086073D">
        <w:rPr>
          <w:rFonts w:ascii="Book Antiqua" w:hAnsi="Book Antiqua"/>
          <w:sz w:val="24"/>
          <w:szCs w:val="24"/>
          <w:lang w:val="es-PR"/>
        </w:rPr>
        <w:t>.</w:t>
      </w:r>
    </w:p>
    <w:p w14:paraId="05DBAEE4" w14:textId="77777777" w:rsidR="006523AA" w:rsidRPr="00635F68" w:rsidRDefault="006523AA" w:rsidP="0086073D">
      <w:pPr>
        <w:suppressLineNumbers/>
        <w:spacing w:before="360" w:after="240" w:line="240" w:lineRule="auto"/>
        <w:jc w:val="center"/>
        <w:rPr>
          <w:rFonts w:ascii="Book Antiqua" w:hAnsi="Book Antiqua"/>
          <w:b/>
          <w:bCs/>
          <w:sz w:val="24"/>
          <w:szCs w:val="24"/>
          <w:lang w:val="es-PR"/>
        </w:rPr>
      </w:pPr>
      <w:r w:rsidRPr="00635F68">
        <w:rPr>
          <w:rFonts w:ascii="Book Antiqua" w:hAnsi="Book Antiqua"/>
          <w:b/>
          <w:bCs/>
          <w:sz w:val="24"/>
          <w:szCs w:val="24"/>
          <w:lang w:val="es-PR"/>
        </w:rPr>
        <w:t>EXPOSICIÓN DE MOTIVOS</w:t>
      </w:r>
    </w:p>
    <w:p w14:paraId="57D10EAF" w14:textId="77777777" w:rsidR="00EA0255" w:rsidRPr="00635F68" w:rsidRDefault="00EA0255" w:rsidP="0086073D">
      <w:pPr>
        <w:suppressLineNumbers/>
        <w:spacing w:before="120" w:after="120" w:line="360" w:lineRule="auto"/>
        <w:ind w:firstLine="720"/>
        <w:jc w:val="both"/>
        <w:rPr>
          <w:rFonts w:ascii="Book Antiqua" w:hAnsi="Book Antiqua"/>
          <w:sz w:val="24"/>
          <w:szCs w:val="24"/>
          <w:lang w:val="es-PR"/>
        </w:rPr>
      </w:pPr>
      <w:r w:rsidRPr="00635F68">
        <w:rPr>
          <w:rFonts w:ascii="Book Antiqua" w:hAnsi="Book Antiqua"/>
          <w:sz w:val="24"/>
          <w:szCs w:val="24"/>
          <w:lang w:val="es-PR"/>
        </w:rPr>
        <w:t>En nuestro ordenamiento jurídico, la Regla 23.1 de Procedimiento Civil</w:t>
      </w:r>
      <w:r w:rsidR="0086073D">
        <w:rPr>
          <w:rFonts w:ascii="Book Antiqua" w:hAnsi="Book Antiqua"/>
          <w:sz w:val="24"/>
          <w:szCs w:val="24"/>
          <w:lang w:val="es-PR"/>
        </w:rPr>
        <w:t xml:space="preserve"> </w:t>
      </w:r>
      <w:r w:rsidRPr="00635F68">
        <w:rPr>
          <w:rFonts w:ascii="Book Antiqua" w:hAnsi="Book Antiqua"/>
          <w:sz w:val="24"/>
          <w:szCs w:val="24"/>
          <w:lang w:val="es-PR"/>
        </w:rPr>
        <w:t xml:space="preserve">establece el alcance del descubrimiento de prueba. Esta Regla dispone, entre otras cosas, que las partes podrán hacer descubrimiento sobre cualquier materia no privilegiada que sea pertinente al asunto en controversia en el pleito pendiente.  </w:t>
      </w:r>
      <w:r w:rsidR="009D5DC9">
        <w:rPr>
          <w:rFonts w:ascii="Book Antiqua" w:hAnsi="Book Antiqua"/>
          <w:sz w:val="24"/>
          <w:szCs w:val="24"/>
          <w:lang w:val="es-PR"/>
        </w:rPr>
        <w:t>No obstante, e</w:t>
      </w:r>
      <w:r w:rsidRPr="00635F68">
        <w:rPr>
          <w:rFonts w:ascii="Book Antiqua" w:hAnsi="Book Antiqua"/>
          <w:sz w:val="24"/>
          <w:szCs w:val="24"/>
          <w:lang w:val="es-PR"/>
        </w:rPr>
        <w:t xml:space="preserve">l inciso </w:t>
      </w:r>
      <w:r w:rsidR="00EC1F0E">
        <w:rPr>
          <w:rFonts w:ascii="Book Antiqua" w:hAnsi="Book Antiqua"/>
          <w:sz w:val="24"/>
          <w:szCs w:val="24"/>
          <w:lang w:val="es-PR"/>
        </w:rPr>
        <w:t>(c)</w:t>
      </w:r>
      <w:r w:rsidR="00767607" w:rsidRPr="0086073D">
        <w:rPr>
          <w:rFonts w:ascii="Book Antiqua" w:hAnsi="Book Antiqua"/>
          <w:sz w:val="24"/>
          <w:szCs w:val="24"/>
          <w:lang w:val="es-PR"/>
        </w:rPr>
        <w:t xml:space="preserve"> </w:t>
      </w:r>
      <w:r w:rsidRPr="00635F68">
        <w:rPr>
          <w:rFonts w:ascii="Book Antiqua" w:hAnsi="Book Antiqua"/>
          <w:sz w:val="24"/>
          <w:szCs w:val="24"/>
          <w:lang w:val="es-PR"/>
        </w:rPr>
        <w:t>de la referida Regla 23 de Procedimiento Civil delimita el descubrimiento de prueba pericial.</w:t>
      </w:r>
    </w:p>
    <w:p w14:paraId="0A2D2FB6" w14:textId="34734FE1" w:rsidR="00E75EEC" w:rsidRDefault="00A12C1D" w:rsidP="0086073D">
      <w:pPr>
        <w:suppressLineNumbers/>
        <w:spacing w:before="120" w:after="120" w:line="360" w:lineRule="auto"/>
        <w:ind w:firstLine="720"/>
        <w:jc w:val="both"/>
        <w:rPr>
          <w:rFonts w:ascii="Book Antiqua" w:hAnsi="Book Antiqua"/>
          <w:sz w:val="24"/>
          <w:szCs w:val="24"/>
          <w:lang w:val="es-PR"/>
        </w:rPr>
      </w:pPr>
      <w:r>
        <w:rPr>
          <w:rFonts w:ascii="Book Antiqua" w:hAnsi="Book Antiqua"/>
          <w:sz w:val="24"/>
          <w:szCs w:val="24"/>
          <w:lang w:val="es-PR"/>
        </w:rPr>
        <w:t>Al interpretar el inciso</w:t>
      </w:r>
      <w:r w:rsidR="00EC1F0E">
        <w:rPr>
          <w:rFonts w:ascii="Book Antiqua" w:hAnsi="Book Antiqua"/>
          <w:sz w:val="24"/>
          <w:szCs w:val="24"/>
          <w:lang w:val="es-PR"/>
        </w:rPr>
        <w:t xml:space="preserve"> (c)</w:t>
      </w:r>
      <w:r>
        <w:rPr>
          <w:rFonts w:ascii="Book Antiqua" w:hAnsi="Book Antiqua"/>
          <w:sz w:val="24"/>
          <w:szCs w:val="24"/>
          <w:lang w:val="es-PR"/>
        </w:rPr>
        <w:t xml:space="preserve"> de la Regla 23,</w:t>
      </w:r>
      <w:r w:rsidR="00EA0255" w:rsidRPr="003A5F71">
        <w:rPr>
          <w:rFonts w:ascii="Book Antiqua" w:hAnsi="Book Antiqua"/>
          <w:sz w:val="24"/>
          <w:szCs w:val="24"/>
          <w:lang w:val="es-PR"/>
        </w:rPr>
        <w:t xml:space="preserve"> </w:t>
      </w:r>
      <w:r>
        <w:rPr>
          <w:rFonts w:ascii="Book Antiqua" w:hAnsi="Book Antiqua"/>
          <w:sz w:val="24"/>
          <w:szCs w:val="24"/>
          <w:lang w:val="es-PR"/>
        </w:rPr>
        <w:t>n</w:t>
      </w:r>
      <w:r w:rsidRPr="006763AA">
        <w:rPr>
          <w:rFonts w:ascii="Book Antiqua" w:hAnsi="Book Antiqua"/>
          <w:sz w:val="24"/>
          <w:szCs w:val="24"/>
          <w:lang w:val="es-PR"/>
        </w:rPr>
        <w:t>uestro Tribunal Supremo resolvió</w:t>
      </w:r>
      <w:r w:rsidRPr="003A5F71">
        <w:rPr>
          <w:rFonts w:ascii="Book Antiqua" w:hAnsi="Book Antiqua"/>
          <w:sz w:val="24"/>
          <w:szCs w:val="24"/>
          <w:lang w:val="es-PR"/>
        </w:rPr>
        <w:t xml:space="preserve"> </w:t>
      </w:r>
      <w:r w:rsidR="00E75EEC" w:rsidRPr="006763AA">
        <w:rPr>
          <w:rFonts w:ascii="Book Antiqua" w:hAnsi="Book Antiqua"/>
          <w:sz w:val="24"/>
          <w:szCs w:val="24"/>
          <w:lang w:val="es-PR"/>
        </w:rPr>
        <w:t xml:space="preserve">que los borradores del informe pericial de un perito testigo, así como las comunicaciones entre </w:t>
      </w:r>
      <w:r w:rsidR="005A6465">
        <w:rPr>
          <w:rFonts w:ascii="Book Antiqua" w:hAnsi="Book Antiqua"/>
          <w:sz w:val="24"/>
          <w:szCs w:val="24"/>
          <w:lang w:val="es-PR"/>
        </w:rPr>
        <w:t>e</w:t>
      </w:r>
      <w:r w:rsidR="00E75EEC" w:rsidRPr="006763AA">
        <w:rPr>
          <w:rFonts w:ascii="Book Antiqua" w:hAnsi="Book Antiqua"/>
          <w:sz w:val="24"/>
          <w:szCs w:val="24"/>
          <w:lang w:val="es-PR"/>
        </w:rPr>
        <w:t>ste y el abogado de la parte que lo contrata</w:t>
      </w:r>
      <w:r w:rsidR="003A5F71">
        <w:rPr>
          <w:rFonts w:ascii="Book Antiqua" w:hAnsi="Book Antiqua"/>
          <w:sz w:val="24"/>
          <w:szCs w:val="24"/>
          <w:lang w:val="es-PR"/>
        </w:rPr>
        <w:t>,</w:t>
      </w:r>
      <w:r w:rsidR="00E75EEC" w:rsidRPr="006763AA">
        <w:rPr>
          <w:rFonts w:ascii="Book Antiqua" w:hAnsi="Book Antiqua"/>
          <w:sz w:val="24"/>
          <w:szCs w:val="24"/>
          <w:lang w:val="es-PR"/>
        </w:rPr>
        <w:t xml:space="preserve"> con relación a tales informes, no están protegidos por la doctrina del </w:t>
      </w:r>
      <w:r w:rsidR="00E75EEC" w:rsidRPr="006763AA">
        <w:rPr>
          <w:rFonts w:ascii="Book Antiqua" w:hAnsi="Book Antiqua"/>
          <w:i/>
          <w:iCs/>
          <w:sz w:val="24"/>
          <w:szCs w:val="24"/>
          <w:lang w:val="es-PR"/>
        </w:rPr>
        <w:t>work product</w:t>
      </w:r>
      <w:r w:rsidR="00E75EEC" w:rsidRPr="006763AA">
        <w:rPr>
          <w:rFonts w:ascii="Book Antiqua" w:hAnsi="Book Antiqua"/>
          <w:sz w:val="24"/>
          <w:szCs w:val="24"/>
          <w:lang w:val="es-PR"/>
        </w:rPr>
        <w:t xml:space="preserve">. </w:t>
      </w:r>
      <w:r w:rsidRPr="003A5F71">
        <w:rPr>
          <w:rFonts w:ascii="Book Antiqua" w:hAnsi="Book Antiqua"/>
          <w:sz w:val="24"/>
          <w:szCs w:val="24"/>
          <w:u w:val="single"/>
          <w:lang w:val="es-PR"/>
        </w:rPr>
        <w:t xml:space="preserve">McNeil Healthcare, LLC v. Municipio de Las </w:t>
      </w:r>
      <w:r w:rsidRPr="003A5F71">
        <w:rPr>
          <w:rFonts w:ascii="Book Antiqua" w:hAnsi="Book Antiqua"/>
          <w:sz w:val="24"/>
          <w:szCs w:val="24"/>
          <w:u w:val="single"/>
          <w:lang w:val="es-PR"/>
        </w:rPr>
        <w:lastRenderedPageBreak/>
        <w:t>Piedras</w:t>
      </w:r>
      <w:r w:rsidR="00EC1F0E">
        <w:rPr>
          <w:rFonts w:ascii="Book Antiqua" w:hAnsi="Book Antiqua"/>
          <w:sz w:val="24"/>
          <w:szCs w:val="24"/>
          <w:u w:val="single"/>
          <w:lang w:val="es-PR"/>
        </w:rPr>
        <w:t xml:space="preserve"> et al. (II)</w:t>
      </w:r>
      <w:r w:rsidRPr="003A5F71">
        <w:rPr>
          <w:rFonts w:ascii="Book Antiqua" w:hAnsi="Book Antiqua"/>
          <w:sz w:val="24"/>
          <w:szCs w:val="24"/>
          <w:lang w:val="es-PR"/>
        </w:rPr>
        <w:t xml:space="preserve">, </w:t>
      </w:r>
      <w:r w:rsidRPr="00E34165">
        <w:rPr>
          <w:rFonts w:ascii="Book Antiqua" w:hAnsi="Book Antiqua"/>
          <w:strike/>
          <w:sz w:val="24"/>
          <w:szCs w:val="24"/>
          <w:lang w:val="es-PR"/>
        </w:rPr>
        <w:t>2021 TSPR 33,</w:t>
      </w:r>
      <w:r>
        <w:rPr>
          <w:rFonts w:ascii="Book Antiqua" w:hAnsi="Book Antiqua"/>
          <w:sz w:val="24"/>
          <w:szCs w:val="24"/>
          <w:lang w:val="es-PR"/>
        </w:rPr>
        <w:t xml:space="preserve"> </w:t>
      </w:r>
      <w:r w:rsidR="001351E6">
        <w:rPr>
          <w:rFonts w:ascii="Book Antiqua" w:hAnsi="Book Antiqua"/>
          <w:i/>
          <w:iCs/>
          <w:sz w:val="24"/>
          <w:szCs w:val="24"/>
          <w:u w:val="single"/>
          <w:lang w:val="es-PR"/>
        </w:rPr>
        <w:t>206 DPR 659</w:t>
      </w:r>
      <w:r w:rsidR="001351E6" w:rsidRPr="001351E6">
        <w:rPr>
          <w:rFonts w:ascii="Book Antiqua" w:hAnsi="Book Antiqua"/>
          <w:i/>
          <w:iCs/>
          <w:sz w:val="24"/>
          <w:szCs w:val="24"/>
          <w:lang w:val="es-PR"/>
        </w:rPr>
        <w:t xml:space="preserve"> </w:t>
      </w:r>
      <w:r>
        <w:rPr>
          <w:rFonts w:ascii="Book Antiqua" w:hAnsi="Book Antiqua"/>
          <w:sz w:val="24"/>
          <w:szCs w:val="24"/>
          <w:lang w:val="es-PR"/>
        </w:rPr>
        <w:t xml:space="preserve">(2021).  </w:t>
      </w:r>
      <w:r w:rsidR="00E75EEC" w:rsidRPr="006763AA">
        <w:rPr>
          <w:rFonts w:ascii="Book Antiqua" w:hAnsi="Book Antiqua"/>
          <w:sz w:val="24"/>
          <w:szCs w:val="24"/>
          <w:lang w:val="es-PR"/>
        </w:rPr>
        <w:t xml:space="preserve">El Tribunal </w:t>
      </w:r>
      <w:r w:rsidR="00A64981">
        <w:rPr>
          <w:rFonts w:ascii="Book Antiqua" w:hAnsi="Book Antiqua"/>
          <w:sz w:val="24"/>
          <w:szCs w:val="24"/>
          <w:lang w:val="es-PR"/>
        </w:rPr>
        <w:t xml:space="preserve">Supremo </w:t>
      </w:r>
      <w:r w:rsidR="00E75EEC" w:rsidRPr="006763AA">
        <w:rPr>
          <w:rFonts w:ascii="Book Antiqua" w:hAnsi="Book Antiqua"/>
          <w:sz w:val="24"/>
          <w:szCs w:val="24"/>
          <w:lang w:val="es-PR"/>
        </w:rPr>
        <w:t>dictaminó que estos documentos y comunicaciones están sujetos al descubrimiento de prueba amplio y liberal que rige en nuestro ordenamiento jurídico. De esta manera, rechazó adoptar en nuestra jurisdicción las disposiciones de la Regla 26(b)(4)(B) y 26(b)(4)(C) de Procedimiento Civil Federal, que establecen una protección más estricta para las comunicaciones entre abogados y peritos.</w:t>
      </w:r>
    </w:p>
    <w:p w14:paraId="028C0E52" w14:textId="77777777" w:rsidR="00E75EEC" w:rsidRDefault="00EA0255" w:rsidP="0086073D">
      <w:pPr>
        <w:suppressLineNumbers/>
        <w:spacing w:before="120" w:after="120" w:line="360" w:lineRule="auto"/>
        <w:ind w:firstLine="360"/>
        <w:jc w:val="both"/>
        <w:rPr>
          <w:rFonts w:ascii="Book Antiqua" w:hAnsi="Book Antiqua"/>
          <w:sz w:val="24"/>
          <w:szCs w:val="24"/>
          <w:lang w:val="es-PR"/>
        </w:rPr>
      </w:pPr>
      <w:r w:rsidRPr="00635F68">
        <w:rPr>
          <w:rFonts w:ascii="Book Antiqua" w:hAnsi="Book Antiqua"/>
          <w:sz w:val="24"/>
          <w:szCs w:val="24"/>
          <w:lang w:val="es-PR"/>
        </w:rPr>
        <w:t xml:space="preserve"> </w:t>
      </w:r>
      <w:r w:rsidRPr="00635F68">
        <w:rPr>
          <w:rFonts w:ascii="Book Antiqua" w:hAnsi="Book Antiqua"/>
          <w:sz w:val="24"/>
          <w:szCs w:val="24"/>
          <w:lang w:val="es-PR"/>
        </w:rPr>
        <w:tab/>
      </w:r>
      <w:r w:rsidR="00E75EEC" w:rsidRPr="006763AA">
        <w:rPr>
          <w:rFonts w:ascii="Book Antiqua" w:hAnsi="Book Antiqua"/>
          <w:sz w:val="24"/>
          <w:szCs w:val="24"/>
          <w:lang w:val="es-PR"/>
        </w:rPr>
        <w:t xml:space="preserve">Sin embargo, tras evaluar </w:t>
      </w:r>
      <w:r w:rsidRPr="00E75EEC">
        <w:rPr>
          <w:rFonts w:ascii="Book Antiqua" w:hAnsi="Book Antiqua"/>
          <w:sz w:val="24"/>
          <w:szCs w:val="24"/>
          <w:lang w:val="es-PR"/>
        </w:rPr>
        <w:t>las expresiones del Tribunal en el referido caso y las disposiciones de la Regla 26</w:t>
      </w:r>
      <w:r w:rsidR="00EC1F0E">
        <w:rPr>
          <w:rFonts w:ascii="Book Antiqua" w:hAnsi="Book Antiqua"/>
          <w:sz w:val="24"/>
          <w:szCs w:val="24"/>
          <w:lang w:val="es-PR"/>
        </w:rPr>
        <w:t xml:space="preserve"> de</w:t>
      </w:r>
      <w:r w:rsidRPr="00E75EEC">
        <w:rPr>
          <w:rFonts w:ascii="Book Antiqua" w:hAnsi="Book Antiqua"/>
          <w:sz w:val="24"/>
          <w:szCs w:val="24"/>
          <w:lang w:val="es-PR"/>
        </w:rPr>
        <w:t xml:space="preserve"> Procedimiento Civil Federal, esta Asamblea Legislativa considera que las comunicaciones entre el abogado y perito, incluidos los borradores de los informes periciales, </w:t>
      </w:r>
      <w:r w:rsidR="00E75EEC" w:rsidRPr="006763AA">
        <w:rPr>
          <w:rFonts w:ascii="Book Antiqua" w:hAnsi="Book Antiqua"/>
          <w:sz w:val="24"/>
          <w:szCs w:val="24"/>
          <w:lang w:val="es-PR"/>
        </w:rPr>
        <w:t>constituyen</w:t>
      </w:r>
      <w:r w:rsidRPr="00E75EEC">
        <w:rPr>
          <w:rFonts w:ascii="Book Antiqua" w:hAnsi="Book Antiqua"/>
          <w:sz w:val="24"/>
          <w:szCs w:val="24"/>
          <w:lang w:val="es-PR"/>
        </w:rPr>
        <w:t xml:space="preserve"> parte esencial de la estrategia legal en un litigio. </w:t>
      </w:r>
      <w:r w:rsidR="00F97F01">
        <w:rPr>
          <w:rFonts w:ascii="Book Antiqua" w:hAnsi="Book Antiqua"/>
          <w:sz w:val="24"/>
          <w:szCs w:val="24"/>
          <w:lang w:val="es-PR"/>
        </w:rPr>
        <w:t xml:space="preserve"> </w:t>
      </w:r>
      <w:r w:rsidR="00E75EEC" w:rsidRPr="006763AA">
        <w:rPr>
          <w:rFonts w:ascii="Book Antiqua" w:hAnsi="Book Antiqua"/>
          <w:sz w:val="24"/>
          <w:szCs w:val="24"/>
          <w:lang w:val="es-PR"/>
        </w:rPr>
        <w:t>En primer lugar,</w:t>
      </w:r>
      <w:r w:rsidR="00E75EEC" w:rsidRPr="00F97F01">
        <w:rPr>
          <w:rFonts w:ascii="Book Antiqua" w:hAnsi="Book Antiqua"/>
          <w:sz w:val="24"/>
          <w:szCs w:val="24"/>
          <w:lang w:val="es-PR"/>
        </w:rPr>
        <w:t xml:space="preserve"> </w:t>
      </w:r>
      <w:r w:rsidR="00E75EEC" w:rsidRPr="006763AA">
        <w:rPr>
          <w:rFonts w:ascii="Book Antiqua" w:hAnsi="Book Antiqua"/>
          <w:sz w:val="24"/>
          <w:szCs w:val="24"/>
          <w:lang w:val="es-PR"/>
        </w:rPr>
        <w:t>las comunicaciones entre abogado y perito suelen incluir evaluaciones estratégicas sobre cómo presentar los hechos del caso, lo que hace crucial proteger estas conversaciones. Permitir que tales comunicaciones sean accesibles para la parte contraria</w:t>
      </w:r>
      <w:r w:rsidR="00E75EEC">
        <w:rPr>
          <w:rFonts w:ascii="Book Antiqua" w:hAnsi="Book Antiqua"/>
          <w:sz w:val="24"/>
          <w:szCs w:val="24"/>
          <w:lang w:val="es-PR"/>
        </w:rPr>
        <w:t xml:space="preserve"> </w:t>
      </w:r>
      <w:r w:rsidR="00E75EEC" w:rsidRPr="006763AA">
        <w:rPr>
          <w:rFonts w:ascii="Book Antiqua" w:hAnsi="Book Antiqua"/>
          <w:sz w:val="24"/>
          <w:szCs w:val="24"/>
          <w:lang w:val="es-PR"/>
        </w:rPr>
        <w:t xml:space="preserve">podría darle </w:t>
      </w:r>
      <w:r w:rsidR="00E75EEC">
        <w:rPr>
          <w:rFonts w:ascii="Book Antiqua" w:hAnsi="Book Antiqua"/>
          <w:sz w:val="24"/>
          <w:szCs w:val="24"/>
          <w:lang w:val="es-PR"/>
        </w:rPr>
        <w:t>cierta</w:t>
      </w:r>
      <w:r w:rsidR="00E75EEC" w:rsidRPr="006763AA">
        <w:rPr>
          <w:rFonts w:ascii="Book Antiqua" w:hAnsi="Book Antiqua"/>
          <w:sz w:val="24"/>
          <w:szCs w:val="24"/>
          <w:lang w:val="es-PR"/>
        </w:rPr>
        <w:t xml:space="preserve"> ventaja, </w:t>
      </w:r>
      <w:r w:rsidR="00E75EEC">
        <w:rPr>
          <w:rFonts w:ascii="Book Antiqua" w:hAnsi="Book Antiqua"/>
          <w:sz w:val="24"/>
          <w:szCs w:val="24"/>
          <w:lang w:val="es-PR"/>
        </w:rPr>
        <w:t xml:space="preserve">toda vez que </w:t>
      </w:r>
      <w:r w:rsidR="00E75EEC" w:rsidRPr="006763AA">
        <w:rPr>
          <w:rFonts w:ascii="Book Antiqua" w:hAnsi="Book Antiqua"/>
          <w:sz w:val="24"/>
          <w:szCs w:val="24"/>
          <w:lang w:val="es-PR"/>
        </w:rPr>
        <w:t>revela tácticas y enfoques legales antes de tiempo.</w:t>
      </w:r>
      <w:r w:rsidR="00E75EEC">
        <w:rPr>
          <w:rFonts w:ascii="Book Antiqua" w:hAnsi="Book Antiqua"/>
          <w:sz w:val="24"/>
          <w:szCs w:val="24"/>
          <w:lang w:val="es-PR"/>
        </w:rPr>
        <w:t xml:space="preserve"> </w:t>
      </w:r>
      <w:r w:rsidR="00E75EEC" w:rsidRPr="006763AA">
        <w:rPr>
          <w:rFonts w:ascii="Book Antiqua" w:hAnsi="Book Antiqua"/>
          <w:sz w:val="24"/>
          <w:szCs w:val="24"/>
          <w:lang w:val="es-PR"/>
        </w:rPr>
        <w:t>La confidencialidad de est</w:t>
      </w:r>
      <w:r w:rsidR="00F97F01">
        <w:rPr>
          <w:rFonts w:ascii="Book Antiqua" w:hAnsi="Book Antiqua"/>
          <w:sz w:val="24"/>
          <w:szCs w:val="24"/>
          <w:lang w:val="es-PR"/>
        </w:rPr>
        <w:t>o</w:t>
      </w:r>
      <w:r w:rsidR="00E75EEC" w:rsidRPr="006763AA">
        <w:rPr>
          <w:rFonts w:ascii="Book Antiqua" w:hAnsi="Book Antiqua"/>
          <w:sz w:val="24"/>
          <w:szCs w:val="24"/>
          <w:lang w:val="es-PR"/>
        </w:rPr>
        <w:t>s d</w:t>
      </w:r>
      <w:r w:rsidR="00F97F01">
        <w:rPr>
          <w:rFonts w:ascii="Book Antiqua" w:hAnsi="Book Antiqua"/>
          <w:sz w:val="24"/>
          <w:szCs w:val="24"/>
          <w:lang w:val="es-PR"/>
        </w:rPr>
        <w:t>ocumentos</w:t>
      </w:r>
      <w:r w:rsidR="00E75EEC" w:rsidRPr="006763AA">
        <w:rPr>
          <w:rFonts w:ascii="Book Antiqua" w:hAnsi="Book Antiqua"/>
          <w:sz w:val="24"/>
          <w:szCs w:val="24"/>
          <w:lang w:val="es-PR"/>
        </w:rPr>
        <w:t xml:space="preserve"> asegura que las partes puedan prepararse sin temor a que su estrategia sea descubierta, lo que es vital para mantener el equilibrio y la equidad en el proceso judicial.</w:t>
      </w:r>
      <w:r w:rsidR="00E75EEC" w:rsidRPr="00F97F01">
        <w:rPr>
          <w:rFonts w:ascii="Book Antiqua" w:hAnsi="Book Antiqua"/>
          <w:sz w:val="24"/>
          <w:szCs w:val="24"/>
          <w:lang w:val="es-PR"/>
        </w:rPr>
        <w:t xml:space="preserve"> </w:t>
      </w:r>
      <w:r w:rsidR="00E75EEC" w:rsidRPr="006763AA">
        <w:rPr>
          <w:rFonts w:ascii="Book Antiqua" w:hAnsi="Book Antiqua"/>
          <w:sz w:val="24"/>
          <w:szCs w:val="24"/>
          <w:lang w:val="es-PR"/>
        </w:rPr>
        <w:t>Otra razón para proteger estas comunicaciones es la importancia de fomentar una cooperación abierta y sincera entre el abogado y el perito.</w:t>
      </w:r>
      <w:r w:rsidR="00E75EEC" w:rsidRPr="00F97F01">
        <w:rPr>
          <w:rFonts w:ascii="Book Antiqua" w:hAnsi="Book Antiqua"/>
          <w:sz w:val="24"/>
          <w:szCs w:val="24"/>
          <w:lang w:val="es-PR"/>
        </w:rPr>
        <w:t xml:space="preserve"> </w:t>
      </w:r>
      <w:r w:rsidR="00F97F01" w:rsidRPr="00F97F01">
        <w:rPr>
          <w:rFonts w:ascii="Book Antiqua" w:hAnsi="Book Antiqua"/>
          <w:sz w:val="24"/>
          <w:szCs w:val="24"/>
          <w:lang w:val="es-PR"/>
        </w:rPr>
        <w:t xml:space="preserve">De igual forma, </w:t>
      </w:r>
      <w:r w:rsidR="00E75EEC" w:rsidRPr="00F97F01">
        <w:rPr>
          <w:rFonts w:ascii="Book Antiqua" w:hAnsi="Book Antiqua"/>
          <w:sz w:val="24"/>
          <w:szCs w:val="24"/>
          <w:lang w:val="es-PR"/>
        </w:rPr>
        <w:t>l</w:t>
      </w:r>
      <w:r w:rsidR="00E75EEC" w:rsidRPr="006763AA">
        <w:rPr>
          <w:rFonts w:ascii="Book Antiqua" w:hAnsi="Book Antiqua"/>
          <w:sz w:val="24"/>
          <w:szCs w:val="24"/>
          <w:lang w:val="es-PR"/>
        </w:rPr>
        <w:t>a protección de estas comunicaciones también está alineada con otros privilegios procesales establecidos en nuestra legislación, como el privilegio abogado-cliente. Al igual que el abogado debe tener la libertad para comunicarse de manera confidencial con su cliente, las comunicaciones entre abogado y perito deben gozar de la misma protección</w:t>
      </w:r>
      <w:r w:rsidR="00E75EEC">
        <w:rPr>
          <w:rFonts w:ascii="Book Antiqua" w:hAnsi="Book Antiqua"/>
          <w:sz w:val="24"/>
          <w:szCs w:val="24"/>
          <w:lang w:val="es-PR"/>
        </w:rPr>
        <w:t xml:space="preserve">. </w:t>
      </w:r>
    </w:p>
    <w:p w14:paraId="520E11EA" w14:textId="77777777" w:rsidR="00E75EEC" w:rsidRDefault="003A5F71" w:rsidP="0086073D">
      <w:pPr>
        <w:suppressLineNumbers/>
        <w:spacing w:before="120" w:after="120" w:line="360" w:lineRule="auto"/>
        <w:ind w:firstLine="720"/>
        <w:jc w:val="both"/>
        <w:rPr>
          <w:rFonts w:ascii="Book Antiqua" w:hAnsi="Book Antiqua"/>
          <w:sz w:val="24"/>
          <w:szCs w:val="24"/>
          <w:lang w:val="es-PR"/>
        </w:rPr>
      </w:pPr>
      <w:r w:rsidRPr="006763AA">
        <w:rPr>
          <w:rFonts w:ascii="Book Antiqua" w:hAnsi="Book Antiqua"/>
          <w:sz w:val="24"/>
          <w:szCs w:val="24"/>
          <w:lang w:val="es-PR"/>
        </w:rPr>
        <w:t xml:space="preserve">Es </w:t>
      </w:r>
      <w:r w:rsidR="00A64981">
        <w:rPr>
          <w:rFonts w:ascii="Book Antiqua" w:hAnsi="Book Antiqua"/>
          <w:sz w:val="24"/>
          <w:szCs w:val="24"/>
          <w:lang w:val="es-PR"/>
        </w:rPr>
        <w:t>importante</w:t>
      </w:r>
      <w:r w:rsidRPr="006763AA">
        <w:rPr>
          <w:rFonts w:ascii="Book Antiqua" w:hAnsi="Book Antiqua"/>
          <w:sz w:val="24"/>
          <w:szCs w:val="24"/>
          <w:lang w:val="es-PR"/>
        </w:rPr>
        <w:t xml:space="preserve"> destacar que el derecho a una defensa efectiva es un derecho constitucional que debe ser respetado en todo proceso judicial. La protección de las comunicaciones entre abogado y perito es un componente esencial de este derecho</w:t>
      </w:r>
      <w:r>
        <w:rPr>
          <w:rFonts w:ascii="Book Antiqua" w:hAnsi="Book Antiqua"/>
          <w:sz w:val="24"/>
          <w:szCs w:val="24"/>
          <w:lang w:val="es-PR"/>
        </w:rPr>
        <w:t xml:space="preserve">.  Sin </w:t>
      </w:r>
      <w:r w:rsidRPr="006763AA">
        <w:rPr>
          <w:rFonts w:ascii="Book Antiqua" w:hAnsi="Book Antiqua"/>
          <w:sz w:val="24"/>
          <w:szCs w:val="24"/>
          <w:lang w:val="es-PR"/>
        </w:rPr>
        <w:t xml:space="preserve">esta protección, los abogados podrían verse obligados a restringir las conversaciones con sus peritos, lo que afectaría la calidad de la defensa. Las partes no podrían prepararse </w:t>
      </w:r>
      <w:r w:rsidRPr="006763AA">
        <w:rPr>
          <w:rFonts w:ascii="Book Antiqua" w:hAnsi="Book Antiqua"/>
          <w:sz w:val="24"/>
          <w:szCs w:val="24"/>
          <w:lang w:val="es-PR"/>
        </w:rPr>
        <w:lastRenderedPageBreak/>
        <w:t>adecuadamente para un juicio sin que sus estrategias se vean comprometidas por el descubrimiento de comunicaciones confidenciales</w:t>
      </w:r>
      <w:r>
        <w:rPr>
          <w:rFonts w:ascii="Book Antiqua" w:hAnsi="Book Antiqua"/>
          <w:sz w:val="24"/>
          <w:szCs w:val="24"/>
          <w:lang w:val="es-PR"/>
        </w:rPr>
        <w:t xml:space="preserve">.  </w:t>
      </w:r>
    </w:p>
    <w:p w14:paraId="00D22BB6" w14:textId="3A5ED45E" w:rsidR="003A5F71" w:rsidRPr="003A79C6" w:rsidRDefault="00C5630E" w:rsidP="0086073D">
      <w:pPr>
        <w:suppressLineNumbers/>
        <w:spacing w:before="120" w:after="120" w:line="360" w:lineRule="auto"/>
        <w:ind w:firstLine="720"/>
        <w:jc w:val="both"/>
        <w:rPr>
          <w:rFonts w:ascii="Book Antiqua" w:hAnsi="Book Antiqua"/>
          <w:sz w:val="24"/>
          <w:szCs w:val="24"/>
          <w:lang w:val="es-PR"/>
        </w:rPr>
      </w:pPr>
      <w:r w:rsidRPr="003A79C6">
        <w:rPr>
          <w:rFonts w:ascii="Book Antiqua" w:hAnsi="Book Antiqua"/>
          <w:sz w:val="24"/>
          <w:szCs w:val="24"/>
          <w:lang w:val="es-PR"/>
        </w:rPr>
        <w:t>De otra parte</w:t>
      </w:r>
      <w:r w:rsidR="000B3183" w:rsidRPr="003A79C6">
        <w:rPr>
          <w:rFonts w:ascii="Book Antiqua" w:hAnsi="Book Antiqua"/>
          <w:sz w:val="24"/>
          <w:szCs w:val="24"/>
          <w:lang w:val="es-PR"/>
        </w:rPr>
        <w:t>,</w:t>
      </w:r>
      <w:r w:rsidR="003A5F71" w:rsidRPr="003A79C6">
        <w:rPr>
          <w:rFonts w:ascii="Book Antiqua" w:hAnsi="Book Antiqua"/>
          <w:sz w:val="24"/>
          <w:szCs w:val="24"/>
          <w:lang w:val="es-PR"/>
        </w:rPr>
        <w:t xml:space="preserve"> el tribunal</w:t>
      </w:r>
      <w:r w:rsidR="003A79C6" w:rsidRPr="003A79C6">
        <w:rPr>
          <w:rFonts w:ascii="Book Antiqua" w:hAnsi="Book Antiqua"/>
          <w:sz w:val="24"/>
          <w:szCs w:val="24"/>
          <w:lang w:val="es-PR"/>
        </w:rPr>
        <w:t>, a manera de excepción,</w:t>
      </w:r>
      <w:r w:rsidR="003A5F71" w:rsidRPr="003A79C6">
        <w:rPr>
          <w:rFonts w:ascii="Book Antiqua" w:hAnsi="Book Antiqua"/>
          <w:sz w:val="24"/>
          <w:szCs w:val="24"/>
          <w:lang w:val="es-PR"/>
        </w:rPr>
        <w:t xml:space="preserve"> podrá ordenar el descubrimiento de prueba sobre tales borradores o comunicaciones en la medida en que: (a) se refieran a la compensación por el estudio o testimonio del perito; (b) identifiquen hechos o datos proporcionados por el abogado de la parte y que el perito haya considerado al formar sus opiniones; o (c) identifiquen suposiciones proporcionadas por el abogado de la parte y en las que el perito haya basado sus opiniones. De esta forma, se </w:t>
      </w:r>
      <w:r w:rsidR="003A5F71" w:rsidRPr="004F691B">
        <w:rPr>
          <w:rFonts w:ascii="Book Antiqua" w:hAnsi="Book Antiqua"/>
          <w:strike/>
          <w:sz w:val="24"/>
          <w:szCs w:val="24"/>
          <w:lang w:val="es-PR"/>
        </w:rPr>
        <w:t>incorpora</w:t>
      </w:r>
      <w:r w:rsidR="003A5F71" w:rsidRPr="003A79C6">
        <w:rPr>
          <w:rFonts w:ascii="Book Antiqua" w:hAnsi="Book Antiqua"/>
          <w:sz w:val="24"/>
          <w:szCs w:val="24"/>
          <w:lang w:val="es-PR"/>
        </w:rPr>
        <w:t xml:space="preserve"> </w:t>
      </w:r>
      <w:r w:rsidR="004F691B">
        <w:rPr>
          <w:rFonts w:ascii="Book Antiqua" w:hAnsi="Book Antiqua"/>
          <w:i/>
          <w:iCs/>
          <w:sz w:val="24"/>
          <w:szCs w:val="24"/>
          <w:u w:val="single"/>
          <w:lang w:val="es-PR"/>
        </w:rPr>
        <w:t>incorporan</w:t>
      </w:r>
      <w:r w:rsidR="004F691B" w:rsidRPr="004F691B">
        <w:rPr>
          <w:rFonts w:ascii="Book Antiqua" w:hAnsi="Book Antiqua"/>
          <w:i/>
          <w:iCs/>
          <w:sz w:val="24"/>
          <w:szCs w:val="24"/>
          <w:lang w:val="es-PR"/>
        </w:rPr>
        <w:t xml:space="preserve"> </w:t>
      </w:r>
      <w:r w:rsidR="003A5F71" w:rsidRPr="003A79C6">
        <w:rPr>
          <w:rFonts w:ascii="Book Antiqua" w:hAnsi="Book Antiqua"/>
          <w:sz w:val="24"/>
          <w:szCs w:val="24"/>
          <w:lang w:val="es-PR"/>
        </w:rPr>
        <w:t xml:space="preserve">en nuestro cuerpo de reglas las enmiendas a la Regla 26 de Procedimiento Civil Federal, que entraron en vigor el 1 de diciembre de 2010. Estas enmiendas establecen un marco específico </w:t>
      </w:r>
      <w:r w:rsidR="003A79C6" w:rsidRPr="003A79C6">
        <w:rPr>
          <w:rFonts w:ascii="Book Antiqua" w:hAnsi="Book Antiqua"/>
          <w:sz w:val="24"/>
          <w:szCs w:val="24"/>
          <w:lang w:val="es-PR"/>
        </w:rPr>
        <w:t>que permitirá al</w:t>
      </w:r>
      <w:r w:rsidR="003A5F71" w:rsidRPr="003A79C6">
        <w:rPr>
          <w:rFonts w:ascii="Book Antiqua" w:hAnsi="Book Antiqua"/>
          <w:sz w:val="24"/>
          <w:szCs w:val="24"/>
          <w:lang w:val="es-PR"/>
        </w:rPr>
        <w:t xml:space="preserve"> tribunal ordenar el descubrimiento</w:t>
      </w:r>
      <w:r w:rsidR="003A79C6" w:rsidRPr="003A79C6">
        <w:rPr>
          <w:rFonts w:ascii="Book Antiqua" w:hAnsi="Book Antiqua"/>
          <w:sz w:val="24"/>
          <w:szCs w:val="24"/>
          <w:lang w:val="es-PR"/>
        </w:rPr>
        <w:t xml:space="preserve"> de pru</w:t>
      </w:r>
      <w:r w:rsidR="00E44D50">
        <w:rPr>
          <w:rFonts w:ascii="Book Antiqua" w:hAnsi="Book Antiqua"/>
          <w:sz w:val="24"/>
          <w:szCs w:val="24"/>
          <w:lang w:val="es-PR"/>
        </w:rPr>
        <w:t>e</w:t>
      </w:r>
      <w:r w:rsidR="003A79C6" w:rsidRPr="003A79C6">
        <w:rPr>
          <w:rFonts w:ascii="Book Antiqua" w:hAnsi="Book Antiqua"/>
          <w:sz w:val="24"/>
          <w:szCs w:val="24"/>
          <w:lang w:val="es-PR"/>
        </w:rPr>
        <w:t>ba</w:t>
      </w:r>
      <w:r w:rsidR="003A5F71" w:rsidRPr="003A79C6">
        <w:rPr>
          <w:rFonts w:ascii="Book Antiqua" w:hAnsi="Book Antiqua"/>
          <w:sz w:val="24"/>
          <w:szCs w:val="24"/>
          <w:lang w:val="es-PR"/>
        </w:rPr>
        <w:t>, balanceando la protección de la confidencialidad con la necesidad de acceso a información relevante y esencial para el caso.</w:t>
      </w:r>
    </w:p>
    <w:p w14:paraId="19E3863D" w14:textId="77777777" w:rsidR="006523AA" w:rsidRPr="00635F68" w:rsidRDefault="000B3183" w:rsidP="0086073D">
      <w:pPr>
        <w:suppressLineNumbers/>
        <w:spacing w:before="120" w:after="120" w:line="360" w:lineRule="auto"/>
        <w:ind w:firstLine="720"/>
        <w:jc w:val="both"/>
        <w:rPr>
          <w:rFonts w:ascii="Book Antiqua" w:hAnsi="Book Antiqua"/>
          <w:sz w:val="24"/>
          <w:szCs w:val="24"/>
          <w:lang w:val="es-PR"/>
        </w:rPr>
      </w:pPr>
      <w:r w:rsidRPr="0086073D">
        <w:rPr>
          <w:rFonts w:ascii="Book Antiqua" w:hAnsi="Book Antiqua"/>
          <w:sz w:val="24"/>
          <w:szCs w:val="24"/>
          <w:lang w:val="es-PR"/>
        </w:rPr>
        <w:t xml:space="preserve"> </w:t>
      </w:r>
      <w:r w:rsidR="009057AE" w:rsidRPr="0086073D">
        <w:rPr>
          <w:rFonts w:ascii="Book Antiqua" w:hAnsi="Book Antiqua"/>
          <w:sz w:val="24"/>
          <w:szCs w:val="24"/>
          <w:lang w:val="es-PR"/>
        </w:rPr>
        <w:t xml:space="preserve">En </w:t>
      </w:r>
      <w:r w:rsidRPr="0086073D">
        <w:rPr>
          <w:rFonts w:ascii="Book Antiqua" w:hAnsi="Book Antiqua"/>
          <w:sz w:val="24"/>
          <w:szCs w:val="24"/>
          <w:lang w:val="es-PR"/>
        </w:rPr>
        <w:t>conformidad</w:t>
      </w:r>
      <w:r>
        <w:rPr>
          <w:rFonts w:ascii="Book Antiqua" w:hAnsi="Book Antiqua"/>
          <w:sz w:val="24"/>
          <w:szCs w:val="24"/>
          <w:lang w:val="es-PR"/>
        </w:rPr>
        <w:t xml:space="preserve"> con</w:t>
      </w:r>
      <w:r w:rsidR="00EA0255" w:rsidRPr="00635F68">
        <w:rPr>
          <w:rFonts w:ascii="Book Antiqua" w:hAnsi="Book Antiqua"/>
          <w:sz w:val="24"/>
          <w:szCs w:val="24"/>
          <w:lang w:val="es-PR"/>
        </w:rPr>
        <w:t xml:space="preserve"> lo antes expuesto</w:t>
      </w:r>
      <w:r>
        <w:rPr>
          <w:rFonts w:ascii="Book Antiqua" w:hAnsi="Book Antiqua"/>
          <w:sz w:val="24"/>
          <w:szCs w:val="24"/>
          <w:lang w:val="es-PR"/>
        </w:rPr>
        <w:t>,</w:t>
      </w:r>
      <w:r w:rsidR="00EA0255" w:rsidRPr="00635F68">
        <w:rPr>
          <w:rFonts w:ascii="Book Antiqua" w:hAnsi="Book Antiqua"/>
          <w:sz w:val="24"/>
          <w:szCs w:val="24"/>
          <w:lang w:val="es-PR"/>
        </w:rPr>
        <w:t xml:space="preserve"> esta Asamblea Legislativa extiende la protección de la doctrina del producto del trabajo</w:t>
      </w:r>
      <w:r w:rsidR="00EA0255" w:rsidRPr="00635F68">
        <w:rPr>
          <w:rFonts w:ascii="Book Antiqua" w:hAnsi="Book Antiqua"/>
          <w:i/>
          <w:iCs/>
          <w:sz w:val="24"/>
          <w:szCs w:val="24"/>
          <w:lang w:val="es-PR"/>
        </w:rPr>
        <w:t xml:space="preserve"> (work product) </w:t>
      </w:r>
      <w:r w:rsidR="00EA0255" w:rsidRPr="00635F68">
        <w:rPr>
          <w:rFonts w:ascii="Book Antiqua" w:hAnsi="Book Antiqua"/>
          <w:sz w:val="24"/>
          <w:szCs w:val="24"/>
          <w:lang w:val="es-PR"/>
        </w:rPr>
        <w:t xml:space="preserve">del abogado a los borradores de los informes de los peritos retenidos para testificar y a las comunicaciones de los abogados con los expertos o peritos contratados.  </w:t>
      </w:r>
    </w:p>
    <w:p w14:paraId="48A19094" w14:textId="77777777" w:rsidR="006523AA" w:rsidRPr="00635F68" w:rsidRDefault="006523AA" w:rsidP="00F90DE7">
      <w:pPr>
        <w:suppressLineNumbers/>
        <w:spacing w:after="0" w:line="480" w:lineRule="auto"/>
        <w:jc w:val="both"/>
        <w:rPr>
          <w:rFonts w:ascii="Book Antiqua" w:hAnsi="Book Antiqua"/>
          <w:b/>
          <w:sz w:val="24"/>
          <w:szCs w:val="24"/>
          <w:lang w:val="es-PR"/>
        </w:rPr>
      </w:pPr>
      <w:r w:rsidRPr="00635F68">
        <w:rPr>
          <w:rFonts w:ascii="Book Antiqua" w:hAnsi="Book Antiqua"/>
          <w:b/>
          <w:color w:val="000000"/>
          <w:sz w:val="24"/>
          <w:szCs w:val="24"/>
          <w:lang w:val="es-ES_tradnl"/>
        </w:rPr>
        <w:t>DECRÉTASE</w:t>
      </w:r>
      <w:r w:rsidRPr="00635F68">
        <w:rPr>
          <w:rFonts w:ascii="Book Antiqua" w:hAnsi="Book Antiqua"/>
          <w:b/>
          <w:sz w:val="24"/>
          <w:szCs w:val="24"/>
          <w:lang w:val="es-PR"/>
        </w:rPr>
        <w:t xml:space="preserve"> POR LA ASAMBLEA LEGISLATIVA DE PUERTO RICO:</w:t>
      </w:r>
    </w:p>
    <w:p w14:paraId="79344881" w14:textId="77777777" w:rsidR="00E216E1" w:rsidRPr="00635F68" w:rsidRDefault="006523AA" w:rsidP="0086073D">
      <w:pPr>
        <w:spacing w:after="0" w:line="480" w:lineRule="auto"/>
        <w:ind w:firstLine="360"/>
        <w:jc w:val="both"/>
        <w:rPr>
          <w:rFonts w:ascii="Book Antiqua" w:hAnsi="Book Antiqua"/>
          <w:sz w:val="24"/>
          <w:szCs w:val="24"/>
          <w:lang w:val="es-PR"/>
        </w:rPr>
      </w:pPr>
      <w:r w:rsidRPr="00635F68">
        <w:rPr>
          <w:rFonts w:ascii="Book Antiqua" w:hAnsi="Book Antiqua"/>
          <w:sz w:val="24"/>
          <w:szCs w:val="24"/>
          <w:lang w:val="es-PR"/>
        </w:rPr>
        <w:t>Sección 1</w:t>
      </w:r>
      <w:r w:rsidR="001A6651" w:rsidRPr="00635F68">
        <w:rPr>
          <w:rFonts w:ascii="Book Antiqua" w:hAnsi="Book Antiqua"/>
          <w:sz w:val="24"/>
          <w:szCs w:val="24"/>
          <w:lang w:val="es-PR"/>
        </w:rPr>
        <w:t>.</w:t>
      </w:r>
      <w:r w:rsidRPr="00635F68">
        <w:rPr>
          <w:rFonts w:ascii="Book Antiqua" w:hAnsi="Book Antiqua"/>
          <w:sz w:val="24"/>
          <w:szCs w:val="24"/>
          <w:lang w:val="es-PR"/>
        </w:rPr>
        <w:t xml:space="preserve">– Se enmienda la Regla 23.1 de </w:t>
      </w:r>
      <w:r w:rsidR="00FD255F" w:rsidRPr="00635F68">
        <w:rPr>
          <w:rFonts w:ascii="Book Antiqua" w:hAnsi="Book Antiqua"/>
          <w:sz w:val="24"/>
          <w:szCs w:val="24"/>
          <w:lang w:val="es-PR"/>
        </w:rPr>
        <w:t>las</w:t>
      </w:r>
      <w:r w:rsidR="0001222D" w:rsidRPr="00635F68">
        <w:rPr>
          <w:rFonts w:ascii="Book Antiqua" w:hAnsi="Book Antiqua"/>
          <w:sz w:val="24"/>
          <w:szCs w:val="24"/>
          <w:lang w:val="es-PR"/>
        </w:rPr>
        <w:t xml:space="preserve"> Reglas</w:t>
      </w:r>
      <w:r w:rsidR="00FD255F" w:rsidRPr="00635F68">
        <w:rPr>
          <w:rFonts w:ascii="Book Antiqua" w:hAnsi="Book Antiqua"/>
          <w:sz w:val="24"/>
          <w:szCs w:val="24"/>
          <w:lang w:val="es-PR"/>
        </w:rPr>
        <w:t xml:space="preserve"> de </w:t>
      </w:r>
      <w:r w:rsidRPr="00635F68">
        <w:rPr>
          <w:rFonts w:ascii="Book Antiqua" w:hAnsi="Book Antiqua"/>
          <w:sz w:val="24"/>
          <w:szCs w:val="24"/>
          <w:lang w:val="es-PR"/>
        </w:rPr>
        <w:t>Procedimiento Civil de 2009,</w:t>
      </w:r>
      <w:r w:rsidR="00FD255F" w:rsidRPr="00635F68">
        <w:rPr>
          <w:rFonts w:ascii="Book Antiqua" w:hAnsi="Book Antiqua"/>
          <w:sz w:val="24"/>
          <w:szCs w:val="24"/>
          <w:lang w:val="es-PR"/>
        </w:rPr>
        <w:t xml:space="preserve"> según enmendadas,</w:t>
      </w:r>
      <w:r w:rsidRPr="00635F68">
        <w:rPr>
          <w:rFonts w:ascii="Book Antiqua" w:hAnsi="Book Antiqua"/>
          <w:sz w:val="24"/>
          <w:szCs w:val="24"/>
          <w:lang w:val="es-PR"/>
        </w:rPr>
        <w:t xml:space="preserve"> para que lea</w:t>
      </w:r>
      <w:r w:rsidR="009944FC" w:rsidRPr="00635F68">
        <w:rPr>
          <w:rFonts w:ascii="Book Antiqua" w:hAnsi="Book Antiqua"/>
          <w:sz w:val="24"/>
          <w:szCs w:val="24"/>
          <w:lang w:val="es-PR"/>
        </w:rPr>
        <w:t xml:space="preserve"> como sigue:</w:t>
      </w:r>
    </w:p>
    <w:p w14:paraId="65CE7100" w14:textId="77777777" w:rsidR="006523AA" w:rsidRPr="00635F68" w:rsidRDefault="006523AA" w:rsidP="00F90DE7">
      <w:pPr>
        <w:spacing w:after="0" w:line="480" w:lineRule="auto"/>
        <w:ind w:firstLine="360"/>
        <w:jc w:val="both"/>
        <w:rPr>
          <w:rFonts w:ascii="Book Antiqua" w:hAnsi="Book Antiqua"/>
          <w:sz w:val="24"/>
          <w:szCs w:val="24"/>
          <w:lang w:val="es-PR"/>
        </w:rPr>
      </w:pPr>
      <w:r w:rsidRPr="00635F68">
        <w:rPr>
          <w:rFonts w:ascii="Book Antiqua" w:hAnsi="Book Antiqua"/>
          <w:sz w:val="24"/>
          <w:szCs w:val="24"/>
          <w:lang w:val="es-PR"/>
        </w:rPr>
        <w:t>“Regla 23.1</w:t>
      </w:r>
      <w:r w:rsidR="001A2535" w:rsidRPr="00635F68">
        <w:rPr>
          <w:rFonts w:ascii="Book Antiqua" w:hAnsi="Book Antiqua"/>
          <w:sz w:val="24"/>
          <w:szCs w:val="24"/>
          <w:lang w:val="es-PR"/>
        </w:rPr>
        <w:t>.-</w:t>
      </w:r>
      <w:r w:rsidRPr="00635F68">
        <w:rPr>
          <w:rFonts w:ascii="Book Antiqua" w:hAnsi="Book Antiqua"/>
          <w:sz w:val="24"/>
          <w:szCs w:val="24"/>
          <w:lang w:val="es-PR"/>
        </w:rPr>
        <w:t xml:space="preserve"> Alcance del descubrimiento</w:t>
      </w:r>
      <w:r w:rsidR="001A2535" w:rsidRPr="00635F68">
        <w:rPr>
          <w:rFonts w:ascii="Book Antiqua" w:hAnsi="Book Antiqua"/>
          <w:sz w:val="24"/>
          <w:szCs w:val="24"/>
          <w:lang w:val="es-PR"/>
        </w:rPr>
        <w:t>.</w:t>
      </w:r>
    </w:p>
    <w:p w14:paraId="3BD1FBD2" w14:textId="77777777" w:rsidR="006523AA" w:rsidRPr="00635F68" w:rsidRDefault="006523AA" w:rsidP="00F90DE7">
      <w:pPr>
        <w:spacing w:after="0" w:line="480" w:lineRule="auto"/>
        <w:ind w:firstLine="630"/>
        <w:jc w:val="both"/>
        <w:rPr>
          <w:rFonts w:ascii="Book Antiqua" w:hAnsi="Book Antiqua"/>
          <w:sz w:val="24"/>
          <w:szCs w:val="24"/>
          <w:lang w:val="es-PR"/>
        </w:rPr>
      </w:pPr>
      <w:r w:rsidRPr="00635F68">
        <w:rPr>
          <w:rFonts w:ascii="Book Antiqua" w:hAnsi="Book Antiqua"/>
          <w:sz w:val="24"/>
          <w:szCs w:val="24"/>
          <w:lang w:val="es-PR"/>
        </w:rPr>
        <w:t xml:space="preserve">El alcance del descubrimiento de prueba, a menos que sea limitado de algún modo por el tribunal, en conformidad con las disposiciones de estas </w:t>
      </w:r>
      <w:r w:rsidR="001A2535" w:rsidRPr="00635F68">
        <w:rPr>
          <w:rFonts w:ascii="Book Antiqua" w:hAnsi="Book Antiqua"/>
          <w:sz w:val="24"/>
          <w:szCs w:val="24"/>
          <w:lang w:val="es-PR"/>
        </w:rPr>
        <w:t>R</w:t>
      </w:r>
      <w:r w:rsidRPr="00635F68">
        <w:rPr>
          <w:rFonts w:ascii="Book Antiqua" w:hAnsi="Book Antiqua"/>
          <w:sz w:val="24"/>
          <w:szCs w:val="24"/>
          <w:lang w:val="es-PR"/>
        </w:rPr>
        <w:t>eglas, será como sigue:</w:t>
      </w:r>
    </w:p>
    <w:p w14:paraId="01B67392" w14:textId="77777777" w:rsidR="006523AA" w:rsidRPr="00635F68" w:rsidRDefault="006523AA" w:rsidP="00B212DA">
      <w:pPr>
        <w:spacing w:after="0" w:line="480" w:lineRule="auto"/>
        <w:ind w:left="180"/>
        <w:jc w:val="both"/>
        <w:rPr>
          <w:rFonts w:ascii="Book Antiqua" w:hAnsi="Book Antiqua"/>
          <w:sz w:val="24"/>
          <w:szCs w:val="24"/>
          <w:lang w:val="es-PR"/>
        </w:rPr>
      </w:pPr>
      <w:r w:rsidRPr="00635F68">
        <w:rPr>
          <w:rFonts w:ascii="Book Antiqua" w:hAnsi="Book Antiqua"/>
          <w:sz w:val="24"/>
          <w:szCs w:val="24"/>
          <w:lang w:val="es-PR"/>
        </w:rPr>
        <w:t>(a)…</w:t>
      </w:r>
    </w:p>
    <w:p w14:paraId="4F7C5811" w14:textId="77777777" w:rsidR="006523AA" w:rsidRPr="00635F68" w:rsidRDefault="006523AA" w:rsidP="00B212DA">
      <w:pPr>
        <w:spacing w:after="0" w:line="480" w:lineRule="auto"/>
        <w:ind w:left="180"/>
        <w:jc w:val="both"/>
        <w:rPr>
          <w:rFonts w:ascii="Book Antiqua" w:hAnsi="Book Antiqua"/>
          <w:sz w:val="24"/>
          <w:szCs w:val="24"/>
          <w:lang w:val="es-PR"/>
        </w:rPr>
      </w:pPr>
      <w:r w:rsidRPr="00635F68">
        <w:rPr>
          <w:rFonts w:ascii="Book Antiqua" w:hAnsi="Book Antiqua"/>
          <w:sz w:val="24"/>
          <w:szCs w:val="24"/>
          <w:lang w:val="es-PR"/>
        </w:rPr>
        <w:t>(b)…</w:t>
      </w:r>
    </w:p>
    <w:p w14:paraId="704B6E93" w14:textId="77777777" w:rsidR="007A7AD8" w:rsidRPr="00635F68" w:rsidRDefault="006523AA" w:rsidP="00B212DA">
      <w:pPr>
        <w:spacing w:after="0" w:line="480" w:lineRule="auto"/>
        <w:ind w:left="180"/>
        <w:jc w:val="both"/>
        <w:rPr>
          <w:rFonts w:ascii="Book Antiqua" w:hAnsi="Book Antiqua"/>
          <w:sz w:val="24"/>
          <w:szCs w:val="24"/>
          <w:lang w:val="es-PR"/>
        </w:rPr>
      </w:pPr>
      <w:r w:rsidRPr="00635F68">
        <w:rPr>
          <w:rFonts w:ascii="Book Antiqua" w:hAnsi="Book Antiqua"/>
          <w:sz w:val="24"/>
          <w:szCs w:val="24"/>
          <w:lang w:val="es-PR"/>
        </w:rPr>
        <w:lastRenderedPageBreak/>
        <w:t>(c)</w:t>
      </w:r>
      <w:r w:rsidR="007A7AD8" w:rsidRPr="00635F68">
        <w:rPr>
          <w:rFonts w:ascii="Book Antiqua" w:hAnsi="Book Antiqua"/>
          <w:sz w:val="24"/>
          <w:szCs w:val="24"/>
          <w:lang w:val="es-PR"/>
        </w:rPr>
        <w:t xml:space="preserve"> Persona perita. — El descubrimiento de prueba pericial podrá llevarse a cabo como sigue: </w:t>
      </w:r>
    </w:p>
    <w:p w14:paraId="18DDEB8D" w14:textId="28544EEF" w:rsidR="006523AA" w:rsidRPr="0086073D" w:rsidRDefault="007A7AD8" w:rsidP="00B212DA">
      <w:pPr>
        <w:spacing w:after="0" w:line="480" w:lineRule="auto"/>
        <w:ind w:left="540"/>
        <w:jc w:val="both"/>
        <w:rPr>
          <w:rFonts w:ascii="Book Antiqua" w:hAnsi="Book Antiqua"/>
          <w:sz w:val="24"/>
          <w:szCs w:val="24"/>
          <w:lang w:val="es-PR"/>
        </w:rPr>
      </w:pPr>
      <w:r w:rsidRPr="00635F68">
        <w:rPr>
          <w:rFonts w:ascii="Book Antiqua" w:hAnsi="Book Antiqua"/>
          <w:sz w:val="24"/>
          <w:szCs w:val="24"/>
          <w:lang w:val="es-PR"/>
        </w:rPr>
        <w:t xml:space="preserve">(1) Una parte podrá, a través de interrogatorios, requerir a cualquier otra parte que suministre el nombre y la dirección de las personas peritas que haya consultado y de las que intente presentar en el juicio. Respecto a estos últimos, podrá requerirse a la parte que </w:t>
      </w:r>
      <w:r w:rsidRPr="0086073D">
        <w:rPr>
          <w:rFonts w:ascii="Book Antiqua" w:hAnsi="Book Antiqua"/>
          <w:sz w:val="24"/>
          <w:szCs w:val="24"/>
          <w:lang w:val="es-PR"/>
        </w:rPr>
        <w:t xml:space="preserve">exprese la materia sobre la cual la persona perita se propone declarar, así como un resumen de sus opiniones y una breve expresión de las teorías, los hechos o los argumentos que sostienen las opiniones. </w:t>
      </w:r>
      <w:bookmarkStart w:id="2" w:name="_Hlk182044746"/>
      <w:r w:rsidR="00F736F3" w:rsidRPr="0086073D">
        <w:rPr>
          <w:rFonts w:ascii="Book Antiqua" w:hAnsi="Book Antiqua"/>
          <w:sz w:val="24"/>
          <w:szCs w:val="24"/>
          <w:lang w:val="es-PR"/>
        </w:rPr>
        <w:t>L</w:t>
      </w:r>
      <w:r w:rsidR="00AF1A09" w:rsidRPr="0086073D">
        <w:rPr>
          <w:rFonts w:ascii="Book Antiqua" w:hAnsi="Book Antiqua"/>
          <w:sz w:val="24"/>
          <w:szCs w:val="24"/>
          <w:lang w:val="es-PR"/>
        </w:rPr>
        <w:t xml:space="preserve">os borradores de </w:t>
      </w:r>
      <w:r w:rsidR="00F736F3" w:rsidRPr="0086073D">
        <w:rPr>
          <w:rFonts w:ascii="Book Antiqua" w:hAnsi="Book Antiqua"/>
          <w:sz w:val="24"/>
          <w:szCs w:val="24"/>
          <w:lang w:val="es-PR"/>
        </w:rPr>
        <w:t>los</w:t>
      </w:r>
      <w:r w:rsidR="00AF1A09" w:rsidRPr="0086073D">
        <w:rPr>
          <w:rFonts w:ascii="Book Antiqua" w:hAnsi="Book Antiqua"/>
          <w:sz w:val="24"/>
          <w:szCs w:val="24"/>
          <w:lang w:val="es-PR"/>
        </w:rPr>
        <w:t xml:space="preserve"> informe</w:t>
      </w:r>
      <w:r w:rsidR="00F736F3" w:rsidRPr="0086073D">
        <w:rPr>
          <w:rFonts w:ascii="Book Antiqua" w:hAnsi="Book Antiqua"/>
          <w:sz w:val="24"/>
          <w:szCs w:val="24"/>
          <w:lang w:val="es-PR"/>
        </w:rPr>
        <w:t>s</w:t>
      </w:r>
      <w:r w:rsidR="00AF1A09" w:rsidRPr="0086073D">
        <w:rPr>
          <w:rFonts w:ascii="Book Antiqua" w:hAnsi="Book Antiqua"/>
          <w:sz w:val="24"/>
          <w:szCs w:val="24"/>
          <w:lang w:val="es-PR"/>
        </w:rPr>
        <w:t xml:space="preserve"> </w:t>
      </w:r>
      <w:r w:rsidR="00F736F3" w:rsidRPr="0086073D">
        <w:rPr>
          <w:rFonts w:ascii="Book Antiqua" w:hAnsi="Book Antiqua"/>
          <w:sz w:val="24"/>
          <w:szCs w:val="24"/>
          <w:lang w:val="es-PR"/>
        </w:rPr>
        <w:t>preparados por</w:t>
      </w:r>
      <w:r w:rsidR="00AF1A09" w:rsidRPr="0086073D">
        <w:rPr>
          <w:rFonts w:ascii="Book Antiqua" w:hAnsi="Book Antiqua"/>
          <w:sz w:val="24"/>
          <w:szCs w:val="24"/>
          <w:lang w:val="es-PR"/>
        </w:rPr>
        <w:t xml:space="preserve"> la</w:t>
      </w:r>
      <w:r w:rsidR="006E1B2A" w:rsidRPr="0086073D">
        <w:rPr>
          <w:rFonts w:ascii="Book Antiqua" w:hAnsi="Book Antiqua"/>
          <w:sz w:val="24"/>
          <w:szCs w:val="24"/>
          <w:lang w:val="es-PR"/>
        </w:rPr>
        <w:t>s</w:t>
      </w:r>
      <w:r w:rsidR="00AF1A09" w:rsidRPr="0086073D">
        <w:rPr>
          <w:rFonts w:ascii="Book Antiqua" w:hAnsi="Book Antiqua"/>
          <w:sz w:val="24"/>
          <w:szCs w:val="24"/>
          <w:lang w:val="es-PR"/>
        </w:rPr>
        <w:t xml:space="preserve"> persona</w:t>
      </w:r>
      <w:r w:rsidR="006E1B2A" w:rsidRPr="0086073D">
        <w:rPr>
          <w:rFonts w:ascii="Book Antiqua" w:hAnsi="Book Antiqua"/>
          <w:sz w:val="24"/>
          <w:szCs w:val="24"/>
          <w:lang w:val="es-PR"/>
        </w:rPr>
        <w:t>s</w:t>
      </w:r>
      <w:r w:rsidR="00AF1A09" w:rsidRPr="0086073D">
        <w:rPr>
          <w:rFonts w:ascii="Book Antiqua" w:hAnsi="Book Antiqua"/>
          <w:sz w:val="24"/>
          <w:szCs w:val="24"/>
          <w:lang w:val="es-PR"/>
        </w:rPr>
        <w:t xml:space="preserve"> perita</w:t>
      </w:r>
      <w:r w:rsidR="006E1B2A" w:rsidRPr="0086073D">
        <w:rPr>
          <w:rFonts w:ascii="Book Antiqua" w:hAnsi="Book Antiqua"/>
          <w:sz w:val="24"/>
          <w:szCs w:val="24"/>
          <w:lang w:val="es-PR"/>
        </w:rPr>
        <w:t>s</w:t>
      </w:r>
      <w:r w:rsidR="00F736F3" w:rsidRPr="0086073D">
        <w:rPr>
          <w:rFonts w:ascii="Book Antiqua" w:hAnsi="Book Antiqua"/>
          <w:sz w:val="24"/>
          <w:szCs w:val="24"/>
          <w:lang w:val="es-PR"/>
        </w:rPr>
        <w:t xml:space="preserve">, así como las comunicaciones entre el abogado y </w:t>
      </w:r>
      <w:r w:rsidR="006E1B2A" w:rsidRPr="0086073D">
        <w:rPr>
          <w:rFonts w:ascii="Book Antiqua" w:hAnsi="Book Antiqua"/>
          <w:sz w:val="24"/>
          <w:szCs w:val="24"/>
          <w:lang w:val="es-PR"/>
        </w:rPr>
        <w:t>la</w:t>
      </w:r>
      <w:r w:rsidR="00F736F3" w:rsidRPr="0086073D">
        <w:rPr>
          <w:rFonts w:ascii="Book Antiqua" w:hAnsi="Book Antiqua"/>
          <w:sz w:val="24"/>
          <w:szCs w:val="24"/>
          <w:lang w:val="es-PR"/>
        </w:rPr>
        <w:t xml:space="preserve"> persona perita </w:t>
      </w:r>
      <w:r w:rsidR="00AF1A09" w:rsidRPr="0086073D">
        <w:rPr>
          <w:rFonts w:ascii="Book Antiqua" w:hAnsi="Book Antiqua"/>
          <w:sz w:val="24"/>
          <w:szCs w:val="24"/>
          <w:lang w:val="es-PR"/>
        </w:rPr>
        <w:t>están</w:t>
      </w:r>
      <w:r w:rsidR="00FC71B8" w:rsidRPr="0086073D">
        <w:rPr>
          <w:rFonts w:ascii="Book Antiqua" w:hAnsi="Book Antiqua"/>
          <w:sz w:val="24"/>
          <w:szCs w:val="24"/>
          <w:lang w:val="es-PR"/>
        </w:rPr>
        <w:t xml:space="preserve"> protegidas por la doctrina del producto del trabajo (</w:t>
      </w:r>
      <w:r w:rsidR="00FC71B8" w:rsidRPr="0086073D">
        <w:rPr>
          <w:rFonts w:ascii="Book Antiqua" w:hAnsi="Book Antiqua"/>
          <w:i/>
          <w:iCs/>
          <w:sz w:val="24"/>
          <w:szCs w:val="24"/>
          <w:lang w:val="es-PR"/>
        </w:rPr>
        <w:t>work product</w:t>
      </w:r>
      <w:r w:rsidR="00FC71B8" w:rsidRPr="0086073D">
        <w:rPr>
          <w:rFonts w:ascii="Book Antiqua" w:hAnsi="Book Antiqua"/>
          <w:sz w:val="24"/>
          <w:szCs w:val="24"/>
          <w:lang w:val="es-PR"/>
        </w:rPr>
        <w:t>) del abogado</w:t>
      </w:r>
      <w:bookmarkEnd w:id="2"/>
      <w:r w:rsidR="00BF7DC3" w:rsidRPr="001351E6">
        <w:rPr>
          <w:rFonts w:ascii="Book Antiqua" w:hAnsi="Book Antiqua"/>
          <w:strike/>
          <w:sz w:val="24"/>
          <w:szCs w:val="24"/>
          <w:lang w:val="es-PR"/>
        </w:rPr>
        <w:t xml:space="preserve">, </w:t>
      </w:r>
      <w:proofErr w:type="gramStart"/>
      <w:r w:rsidR="00BF7DC3" w:rsidRPr="001351E6">
        <w:rPr>
          <w:rFonts w:ascii="Book Antiqua" w:hAnsi="Book Antiqua"/>
          <w:strike/>
          <w:sz w:val="24"/>
          <w:szCs w:val="24"/>
          <w:lang w:val="es-PR"/>
        </w:rPr>
        <w:t>y</w:t>
      </w:r>
      <w:proofErr w:type="gramEnd"/>
      <w:r w:rsidR="00BF7DC3" w:rsidRPr="001351E6">
        <w:rPr>
          <w:rFonts w:ascii="Book Antiqua" w:hAnsi="Book Antiqua"/>
          <w:strike/>
          <w:sz w:val="24"/>
          <w:szCs w:val="24"/>
          <w:lang w:val="es-PR"/>
        </w:rPr>
        <w:t xml:space="preserve"> por ende</w:t>
      </w:r>
      <w:r w:rsidR="001351E6">
        <w:rPr>
          <w:rFonts w:ascii="Book Antiqua" w:hAnsi="Book Antiqua"/>
          <w:i/>
          <w:iCs/>
          <w:sz w:val="24"/>
          <w:szCs w:val="24"/>
          <w:u w:val="single"/>
          <w:lang w:val="es-PR"/>
        </w:rPr>
        <w:t>. Por ende,</w:t>
      </w:r>
      <w:r w:rsidR="009057AE" w:rsidRPr="0086073D">
        <w:rPr>
          <w:rFonts w:ascii="Book Antiqua" w:hAnsi="Book Antiqua"/>
          <w:sz w:val="24"/>
          <w:szCs w:val="24"/>
          <w:lang w:val="es-PR"/>
        </w:rPr>
        <w:t xml:space="preserve"> quedan</w:t>
      </w:r>
      <w:r w:rsidR="00AF1A09" w:rsidRPr="0086073D">
        <w:rPr>
          <w:rFonts w:ascii="Book Antiqua" w:hAnsi="Book Antiqua"/>
          <w:sz w:val="24"/>
          <w:szCs w:val="24"/>
          <w:lang w:val="es-PR"/>
        </w:rPr>
        <w:t xml:space="preserve"> fuera del alcance del descubrimiento de prueba, independientemente de la forma y medio en el que se redacte y se conserve el borrador</w:t>
      </w:r>
      <w:r w:rsidR="00F736F3" w:rsidRPr="0086073D">
        <w:rPr>
          <w:rFonts w:ascii="Book Antiqua" w:hAnsi="Book Antiqua"/>
          <w:sz w:val="24"/>
          <w:szCs w:val="24"/>
          <w:lang w:val="es-PR"/>
        </w:rPr>
        <w:t xml:space="preserve"> o las comunicaciones</w:t>
      </w:r>
      <w:r w:rsidR="00AF1A09" w:rsidRPr="0086073D">
        <w:rPr>
          <w:rFonts w:ascii="Book Antiqua" w:hAnsi="Book Antiqua"/>
          <w:sz w:val="24"/>
          <w:szCs w:val="24"/>
          <w:lang w:val="es-PR"/>
        </w:rPr>
        <w:t xml:space="preserve">. </w:t>
      </w:r>
      <w:r w:rsidR="007E4A7F" w:rsidRPr="0086073D">
        <w:rPr>
          <w:rFonts w:ascii="Book Antiqua" w:hAnsi="Book Antiqua"/>
          <w:sz w:val="24"/>
          <w:szCs w:val="24"/>
          <w:lang w:val="es-PR"/>
        </w:rPr>
        <w:t>A manera de excepción, el tribunal podrá ordenar el descubrimiento de prueba sobre tales borradores o comunicaciones en la medida</w:t>
      </w:r>
      <w:r w:rsidR="00BA5EF1" w:rsidRPr="0086073D">
        <w:rPr>
          <w:rFonts w:ascii="Book Antiqua" w:hAnsi="Book Antiqua"/>
          <w:sz w:val="24"/>
          <w:szCs w:val="24"/>
          <w:lang w:val="es-PR"/>
        </w:rPr>
        <w:t xml:space="preserve"> en que</w:t>
      </w:r>
      <w:r w:rsidR="007E4A7F" w:rsidRPr="0086073D">
        <w:rPr>
          <w:rFonts w:ascii="Book Antiqua" w:hAnsi="Book Antiqua"/>
          <w:sz w:val="24"/>
          <w:szCs w:val="24"/>
          <w:lang w:val="es-PR"/>
        </w:rPr>
        <w:t>: (</w:t>
      </w:r>
      <w:r w:rsidR="00BA5EF1" w:rsidRPr="0086073D">
        <w:rPr>
          <w:rFonts w:ascii="Book Antiqua" w:hAnsi="Book Antiqua"/>
          <w:sz w:val="24"/>
          <w:szCs w:val="24"/>
          <w:lang w:val="es-PR"/>
        </w:rPr>
        <w:t>a</w:t>
      </w:r>
      <w:r w:rsidR="007E4A7F" w:rsidRPr="0086073D">
        <w:rPr>
          <w:rFonts w:ascii="Book Antiqua" w:hAnsi="Book Antiqua"/>
          <w:sz w:val="24"/>
          <w:szCs w:val="24"/>
          <w:lang w:val="es-PR"/>
        </w:rPr>
        <w:t>) se refieran a la compensación por el estudio o testimonio del perito; (</w:t>
      </w:r>
      <w:r w:rsidR="00BA5EF1" w:rsidRPr="0086073D">
        <w:rPr>
          <w:rFonts w:ascii="Book Antiqua" w:hAnsi="Book Antiqua"/>
          <w:sz w:val="24"/>
          <w:szCs w:val="24"/>
          <w:lang w:val="es-PR"/>
        </w:rPr>
        <w:t>b</w:t>
      </w:r>
      <w:r w:rsidR="007E4A7F" w:rsidRPr="0086073D">
        <w:rPr>
          <w:rFonts w:ascii="Book Antiqua" w:hAnsi="Book Antiqua"/>
          <w:sz w:val="24"/>
          <w:szCs w:val="24"/>
          <w:lang w:val="es-PR"/>
        </w:rPr>
        <w:t xml:space="preserve">) identifiquen hechos o datos proporcionados por el abogado de la parte y que el perito haya considerado al formar </w:t>
      </w:r>
      <w:r w:rsidR="00BA5EF1" w:rsidRPr="0086073D">
        <w:rPr>
          <w:rFonts w:ascii="Book Antiqua" w:hAnsi="Book Antiqua"/>
          <w:sz w:val="24"/>
          <w:szCs w:val="24"/>
          <w:lang w:val="es-PR"/>
        </w:rPr>
        <w:t>sus</w:t>
      </w:r>
      <w:r w:rsidR="007E4A7F" w:rsidRPr="0086073D">
        <w:rPr>
          <w:rFonts w:ascii="Book Antiqua" w:hAnsi="Book Antiqua"/>
          <w:sz w:val="24"/>
          <w:szCs w:val="24"/>
          <w:lang w:val="es-PR"/>
        </w:rPr>
        <w:t xml:space="preserve"> opiniones; o (</w:t>
      </w:r>
      <w:r w:rsidR="00BA5EF1" w:rsidRPr="0086073D">
        <w:rPr>
          <w:rFonts w:ascii="Book Antiqua" w:hAnsi="Book Antiqua"/>
          <w:sz w:val="24"/>
          <w:szCs w:val="24"/>
          <w:lang w:val="es-PR"/>
        </w:rPr>
        <w:t>c</w:t>
      </w:r>
      <w:r w:rsidR="007E4A7F" w:rsidRPr="0086073D">
        <w:rPr>
          <w:rFonts w:ascii="Book Antiqua" w:hAnsi="Book Antiqua"/>
          <w:sz w:val="24"/>
          <w:szCs w:val="24"/>
          <w:lang w:val="es-PR"/>
        </w:rPr>
        <w:t xml:space="preserve">) identifiquen suposiciones proporcionadas por el abogado de la parte y en las que el perito haya basado sus opiniones. </w:t>
      </w:r>
      <w:r w:rsidRPr="0086073D">
        <w:rPr>
          <w:rFonts w:ascii="Book Antiqua" w:hAnsi="Book Antiqua"/>
          <w:sz w:val="24"/>
          <w:szCs w:val="24"/>
          <w:lang w:val="es-PR"/>
        </w:rPr>
        <w:t>A solicitud de parte, el tribunal podrá ordenar el descubrimiento de prueba pericial por cualquier otro medio, sujeto a aquellas condiciones o limitaciones que estime razonables.</w:t>
      </w:r>
      <w:r w:rsidR="006F2B4D" w:rsidRPr="0086073D">
        <w:rPr>
          <w:rFonts w:ascii="Book Antiqua" w:hAnsi="Book Antiqua"/>
          <w:sz w:val="24"/>
          <w:szCs w:val="24"/>
          <w:lang w:val="es-PR"/>
        </w:rPr>
        <w:t xml:space="preserve"> </w:t>
      </w:r>
    </w:p>
    <w:p w14:paraId="14A2344D" w14:textId="77777777" w:rsidR="006523AA" w:rsidRPr="00146578" w:rsidRDefault="006523AA" w:rsidP="00B212DA">
      <w:pPr>
        <w:widowControl w:val="0"/>
        <w:spacing w:after="0" w:line="480" w:lineRule="auto"/>
        <w:ind w:left="540"/>
        <w:jc w:val="both"/>
        <w:rPr>
          <w:rFonts w:ascii="Book Antiqua" w:hAnsi="Book Antiqua"/>
          <w:sz w:val="24"/>
          <w:szCs w:val="24"/>
          <w:lang w:val="es-PR"/>
        </w:rPr>
      </w:pPr>
      <w:r w:rsidRPr="00146578">
        <w:rPr>
          <w:rFonts w:ascii="Book Antiqua" w:hAnsi="Book Antiqua"/>
          <w:sz w:val="24"/>
          <w:szCs w:val="24"/>
          <w:lang w:val="es-PR"/>
        </w:rPr>
        <w:tab/>
        <w:t>(2) …</w:t>
      </w:r>
    </w:p>
    <w:p w14:paraId="2DBD2AAB" w14:textId="77777777" w:rsidR="00DB322F" w:rsidRPr="00146578" w:rsidRDefault="00DB322F" w:rsidP="00B212DA">
      <w:pPr>
        <w:widowControl w:val="0"/>
        <w:spacing w:after="0" w:line="480" w:lineRule="auto"/>
        <w:ind w:left="540"/>
        <w:jc w:val="both"/>
        <w:rPr>
          <w:rFonts w:ascii="Book Antiqua" w:hAnsi="Book Antiqua"/>
          <w:sz w:val="24"/>
          <w:szCs w:val="24"/>
          <w:lang w:val="es-PR"/>
        </w:rPr>
      </w:pPr>
      <w:r w:rsidRPr="00146578">
        <w:rPr>
          <w:rFonts w:ascii="Book Antiqua" w:hAnsi="Book Antiqua"/>
          <w:sz w:val="24"/>
          <w:szCs w:val="24"/>
          <w:lang w:val="es-PR"/>
        </w:rPr>
        <w:lastRenderedPageBreak/>
        <w:tab/>
        <w:t>(3) …</w:t>
      </w:r>
    </w:p>
    <w:p w14:paraId="4D1A9A8B" w14:textId="77777777" w:rsidR="00DB322F" w:rsidRPr="00146578" w:rsidRDefault="00DB322F" w:rsidP="00B212DA">
      <w:pPr>
        <w:widowControl w:val="0"/>
        <w:spacing w:after="0" w:line="480" w:lineRule="auto"/>
        <w:ind w:left="540"/>
        <w:jc w:val="both"/>
        <w:rPr>
          <w:rFonts w:ascii="Book Antiqua" w:hAnsi="Book Antiqua"/>
          <w:sz w:val="24"/>
          <w:szCs w:val="24"/>
          <w:lang w:val="es-PR"/>
        </w:rPr>
      </w:pPr>
      <w:r w:rsidRPr="00146578">
        <w:rPr>
          <w:rFonts w:ascii="Book Antiqua" w:hAnsi="Book Antiqua"/>
          <w:sz w:val="24"/>
          <w:szCs w:val="24"/>
          <w:lang w:val="es-PR"/>
        </w:rPr>
        <w:tab/>
        <w:t>(4) …</w:t>
      </w:r>
    </w:p>
    <w:p w14:paraId="10A797B9" w14:textId="77777777" w:rsidR="00DB322F" w:rsidRPr="00146578" w:rsidRDefault="00DB322F" w:rsidP="00B212DA">
      <w:pPr>
        <w:widowControl w:val="0"/>
        <w:spacing w:after="0" w:line="480" w:lineRule="auto"/>
        <w:ind w:left="180"/>
        <w:jc w:val="both"/>
        <w:rPr>
          <w:rFonts w:ascii="Book Antiqua" w:hAnsi="Book Antiqua"/>
          <w:sz w:val="24"/>
          <w:szCs w:val="24"/>
          <w:lang w:val="es-PR"/>
        </w:rPr>
      </w:pPr>
      <w:r w:rsidRPr="00146578">
        <w:rPr>
          <w:rFonts w:ascii="Book Antiqua" w:hAnsi="Book Antiqua"/>
          <w:sz w:val="24"/>
          <w:szCs w:val="24"/>
          <w:lang w:val="es-PR"/>
        </w:rPr>
        <w:t>(d) …</w:t>
      </w:r>
    </w:p>
    <w:p w14:paraId="087443CA" w14:textId="77777777" w:rsidR="00DB322F" w:rsidRPr="00146578" w:rsidRDefault="00DB322F" w:rsidP="00B212DA">
      <w:pPr>
        <w:widowControl w:val="0"/>
        <w:spacing w:after="0" w:line="480" w:lineRule="auto"/>
        <w:ind w:left="180"/>
        <w:jc w:val="both"/>
        <w:rPr>
          <w:rFonts w:ascii="Book Antiqua" w:hAnsi="Book Antiqua"/>
          <w:sz w:val="24"/>
          <w:szCs w:val="24"/>
          <w:lang w:val="es-PR"/>
        </w:rPr>
      </w:pPr>
      <w:r w:rsidRPr="00146578">
        <w:rPr>
          <w:rFonts w:ascii="Book Antiqua" w:hAnsi="Book Antiqua"/>
          <w:sz w:val="24"/>
          <w:szCs w:val="24"/>
          <w:lang w:val="es-PR"/>
        </w:rPr>
        <w:t>(e) …</w:t>
      </w:r>
    </w:p>
    <w:p w14:paraId="6F595CF8" w14:textId="77777777" w:rsidR="00DB322F" w:rsidRPr="00146578" w:rsidRDefault="00DB322F" w:rsidP="005A6465">
      <w:pPr>
        <w:widowControl w:val="0"/>
        <w:spacing w:after="0" w:line="480" w:lineRule="auto"/>
        <w:ind w:left="810" w:hanging="540"/>
        <w:jc w:val="both"/>
        <w:rPr>
          <w:rFonts w:ascii="Book Antiqua" w:hAnsi="Book Antiqua"/>
          <w:sz w:val="24"/>
          <w:szCs w:val="24"/>
          <w:lang w:val="es-PR"/>
        </w:rPr>
      </w:pPr>
      <w:r w:rsidRPr="00146578">
        <w:rPr>
          <w:rFonts w:ascii="Book Antiqua" w:hAnsi="Book Antiqua"/>
          <w:sz w:val="24"/>
          <w:szCs w:val="24"/>
          <w:lang w:val="es-PR"/>
        </w:rPr>
        <w:tab/>
        <w:t>(1) …</w:t>
      </w:r>
    </w:p>
    <w:p w14:paraId="525085F6" w14:textId="77777777" w:rsidR="00DB322F" w:rsidRPr="00146578" w:rsidRDefault="00DB322F" w:rsidP="005A6465">
      <w:pPr>
        <w:widowControl w:val="0"/>
        <w:spacing w:after="0" w:line="480" w:lineRule="auto"/>
        <w:ind w:left="810" w:hanging="540"/>
        <w:jc w:val="both"/>
        <w:rPr>
          <w:rFonts w:ascii="Book Antiqua" w:hAnsi="Book Antiqua"/>
          <w:sz w:val="24"/>
          <w:szCs w:val="24"/>
          <w:lang w:val="es-PR"/>
        </w:rPr>
      </w:pPr>
      <w:r w:rsidRPr="00146578">
        <w:rPr>
          <w:rFonts w:ascii="Book Antiqua" w:hAnsi="Book Antiqua"/>
          <w:sz w:val="24"/>
          <w:szCs w:val="24"/>
          <w:lang w:val="es-PR"/>
        </w:rPr>
        <w:tab/>
        <w:t>(2) …</w:t>
      </w:r>
    </w:p>
    <w:p w14:paraId="76300F8C" w14:textId="77777777" w:rsidR="00DB322F" w:rsidRPr="00635F68" w:rsidRDefault="0086073D" w:rsidP="005A6465">
      <w:pPr>
        <w:widowControl w:val="0"/>
        <w:spacing w:after="0" w:line="480" w:lineRule="auto"/>
        <w:ind w:left="810"/>
        <w:jc w:val="both"/>
        <w:rPr>
          <w:rFonts w:ascii="Book Antiqua" w:hAnsi="Book Antiqua"/>
          <w:sz w:val="24"/>
          <w:szCs w:val="24"/>
          <w:lang w:val="es-PR"/>
        </w:rPr>
      </w:pPr>
      <w:r>
        <w:rPr>
          <w:rFonts w:ascii="Book Antiqua" w:hAnsi="Book Antiqua"/>
          <w:sz w:val="24"/>
          <w:szCs w:val="24"/>
          <w:lang w:val="es-PR"/>
        </w:rPr>
        <w:t xml:space="preserve">      </w:t>
      </w:r>
      <w:r w:rsidR="00DB322F" w:rsidRPr="00635F68">
        <w:rPr>
          <w:rFonts w:ascii="Book Antiqua" w:hAnsi="Book Antiqua"/>
          <w:sz w:val="24"/>
          <w:szCs w:val="24"/>
          <w:lang w:val="es-PR"/>
        </w:rPr>
        <w:t>…”</w:t>
      </w:r>
    </w:p>
    <w:p w14:paraId="2CD15E41" w14:textId="77777777" w:rsidR="006523AA" w:rsidRPr="00635F68" w:rsidRDefault="006523AA" w:rsidP="00F90DE7">
      <w:pPr>
        <w:spacing w:after="0" w:line="480" w:lineRule="auto"/>
        <w:ind w:firstLine="540"/>
        <w:jc w:val="both"/>
        <w:rPr>
          <w:rFonts w:ascii="Book Antiqua" w:hAnsi="Book Antiqua"/>
          <w:sz w:val="24"/>
          <w:szCs w:val="24"/>
          <w:lang w:val="es-PR"/>
        </w:rPr>
      </w:pPr>
      <w:r w:rsidRPr="00635F68">
        <w:rPr>
          <w:rFonts w:ascii="Book Antiqua" w:hAnsi="Book Antiqua"/>
          <w:sz w:val="24"/>
          <w:szCs w:val="24"/>
          <w:lang w:val="es-PR"/>
        </w:rPr>
        <w:t>Sección 2</w:t>
      </w:r>
      <w:r w:rsidR="001A6651" w:rsidRPr="00635F68">
        <w:rPr>
          <w:rFonts w:ascii="Book Antiqua" w:hAnsi="Book Antiqua"/>
          <w:sz w:val="24"/>
          <w:szCs w:val="24"/>
          <w:lang w:val="es-PR"/>
        </w:rPr>
        <w:t>.</w:t>
      </w:r>
      <w:r w:rsidR="0086073D">
        <w:rPr>
          <w:rFonts w:ascii="Book Antiqua" w:hAnsi="Book Antiqua"/>
          <w:sz w:val="24"/>
          <w:szCs w:val="24"/>
          <w:lang w:val="es-PR"/>
        </w:rPr>
        <w:t>-</w:t>
      </w:r>
      <w:r w:rsidRPr="00635F68">
        <w:rPr>
          <w:rFonts w:ascii="Book Antiqua" w:hAnsi="Book Antiqua"/>
          <w:sz w:val="24"/>
          <w:szCs w:val="24"/>
          <w:lang w:val="es-PR"/>
        </w:rPr>
        <w:t xml:space="preserve"> Vigencia</w:t>
      </w:r>
      <w:r w:rsidR="005434C4" w:rsidRPr="00635F68">
        <w:rPr>
          <w:rFonts w:ascii="Book Antiqua" w:hAnsi="Book Antiqua"/>
          <w:sz w:val="24"/>
          <w:szCs w:val="24"/>
          <w:lang w:val="es-PR"/>
        </w:rPr>
        <w:t>.</w:t>
      </w:r>
    </w:p>
    <w:p w14:paraId="7719A8C5" w14:textId="77777777" w:rsidR="006523AA" w:rsidRDefault="006523AA" w:rsidP="00F90DE7">
      <w:pPr>
        <w:widowControl w:val="0"/>
        <w:spacing w:after="0" w:line="480" w:lineRule="auto"/>
        <w:ind w:firstLine="540"/>
        <w:jc w:val="both"/>
        <w:rPr>
          <w:rFonts w:ascii="Book Antiqua" w:hAnsi="Book Antiqua"/>
          <w:sz w:val="24"/>
          <w:szCs w:val="24"/>
          <w:lang w:val="es-PR"/>
        </w:rPr>
      </w:pPr>
      <w:r w:rsidRPr="00635F68">
        <w:rPr>
          <w:rFonts w:ascii="Book Antiqua" w:hAnsi="Book Antiqua"/>
          <w:sz w:val="24"/>
          <w:szCs w:val="24"/>
          <w:lang w:val="es-PR"/>
        </w:rPr>
        <w:t>Esta Ley comenzará a regir inmediatamente después de su aprobación</w:t>
      </w:r>
      <w:r w:rsidR="00EE6235" w:rsidRPr="00635F68">
        <w:rPr>
          <w:rFonts w:ascii="Book Antiqua" w:hAnsi="Book Antiqua"/>
          <w:sz w:val="24"/>
          <w:szCs w:val="24"/>
          <w:lang w:val="es-PR"/>
        </w:rPr>
        <w:t>.</w:t>
      </w:r>
      <w:r w:rsidRPr="00635F68">
        <w:rPr>
          <w:rFonts w:ascii="Book Antiqua" w:hAnsi="Book Antiqua"/>
          <w:sz w:val="24"/>
          <w:szCs w:val="24"/>
          <w:lang w:val="es-PR"/>
        </w:rPr>
        <w:t xml:space="preserve"> </w:t>
      </w:r>
    </w:p>
    <w:p w14:paraId="2E6C8082" w14:textId="77777777" w:rsidR="00E17B04" w:rsidRDefault="00E17B04" w:rsidP="00E17B04">
      <w:pPr>
        <w:widowControl w:val="0"/>
        <w:suppressLineNumbers/>
        <w:spacing w:after="0" w:line="480" w:lineRule="auto"/>
        <w:ind w:firstLine="540"/>
        <w:jc w:val="both"/>
        <w:rPr>
          <w:rFonts w:ascii="Book Antiqua" w:hAnsi="Book Antiqua"/>
          <w:sz w:val="24"/>
          <w:szCs w:val="24"/>
          <w:lang w:val="es-PR"/>
        </w:rPr>
      </w:pPr>
    </w:p>
    <w:p w14:paraId="138AC748" w14:textId="77777777" w:rsidR="00076204" w:rsidRPr="00635F68" w:rsidRDefault="00076204" w:rsidP="00076204">
      <w:pPr>
        <w:suppressLineNumbers/>
        <w:spacing w:after="0" w:line="240" w:lineRule="auto"/>
        <w:ind w:left="4140"/>
        <w:jc w:val="both"/>
        <w:rPr>
          <w:rFonts w:ascii="Book Antiqua" w:eastAsia="Times New Roman" w:hAnsi="Book Antiqua"/>
          <w:sz w:val="24"/>
          <w:szCs w:val="24"/>
          <w:lang w:val="es-ES" w:eastAsia="x-none"/>
        </w:rPr>
      </w:pPr>
    </w:p>
    <w:p w14:paraId="4E0BD6A5" w14:textId="77777777" w:rsidR="00076204" w:rsidRPr="00635F68" w:rsidRDefault="00076204" w:rsidP="00076204">
      <w:pPr>
        <w:suppressLineNumbers/>
        <w:spacing w:after="0" w:line="240" w:lineRule="auto"/>
        <w:ind w:left="4140"/>
        <w:jc w:val="both"/>
        <w:rPr>
          <w:rFonts w:ascii="Book Antiqua" w:eastAsia="Times New Roman" w:hAnsi="Book Antiqua"/>
          <w:sz w:val="24"/>
          <w:szCs w:val="24"/>
          <w:lang w:val="es-ES" w:eastAsia="x-none"/>
        </w:rPr>
      </w:pPr>
    </w:p>
    <w:sectPr w:rsidR="00076204" w:rsidRPr="00635F68" w:rsidSect="00B26EAD">
      <w:headerReference w:type="default" r:id="rId12"/>
      <w:footerReference w:type="default" r:id="rId13"/>
      <w:headerReference w:type="first" r:id="rId14"/>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BFC1C" w14:textId="77777777" w:rsidR="00BA0DEC" w:rsidRDefault="00BA0DEC" w:rsidP="00542005">
      <w:pPr>
        <w:spacing w:after="0" w:line="240" w:lineRule="auto"/>
      </w:pPr>
      <w:r>
        <w:separator/>
      </w:r>
    </w:p>
  </w:endnote>
  <w:endnote w:type="continuationSeparator" w:id="0">
    <w:p w14:paraId="1FF16804" w14:textId="77777777" w:rsidR="00BA0DEC" w:rsidRDefault="00BA0DEC" w:rsidP="00542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B828D" w14:textId="77777777" w:rsidR="00C34F64" w:rsidRDefault="00C34F64">
    <w:pPr>
      <w:pStyle w:val="Footer"/>
      <w:jc w:val="center"/>
    </w:pPr>
  </w:p>
  <w:p w14:paraId="197C392F" w14:textId="77777777" w:rsidR="00C34F64" w:rsidRDefault="00C34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4EBC1" w14:textId="77777777" w:rsidR="00BA0DEC" w:rsidRDefault="00BA0DEC" w:rsidP="00542005">
      <w:pPr>
        <w:spacing w:after="0" w:line="240" w:lineRule="auto"/>
      </w:pPr>
      <w:r>
        <w:separator/>
      </w:r>
    </w:p>
  </w:footnote>
  <w:footnote w:type="continuationSeparator" w:id="0">
    <w:p w14:paraId="7D8E85D4" w14:textId="77777777" w:rsidR="00BA0DEC" w:rsidRDefault="00BA0DEC" w:rsidP="005420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D137F" w14:textId="77777777" w:rsidR="00C34F64" w:rsidRPr="00BA2C02" w:rsidRDefault="00542005">
    <w:pPr>
      <w:pStyle w:val="Header"/>
      <w:jc w:val="center"/>
      <w:rPr>
        <w:rFonts w:ascii="Book Antiqua" w:hAnsi="Book Antiqua"/>
      </w:rPr>
    </w:pPr>
    <w:r w:rsidRPr="00BA2C02">
      <w:rPr>
        <w:rFonts w:ascii="Book Antiqua" w:hAnsi="Book Antiqua"/>
      </w:rPr>
      <w:fldChar w:fldCharType="begin"/>
    </w:r>
    <w:r w:rsidRPr="00BA2C02">
      <w:rPr>
        <w:rFonts w:ascii="Book Antiqua" w:hAnsi="Book Antiqua"/>
      </w:rPr>
      <w:instrText xml:space="preserve"> PAGE   \* MERGEFORMAT </w:instrText>
    </w:r>
    <w:r w:rsidRPr="00BA2C02">
      <w:rPr>
        <w:rFonts w:ascii="Book Antiqua" w:hAnsi="Book Antiqua"/>
      </w:rPr>
      <w:fldChar w:fldCharType="separate"/>
    </w:r>
    <w:r w:rsidR="0001667B">
      <w:rPr>
        <w:rFonts w:ascii="Book Antiqua" w:hAnsi="Book Antiqua"/>
        <w:noProof/>
      </w:rPr>
      <w:t>10</w:t>
    </w:r>
    <w:r w:rsidRPr="00BA2C02">
      <w:rPr>
        <w:rFonts w:ascii="Book Antiqua" w:hAnsi="Book Antiqua"/>
      </w:rPr>
      <w:fldChar w:fldCharType="end"/>
    </w:r>
  </w:p>
  <w:p w14:paraId="3611A5C3" w14:textId="77777777" w:rsidR="00C34F64" w:rsidRDefault="00C34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7C66D" w14:textId="77777777" w:rsidR="0086073D" w:rsidRPr="0086073D" w:rsidRDefault="0086073D" w:rsidP="0086073D">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bookmarkStart w:id="3" w:name="_Hlk36034857"/>
    <w:r w:rsidRPr="0086073D">
      <w:rPr>
        <w:rFonts w:ascii="Book Antiqua" w:eastAsia="MS Mincho" w:hAnsi="Book Antiqua"/>
        <w:b/>
        <w:sz w:val="24"/>
        <w:szCs w:val="24"/>
        <w:lang w:val="es-PR"/>
      </w:rPr>
      <w:t>TEXTO APROBADO EN VOTACIÓN FINAL POR EL SENADO</w:t>
    </w:r>
  </w:p>
  <w:p w14:paraId="10A40011" w14:textId="77777777" w:rsidR="0086073D" w:rsidRPr="0086073D" w:rsidRDefault="0086073D" w:rsidP="0086073D">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sz w:val="24"/>
        <w:szCs w:val="24"/>
      </w:rPr>
    </w:pPr>
    <w:r w:rsidRPr="0086073D">
      <w:rPr>
        <w:rFonts w:ascii="Book Antiqua" w:eastAsia="MS Mincho" w:hAnsi="Book Antiqua"/>
        <w:b/>
        <w:sz w:val="24"/>
        <w:szCs w:val="24"/>
      </w:rPr>
      <w:t>(8 DE SEPTIEMBRE DE 2025)</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6FE91A6"/>
    <w:lvl w:ilvl="0">
      <w:start w:val="1"/>
      <w:numFmt w:val="decimal"/>
      <w:pStyle w:val="ListNumber"/>
      <w:lvlText w:val="%1."/>
      <w:lvlJc w:val="left"/>
      <w:pPr>
        <w:tabs>
          <w:tab w:val="num" w:pos="360"/>
        </w:tabs>
        <w:ind w:left="360" w:hanging="360"/>
      </w:pPr>
      <w:rPr>
        <w:rFonts w:cs="Times New Roman"/>
      </w:rPr>
    </w:lvl>
  </w:abstractNum>
  <w:num w:numId="1" w16cid:durableId="114349899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3AA"/>
    <w:rsid w:val="00005E51"/>
    <w:rsid w:val="0000663F"/>
    <w:rsid w:val="0001222D"/>
    <w:rsid w:val="0001667B"/>
    <w:rsid w:val="000325FE"/>
    <w:rsid w:val="00034FA0"/>
    <w:rsid w:val="00076204"/>
    <w:rsid w:val="00085A6C"/>
    <w:rsid w:val="000B3183"/>
    <w:rsid w:val="000E0473"/>
    <w:rsid w:val="000E5A7C"/>
    <w:rsid w:val="000F1734"/>
    <w:rsid w:val="000F50E7"/>
    <w:rsid w:val="00103EB0"/>
    <w:rsid w:val="001351E6"/>
    <w:rsid w:val="00146578"/>
    <w:rsid w:val="001475F5"/>
    <w:rsid w:val="0016185D"/>
    <w:rsid w:val="00180C40"/>
    <w:rsid w:val="001A2535"/>
    <w:rsid w:val="001A46CB"/>
    <w:rsid w:val="001A6651"/>
    <w:rsid w:val="001B081A"/>
    <w:rsid w:val="001D0672"/>
    <w:rsid w:val="0029308C"/>
    <w:rsid w:val="002C1543"/>
    <w:rsid w:val="002C755E"/>
    <w:rsid w:val="00313259"/>
    <w:rsid w:val="00334D47"/>
    <w:rsid w:val="003428E1"/>
    <w:rsid w:val="00374772"/>
    <w:rsid w:val="003A5F71"/>
    <w:rsid w:val="003A79C6"/>
    <w:rsid w:val="003C264A"/>
    <w:rsid w:val="003D3FA5"/>
    <w:rsid w:val="003D54FA"/>
    <w:rsid w:val="003E331D"/>
    <w:rsid w:val="003E4292"/>
    <w:rsid w:val="00411C7C"/>
    <w:rsid w:val="00417E3F"/>
    <w:rsid w:val="004311CE"/>
    <w:rsid w:val="004426A3"/>
    <w:rsid w:val="0045477F"/>
    <w:rsid w:val="00494E7A"/>
    <w:rsid w:val="004B4A80"/>
    <w:rsid w:val="004F691B"/>
    <w:rsid w:val="00513625"/>
    <w:rsid w:val="00542005"/>
    <w:rsid w:val="00542015"/>
    <w:rsid w:val="005434C4"/>
    <w:rsid w:val="0058597B"/>
    <w:rsid w:val="00591C5D"/>
    <w:rsid w:val="005A6465"/>
    <w:rsid w:val="005C03BE"/>
    <w:rsid w:val="005E213C"/>
    <w:rsid w:val="00626709"/>
    <w:rsid w:val="00635F68"/>
    <w:rsid w:val="006433C2"/>
    <w:rsid w:val="006523AA"/>
    <w:rsid w:val="00653DA1"/>
    <w:rsid w:val="00676152"/>
    <w:rsid w:val="00683C9C"/>
    <w:rsid w:val="006868CD"/>
    <w:rsid w:val="006E1B2A"/>
    <w:rsid w:val="006F0126"/>
    <w:rsid w:val="006F2B4D"/>
    <w:rsid w:val="00702DEA"/>
    <w:rsid w:val="007148DB"/>
    <w:rsid w:val="0073708B"/>
    <w:rsid w:val="00741B67"/>
    <w:rsid w:val="00744EDE"/>
    <w:rsid w:val="00753273"/>
    <w:rsid w:val="00766764"/>
    <w:rsid w:val="00767607"/>
    <w:rsid w:val="007A47F3"/>
    <w:rsid w:val="007A5C6B"/>
    <w:rsid w:val="007A7AD8"/>
    <w:rsid w:val="007E4A7F"/>
    <w:rsid w:val="00810C48"/>
    <w:rsid w:val="00836A89"/>
    <w:rsid w:val="00842521"/>
    <w:rsid w:val="0086073D"/>
    <w:rsid w:val="0087206C"/>
    <w:rsid w:val="0088640A"/>
    <w:rsid w:val="00893C3A"/>
    <w:rsid w:val="008A601C"/>
    <w:rsid w:val="008D515E"/>
    <w:rsid w:val="008E0E9E"/>
    <w:rsid w:val="008F016C"/>
    <w:rsid w:val="0090465D"/>
    <w:rsid w:val="00905560"/>
    <w:rsid w:val="009057AE"/>
    <w:rsid w:val="00980162"/>
    <w:rsid w:val="009944FC"/>
    <w:rsid w:val="009B4625"/>
    <w:rsid w:val="009D5DC9"/>
    <w:rsid w:val="009E2091"/>
    <w:rsid w:val="00A10DA3"/>
    <w:rsid w:val="00A12C1D"/>
    <w:rsid w:val="00A1356E"/>
    <w:rsid w:val="00A24519"/>
    <w:rsid w:val="00A517D0"/>
    <w:rsid w:val="00A647D3"/>
    <w:rsid w:val="00A64981"/>
    <w:rsid w:val="00A71B03"/>
    <w:rsid w:val="00AC63E6"/>
    <w:rsid w:val="00AF1A09"/>
    <w:rsid w:val="00B212DA"/>
    <w:rsid w:val="00B26EAD"/>
    <w:rsid w:val="00B36A3D"/>
    <w:rsid w:val="00B36D79"/>
    <w:rsid w:val="00B429A5"/>
    <w:rsid w:val="00B66632"/>
    <w:rsid w:val="00B7370A"/>
    <w:rsid w:val="00BA0DEC"/>
    <w:rsid w:val="00BA2C02"/>
    <w:rsid w:val="00BA5E0F"/>
    <w:rsid w:val="00BA5EF1"/>
    <w:rsid w:val="00BF7DC3"/>
    <w:rsid w:val="00C05D01"/>
    <w:rsid w:val="00C34F64"/>
    <w:rsid w:val="00C41527"/>
    <w:rsid w:val="00C4701B"/>
    <w:rsid w:val="00C47D70"/>
    <w:rsid w:val="00C535DD"/>
    <w:rsid w:val="00C5630E"/>
    <w:rsid w:val="00C66EE7"/>
    <w:rsid w:val="00C90AB5"/>
    <w:rsid w:val="00C92D60"/>
    <w:rsid w:val="00CA6D23"/>
    <w:rsid w:val="00CC4712"/>
    <w:rsid w:val="00CD1E3A"/>
    <w:rsid w:val="00D26923"/>
    <w:rsid w:val="00D625BD"/>
    <w:rsid w:val="00DB14B6"/>
    <w:rsid w:val="00DB188E"/>
    <w:rsid w:val="00DB322F"/>
    <w:rsid w:val="00E17B04"/>
    <w:rsid w:val="00E216E1"/>
    <w:rsid w:val="00E2783F"/>
    <w:rsid w:val="00E34165"/>
    <w:rsid w:val="00E44D50"/>
    <w:rsid w:val="00E65FB9"/>
    <w:rsid w:val="00E75EEC"/>
    <w:rsid w:val="00E93178"/>
    <w:rsid w:val="00EA0255"/>
    <w:rsid w:val="00EA583E"/>
    <w:rsid w:val="00EC1F0E"/>
    <w:rsid w:val="00EE6235"/>
    <w:rsid w:val="00F04295"/>
    <w:rsid w:val="00F20E78"/>
    <w:rsid w:val="00F443BF"/>
    <w:rsid w:val="00F47E5C"/>
    <w:rsid w:val="00F60AD6"/>
    <w:rsid w:val="00F736F3"/>
    <w:rsid w:val="00F80BFF"/>
    <w:rsid w:val="00F90DE7"/>
    <w:rsid w:val="00F97F01"/>
    <w:rsid w:val="00FC71B8"/>
    <w:rsid w:val="00FD255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17E5B"/>
  <w15:docId w15:val="{1AB1AB7E-7A29-4DBA-8702-6DA15CB22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3AA"/>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23AA"/>
    <w:pPr>
      <w:tabs>
        <w:tab w:val="center" w:pos="4680"/>
        <w:tab w:val="right" w:pos="9360"/>
      </w:tabs>
      <w:spacing w:after="0" w:line="240" w:lineRule="auto"/>
    </w:pPr>
  </w:style>
  <w:style w:type="character" w:customStyle="1" w:styleId="HeaderChar">
    <w:name w:val="Header Char"/>
    <w:link w:val="Header"/>
    <w:uiPriority w:val="99"/>
    <w:rsid w:val="006523AA"/>
    <w:rPr>
      <w:rFonts w:ascii="Calibri" w:eastAsia="Calibri" w:hAnsi="Calibri" w:cs="Times New Roman"/>
    </w:rPr>
  </w:style>
  <w:style w:type="paragraph" w:styleId="Footer">
    <w:name w:val="footer"/>
    <w:basedOn w:val="Normal"/>
    <w:link w:val="FooterChar"/>
    <w:uiPriority w:val="99"/>
    <w:unhideWhenUsed/>
    <w:rsid w:val="006523AA"/>
    <w:pPr>
      <w:tabs>
        <w:tab w:val="center" w:pos="4680"/>
        <w:tab w:val="right" w:pos="9360"/>
      </w:tabs>
      <w:spacing w:after="0" w:line="240" w:lineRule="auto"/>
    </w:pPr>
  </w:style>
  <w:style w:type="character" w:customStyle="1" w:styleId="FooterChar">
    <w:name w:val="Footer Char"/>
    <w:link w:val="Footer"/>
    <w:uiPriority w:val="99"/>
    <w:rsid w:val="006523AA"/>
    <w:rPr>
      <w:rFonts w:ascii="Calibri" w:eastAsia="Calibri" w:hAnsi="Calibri" w:cs="Times New Roman"/>
    </w:rPr>
  </w:style>
  <w:style w:type="paragraph" w:styleId="BodyTextIndent2">
    <w:name w:val="Body Text Indent 2"/>
    <w:basedOn w:val="Normal"/>
    <w:link w:val="BodyTextIndent2Char"/>
    <w:rsid w:val="006523AA"/>
    <w:pPr>
      <w:spacing w:before="120" w:after="120" w:line="360" w:lineRule="auto"/>
      <w:ind w:firstLine="360"/>
      <w:jc w:val="both"/>
    </w:pPr>
    <w:rPr>
      <w:rFonts w:ascii="Times New Roman" w:eastAsia="Times New Roman" w:hAnsi="Times New Roman"/>
      <w:sz w:val="24"/>
      <w:szCs w:val="20"/>
      <w:lang w:val="es-ES_tradnl"/>
    </w:rPr>
  </w:style>
  <w:style w:type="character" w:customStyle="1" w:styleId="BodyTextIndent2Char">
    <w:name w:val="Body Text Indent 2 Char"/>
    <w:link w:val="BodyTextIndent2"/>
    <w:rsid w:val="006523AA"/>
    <w:rPr>
      <w:rFonts w:ascii="Times New Roman" w:eastAsia="Times New Roman" w:hAnsi="Times New Roman" w:cs="Times New Roman"/>
      <w:sz w:val="24"/>
      <w:szCs w:val="20"/>
      <w:lang w:val="es-ES_tradnl"/>
    </w:rPr>
  </w:style>
  <w:style w:type="paragraph" w:styleId="ListNumber">
    <w:name w:val="List Number"/>
    <w:basedOn w:val="Normal"/>
    <w:uiPriority w:val="99"/>
    <w:unhideWhenUsed/>
    <w:rsid w:val="006523AA"/>
    <w:pPr>
      <w:numPr>
        <w:numId w:val="1"/>
      </w:numPr>
      <w:spacing w:after="240" w:line="240" w:lineRule="auto"/>
      <w:ind w:left="1440" w:hanging="72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6523AA"/>
  </w:style>
  <w:style w:type="table" w:styleId="TableGrid">
    <w:name w:val="Table Grid"/>
    <w:basedOn w:val="TableNormal"/>
    <w:rsid w:val="00BA2C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D8CD1-94DE-40A8-B0C4-75BE695EE916}">
  <ds:schemaRefs>
    <ds:schemaRef ds:uri="http://schemas.microsoft.com/sharepoint/v3/contenttype/forms"/>
  </ds:schemaRefs>
</ds:datastoreItem>
</file>

<file path=customXml/itemProps2.xml><?xml version="1.0" encoding="utf-8"?>
<ds:datastoreItem xmlns:ds="http://schemas.openxmlformats.org/officeDocument/2006/customXml" ds:itemID="{6247A9B1-A59F-43CA-9BC5-E1D08A898ABE}">
  <ds:schemaRefs>
    <ds:schemaRef ds:uri="http://schemas.microsoft.com/office/2006/metadata/longProperties"/>
  </ds:schemaRefs>
</ds:datastoreItem>
</file>

<file path=customXml/itemProps3.xml><?xml version="1.0" encoding="utf-8"?>
<ds:datastoreItem xmlns:ds="http://schemas.openxmlformats.org/officeDocument/2006/customXml" ds:itemID="{DF4D0192-278C-4B93-AE29-37C7AEABBF1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2152C509-64A6-4B18-A96A-4EBEEDD238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B258DE-74A0-4096-97C8-70B2BBFB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1090</Words>
  <Characters>6214</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Camyl Moreno Pantojas</cp:lastModifiedBy>
  <cp:revision>2</cp:revision>
  <cp:lastPrinted>2025-08-06T01:39:00Z</cp:lastPrinted>
  <dcterms:created xsi:type="dcterms:W3CDTF">2026-06-22T16:10:00Z</dcterms:created>
  <dcterms:modified xsi:type="dcterms:W3CDTF">2026-06-22T16:10:00Z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4SQX5P7U7WPY-958212181-818563</vt:lpwstr>
  </property>
  <property fmtid="{D5CDD505-2E9C-101B-9397-08002B2CF9AE}" pid="3" name="_dlc_DocIdItemGuid">
    <vt:lpwstr>667a3ba6-fd0f-44ec-982c-1ddf21111895</vt:lpwstr>
  </property>
  <property fmtid="{D5CDD505-2E9C-101B-9397-08002B2CF9AE}" pid="4" name="_dlc_DocIdUrl">
    <vt:lpwstr>https://senpr.sharepoint.com/sites/obralegislativa/_layouts/15/DocIdRedir.aspx?ID=4SQX5P7U7WPY-958212181-818563, 4SQX5P7U7WPY-958212181-818563</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MediaServiceImageTags">
    <vt:lpwstr/>
  </property>
  <property fmtid="{D5CDD505-2E9C-101B-9397-08002B2CF9AE}" pid="8" name="ContentTypeId">
    <vt:lpwstr>0x010100831C0761637D684EABBCE64BDDA1E45F</vt:lpwstr>
  </property>
</Properties>
</file>