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7CE01" w14:textId="77777777" w:rsidR="0041348C" w:rsidRPr="00A578C9" w:rsidRDefault="0041348C" w:rsidP="0041348C">
      <w:pPr>
        <w:jc w:val="center"/>
        <w:rPr>
          <w:rFonts w:ascii="Book Antiqua" w:hAnsi="Book Antiqua"/>
          <w:sz w:val="28"/>
          <w:szCs w:val="28"/>
        </w:rPr>
      </w:pPr>
      <w:r w:rsidRPr="00A578C9">
        <w:rPr>
          <w:rFonts w:ascii="Book Antiqua" w:hAnsi="Book Antiqua"/>
          <w:b/>
          <w:bCs/>
          <w:sz w:val="28"/>
          <w:szCs w:val="28"/>
        </w:rPr>
        <w:t>GOBIERNO DE PUERTO RICO</w:t>
      </w:r>
    </w:p>
    <w:p w14:paraId="7D36C7E3" w14:textId="77777777" w:rsidR="0041348C" w:rsidRPr="00A578C9" w:rsidRDefault="0041348C" w:rsidP="0041348C">
      <w:pPr>
        <w:rPr>
          <w:rFonts w:ascii="Book Antiqua" w:hAnsi="Book Antiqua"/>
        </w:rPr>
      </w:pPr>
      <w:r w:rsidRPr="00A578C9">
        <w:rPr>
          <w:rFonts w:ascii="Times New Roman" w:hAnsi="Times New Roman" w:cs="Times New Roman"/>
        </w:rPr>
        <w:t> </w:t>
      </w:r>
      <w:r w:rsidRPr="00A578C9">
        <w:rPr>
          <w:rFonts w:ascii="Book Antiqua" w:hAnsi="Book Antiqua"/>
        </w:rPr>
        <w:t> </w:t>
      </w:r>
    </w:p>
    <w:p w14:paraId="399F5344" w14:textId="7B8C4DAD" w:rsidR="0041348C" w:rsidRPr="00A578C9" w:rsidRDefault="0041348C" w:rsidP="00423167">
      <w:pPr>
        <w:spacing w:after="0"/>
        <w:rPr>
          <w:rFonts w:ascii="Book Antiqua" w:hAnsi="Book Antiqua"/>
        </w:rPr>
      </w:pPr>
      <w:r w:rsidRPr="00EA2B17">
        <w:rPr>
          <w:rFonts w:ascii="Book Antiqua" w:hAnsi="Book Antiqua"/>
          <w:lang w:val="es-ES"/>
        </w:rPr>
        <w:t>20</w:t>
      </w:r>
      <w:r w:rsidRPr="00A578C9">
        <w:rPr>
          <w:rFonts w:ascii="Book Antiqua" w:hAnsi="Book Antiqua"/>
          <w:vertAlign w:val="superscript"/>
          <w:lang w:val="es-ES"/>
        </w:rPr>
        <w:t>ma</w:t>
      </w:r>
      <w:r w:rsidRPr="00A578C9">
        <w:rPr>
          <w:rFonts w:ascii="Book Antiqua" w:hAnsi="Book Antiqua"/>
          <w:lang w:val="es-ES"/>
        </w:rPr>
        <w:t xml:space="preserve"> Asamblea</w:t>
      </w:r>
      <w:r w:rsidRPr="00A578C9">
        <w:rPr>
          <w:rFonts w:ascii="Book Antiqua" w:hAnsi="Book Antiqua"/>
        </w:rPr>
        <w:tab/>
      </w:r>
      <w:r w:rsidRPr="00A578C9">
        <w:rPr>
          <w:rFonts w:ascii="Times New Roman" w:hAnsi="Times New Roman" w:cs="Times New Roman"/>
          <w:lang w:val="es-ES"/>
        </w:rPr>
        <w:t>                                                                                             </w:t>
      </w:r>
      <w:r w:rsidRPr="00A578C9">
        <w:rPr>
          <w:rFonts w:ascii="Book Antiqua" w:hAnsi="Book Antiqua"/>
          <w:lang w:val="es-ES"/>
        </w:rPr>
        <w:t xml:space="preserve">                     </w:t>
      </w:r>
      <w:r>
        <w:rPr>
          <w:rFonts w:ascii="Book Antiqua" w:hAnsi="Book Antiqua"/>
          <w:lang w:val="es-ES"/>
        </w:rPr>
        <w:t>2</w:t>
      </w:r>
      <w:r>
        <w:rPr>
          <w:rFonts w:ascii="Book Antiqua" w:hAnsi="Book Antiqua"/>
          <w:vertAlign w:val="superscript"/>
          <w:lang w:val="es-ES"/>
        </w:rPr>
        <w:t>d</w:t>
      </w:r>
      <w:r w:rsidRPr="00A578C9">
        <w:rPr>
          <w:rFonts w:ascii="Book Antiqua" w:hAnsi="Book Antiqua"/>
          <w:vertAlign w:val="superscript"/>
          <w:lang w:val="es-ES"/>
        </w:rPr>
        <w:t>a</w:t>
      </w:r>
      <w:r w:rsidRPr="00A578C9">
        <w:rPr>
          <w:rFonts w:ascii="Book Antiqua" w:hAnsi="Book Antiqua"/>
          <w:lang w:val="es-ES"/>
        </w:rPr>
        <w:t xml:space="preserve"> Sesión</w:t>
      </w:r>
      <w:r w:rsidRPr="00A578C9">
        <w:rPr>
          <w:rFonts w:ascii="Times New Roman" w:hAnsi="Times New Roman" w:cs="Times New Roman"/>
        </w:rPr>
        <w:t>  </w:t>
      </w:r>
      <w:r w:rsidRPr="00A578C9">
        <w:rPr>
          <w:rFonts w:ascii="Book Antiqua" w:hAnsi="Book Antiqua"/>
        </w:rPr>
        <w:t> </w:t>
      </w:r>
    </w:p>
    <w:p w14:paraId="304A1EA9" w14:textId="508CDA23" w:rsidR="0041348C" w:rsidRPr="00A578C9" w:rsidRDefault="0041348C" w:rsidP="00423167">
      <w:pPr>
        <w:spacing w:after="0"/>
        <w:rPr>
          <w:rFonts w:ascii="Book Antiqua" w:hAnsi="Book Antiqua"/>
        </w:rPr>
      </w:pPr>
      <w:r w:rsidRPr="00A578C9">
        <w:rPr>
          <w:rFonts w:ascii="Times New Roman" w:hAnsi="Times New Roman" w:cs="Times New Roman"/>
          <w:lang w:val="es-ES"/>
        </w:rPr>
        <w:t>         </w:t>
      </w:r>
      <w:r w:rsidRPr="00A578C9">
        <w:rPr>
          <w:rFonts w:ascii="Book Antiqua" w:hAnsi="Book Antiqua"/>
          <w:lang w:val="es-ES"/>
        </w:rPr>
        <w:t xml:space="preserve"> Legislativa</w:t>
      </w:r>
      <w:r w:rsidRPr="00A578C9">
        <w:rPr>
          <w:rFonts w:ascii="Book Antiqua" w:hAnsi="Book Antiqua"/>
        </w:rPr>
        <w:tab/>
      </w:r>
      <w:r w:rsidRPr="00A578C9">
        <w:rPr>
          <w:rFonts w:ascii="Book Antiqua" w:hAnsi="Book Antiqua"/>
        </w:rPr>
        <w:tab/>
      </w:r>
      <w:r w:rsidRPr="00A578C9">
        <w:rPr>
          <w:rFonts w:ascii="Times New Roman" w:hAnsi="Times New Roman" w:cs="Times New Roman"/>
          <w:lang w:val="es-ES"/>
        </w:rPr>
        <w:t>                                                                                      </w:t>
      </w:r>
      <w:r w:rsidRPr="00A578C9">
        <w:rPr>
          <w:rFonts w:ascii="Book Antiqua" w:hAnsi="Book Antiqua"/>
          <w:lang w:val="es-ES"/>
        </w:rPr>
        <w:t xml:space="preserve"> </w:t>
      </w:r>
      <w:r w:rsidRPr="00A578C9">
        <w:rPr>
          <w:rFonts w:ascii="Times New Roman" w:hAnsi="Times New Roman" w:cs="Times New Roman"/>
          <w:lang w:val="es-ES"/>
        </w:rPr>
        <w:t>  </w:t>
      </w:r>
      <w:r w:rsidRPr="00A578C9">
        <w:rPr>
          <w:rFonts w:ascii="Book Antiqua" w:hAnsi="Book Antiqua"/>
          <w:lang w:val="es-ES"/>
        </w:rPr>
        <w:t>                 Ordinaria</w:t>
      </w:r>
      <w:r w:rsidRPr="00A578C9">
        <w:rPr>
          <w:rFonts w:ascii="Times New Roman" w:hAnsi="Times New Roman" w:cs="Times New Roman"/>
        </w:rPr>
        <w:t>  </w:t>
      </w:r>
      <w:r w:rsidRPr="00A578C9">
        <w:rPr>
          <w:rFonts w:ascii="Book Antiqua" w:hAnsi="Book Antiqua"/>
        </w:rPr>
        <w:t> </w:t>
      </w:r>
    </w:p>
    <w:p w14:paraId="268713C3" w14:textId="77777777" w:rsidR="0041348C" w:rsidRPr="00A578C9" w:rsidRDefault="0041348C" w:rsidP="0041348C">
      <w:pPr>
        <w:rPr>
          <w:rFonts w:ascii="Book Antiqua" w:hAnsi="Book Antiqua"/>
        </w:rPr>
      </w:pPr>
      <w:r w:rsidRPr="00A578C9">
        <w:rPr>
          <w:rFonts w:ascii="Times New Roman" w:hAnsi="Times New Roman" w:cs="Times New Roman"/>
        </w:rPr>
        <w:t>  </w:t>
      </w:r>
      <w:r w:rsidRPr="00A578C9">
        <w:rPr>
          <w:rFonts w:ascii="Book Antiqua" w:hAnsi="Book Antiqua"/>
        </w:rPr>
        <w:t> </w:t>
      </w:r>
    </w:p>
    <w:p w14:paraId="270DD591" w14:textId="77777777" w:rsidR="0041348C" w:rsidRPr="00A578C9" w:rsidRDefault="0041348C" w:rsidP="0041348C">
      <w:pPr>
        <w:jc w:val="center"/>
        <w:rPr>
          <w:rFonts w:ascii="Book Antiqua" w:hAnsi="Book Antiqua"/>
          <w:sz w:val="36"/>
          <w:szCs w:val="36"/>
        </w:rPr>
      </w:pPr>
      <w:r w:rsidRPr="00A578C9">
        <w:rPr>
          <w:rFonts w:ascii="Book Antiqua" w:hAnsi="Book Antiqua"/>
          <w:b/>
          <w:bCs/>
          <w:sz w:val="36"/>
          <w:szCs w:val="36"/>
        </w:rPr>
        <w:t>CÁMARA DE REPRESENTANTES</w:t>
      </w:r>
    </w:p>
    <w:p w14:paraId="58C6D837" w14:textId="5D1F28FB" w:rsidR="0041348C" w:rsidRPr="00A578C9" w:rsidRDefault="0041348C" w:rsidP="0041348C">
      <w:pPr>
        <w:jc w:val="center"/>
        <w:rPr>
          <w:rFonts w:ascii="Book Antiqua" w:hAnsi="Book Antiqua"/>
          <w:sz w:val="52"/>
          <w:szCs w:val="52"/>
        </w:rPr>
      </w:pPr>
      <w:r w:rsidRPr="00A578C9">
        <w:rPr>
          <w:rFonts w:ascii="Book Antiqua" w:hAnsi="Book Antiqua"/>
          <w:b/>
          <w:bCs/>
          <w:sz w:val="52"/>
          <w:szCs w:val="52"/>
        </w:rPr>
        <w:t>P. de</w:t>
      </w:r>
      <w:r>
        <w:rPr>
          <w:rFonts w:ascii="Book Antiqua" w:hAnsi="Book Antiqua"/>
          <w:b/>
          <w:bCs/>
          <w:sz w:val="52"/>
          <w:szCs w:val="52"/>
        </w:rPr>
        <w:t>l</w:t>
      </w:r>
      <w:r w:rsidRPr="00A578C9">
        <w:rPr>
          <w:rFonts w:ascii="Book Antiqua" w:hAnsi="Book Antiqua"/>
          <w:b/>
          <w:bCs/>
          <w:sz w:val="52"/>
          <w:szCs w:val="52"/>
        </w:rPr>
        <w:t xml:space="preserve"> </w:t>
      </w:r>
      <w:r>
        <w:rPr>
          <w:rFonts w:ascii="Book Antiqua" w:hAnsi="Book Antiqua"/>
          <w:b/>
          <w:bCs/>
          <w:sz w:val="52"/>
          <w:szCs w:val="52"/>
        </w:rPr>
        <w:t>S</w:t>
      </w:r>
      <w:r w:rsidRPr="00A578C9">
        <w:rPr>
          <w:rFonts w:ascii="Book Antiqua" w:hAnsi="Book Antiqua"/>
          <w:b/>
          <w:bCs/>
          <w:sz w:val="52"/>
          <w:szCs w:val="52"/>
        </w:rPr>
        <w:t xml:space="preserve">. </w:t>
      </w:r>
      <w:r>
        <w:rPr>
          <w:rFonts w:ascii="Book Antiqua" w:hAnsi="Book Antiqua"/>
          <w:b/>
          <w:bCs/>
          <w:sz w:val="52"/>
          <w:szCs w:val="52"/>
        </w:rPr>
        <w:t>58</w:t>
      </w:r>
    </w:p>
    <w:p w14:paraId="5F61AD31" w14:textId="77777777" w:rsidR="0041348C" w:rsidRDefault="0041348C" w:rsidP="00EA2B17">
      <w:pPr>
        <w:spacing w:after="0" w:line="240" w:lineRule="auto"/>
        <w:contextualSpacing/>
        <w:jc w:val="center"/>
        <w:rPr>
          <w:rFonts w:ascii="Book Antiqua" w:hAnsi="Book Antiqua"/>
          <w:b/>
          <w:bCs/>
          <w:sz w:val="28"/>
          <w:szCs w:val="28"/>
        </w:rPr>
      </w:pPr>
      <w:r w:rsidRPr="00A578C9">
        <w:rPr>
          <w:rFonts w:ascii="Book Antiqua" w:hAnsi="Book Antiqua"/>
          <w:b/>
          <w:bCs/>
          <w:sz w:val="28"/>
          <w:szCs w:val="28"/>
        </w:rPr>
        <w:t>INFORME POSITIVO</w:t>
      </w:r>
    </w:p>
    <w:p w14:paraId="5FF6BFE0" w14:textId="77777777" w:rsidR="00EA2B17" w:rsidRPr="00A578C9" w:rsidRDefault="00EA2B17" w:rsidP="00EA2B17">
      <w:pPr>
        <w:spacing w:after="0" w:line="240" w:lineRule="auto"/>
        <w:contextualSpacing/>
        <w:jc w:val="center"/>
        <w:rPr>
          <w:rFonts w:ascii="Book Antiqua" w:hAnsi="Book Antiqua"/>
          <w:sz w:val="28"/>
          <w:szCs w:val="28"/>
        </w:rPr>
      </w:pPr>
    </w:p>
    <w:p w14:paraId="413E0A44" w14:textId="4A102527" w:rsidR="0041348C" w:rsidRPr="00A578C9" w:rsidRDefault="00CD6B89" w:rsidP="00EA2B17">
      <w:pPr>
        <w:spacing w:after="0" w:line="240" w:lineRule="auto"/>
        <w:contextualSpacing/>
        <w:jc w:val="center"/>
        <w:rPr>
          <w:rFonts w:ascii="Book Antiqua" w:hAnsi="Book Antiqua"/>
        </w:rPr>
      </w:pPr>
      <w:r>
        <w:rPr>
          <w:rFonts w:ascii="Book Antiqua" w:hAnsi="Book Antiqua"/>
        </w:rPr>
        <w:t>25</w:t>
      </w:r>
      <w:r w:rsidR="0041348C" w:rsidRPr="00A578C9">
        <w:rPr>
          <w:rFonts w:ascii="Book Antiqua" w:hAnsi="Book Antiqua"/>
        </w:rPr>
        <w:t xml:space="preserve"> de </w:t>
      </w:r>
      <w:r w:rsidR="0041348C">
        <w:rPr>
          <w:rFonts w:ascii="Book Antiqua" w:hAnsi="Book Antiqua"/>
        </w:rPr>
        <w:t>septiembre</w:t>
      </w:r>
      <w:r w:rsidR="0041348C" w:rsidRPr="00A578C9">
        <w:rPr>
          <w:rFonts w:ascii="Book Antiqua" w:hAnsi="Book Antiqua"/>
        </w:rPr>
        <w:t xml:space="preserve"> de 2025</w:t>
      </w:r>
    </w:p>
    <w:p w14:paraId="041CA7E7" w14:textId="77777777" w:rsidR="0041348C" w:rsidRDefault="0041348C" w:rsidP="00EA2B17">
      <w:pPr>
        <w:spacing w:after="0" w:line="240" w:lineRule="auto"/>
        <w:contextualSpacing/>
        <w:rPr>
          <w:rFonts w:ascii="Book Antiqua" w:hAnsi="Book Antiqua"/>
        </w:rPr>
      </w:pPr>
      <w:r w:rsidRPr="00A578C9">
        <w:rPr>
          <w:rFonts w:ascii="Times New Roman" w:hAnsi="Times New Roman" w:cs="Times New Roman"/>
        </w:rPr>
        <w:t>  </w:t>
      </w:r>
      <w:r w:rsidRPr="00A578C9">
        <w:rPr>
          <w:rFonts w:ascii="Book Antiqua" w:hAnsi="Book Antiqua"/>
        </w:rPr>
        <w:t> </w:t>
      </w:r>
    </w:p>
    <w:p w14:paraId="673EDB5C" w14:textId="77777777" w:rsidR="00EA2B17" w:rsidRPr="00A578C9" w:rsidRDefault="00EA2B17" w:rsidP="00EA2B17">
      <w:pPr>
        <w:spacing w:after="0" w:line="240" w:lineRule="auto"/>
        <w:contextualSpacing/>
        <w:rPr>
          <w:rFonts w:ascii="Book Antiqua" w:hAnsi="Book Antiqua"/>
        </w:rPr>
      </w:pPr>
    </w:p>
    <w:p w14:paraId="49F2ACFB" w14:textId="77777777" w:rsidR="00EA2B17" w:rsidRDefault="0041348C" w:rsidP="00EA2B17">
      <w:pPr>
        <w:spacing w:after="0" w:line="240" w:lineRule="auto"/>
        <w:contextualSpacing/>
        <w:rPr>
          <w:rFonts w:ascii="Times New Roman" w:hAnsi="Times New Roman" w:cs="Times New Roman"/>
        </w:rPr>
      </w:pPr>
      <w:r w:rsidRPr="00A578C9">
        <w:rPr>
          <w:rFonts w:ascii="Book Antiqua" w:hAnsi="Book Antiqua"/>
          <w:b/>
          <w:bCs/>
        </w:rPr>
        <w:t>A LA CÁMARA DE REPRESENTANTES DE PUERTO RICO:</w:t>
      </w:r>
      <w:r w:rsidRPr="00A578C9">
        <w:rPr>
          <w:rFonts w:ascii="Times New Roman" w:hAnsi="Times New Roman" w:cs="Times New Roman"/>
        </w:rPr>
        <w:t> </w:t>
      </w:r>
    </w:p>
    <w:p w14:paraId="5A61EA2F" w14:textId="7172534D" w:rsidR="0041348C" w:rsidRPr="00A578C9" w:rsidRDefault="0041348C" w:rsidP="00EA2B17">
      <w:pPr>
        <w:spacing w:after="0" w:line="240" w:lineRule="auto"/>
        <w:contextualSpacing/>
        <w:rPr>
          <w:rFonts w:ascii="Book Antiqua" w:hAnsi="Book Antiqua"/>
        </w:rPr>
      </w:pPr>
      <w:r w:rsidRPr="00A578C9">
        <w:rPr>
          <w:rFonts w:ascii="Times New Roman" w:hAnsi="Times New Roman" w:cs="Times New Roman"/>
        </w:rPr>
        <w:t> </w:t>
      </w:r>
      <w:r w:rsidRPr="00A578C9">
        <w:rPr>
          <w:rFonts w:ascii="Book Antiqua" w:hAnsi="Book Antiqua"/>
        </w:rPr>
        <w:t> </w:t>
      </w:r>
    </w:p>
    <w:p w14:paraId="7961FFC9" w14:textId="6F30DFEC" w:rsidR="0041348C" w:rsidRPr="007979C3" w:rsidRDefault="0041348C" w:rsidP="00EA2B17">
      <w:pPr>
        <w:spacing w:after="0" w:line="240" w:lineRule="auto"/>
        <w:ind w:firstLine="708"/>
        <w:contextualSpacing/>
        <w:jc w:val="both"/>
        <w:rPr>
          <w:rFonts w:ascii="Book Antiqua" w:hAnsi="Book Antiqua" w:cs="Times New Roman"/>
        </w:rPr>
      </w:pPr>
      <w:r w:rsidRPr="007979C3">
        <w:rPr>
          <w:rFonts w:ascii="Book Antiqua" w:hAnsi="Book Antiqua" w:cs="Times New Roman"/>
        </w:rPr>
        <w:t xml:space="preserve">La Comisión de Gobierno, previo estudio y evaluación, tiene a bien someter a este Honorable Cuerpo el </w:t>
      </w:r>
      <w:r w:rsidR="00BC4FA5">
        <w:rPr>
          <w:rFonts w:ascii="Book Antiqua" w:hAnsi="Book Antiqua" w:cs="Times New Roman"/>
        </w:rPr>
        <w:t>I</w:t>
      </w:r>
      <w:r w:rsidRPr="007979C3">
        <w:rPr>
          <w:rFonts w:ascii="Book Antiqua" w:hAnsi="Book Antiqua" w:cs="Times New Roman"/>
        </w:rPr>
        <w:t xml:space="preserve">nforme </w:t>
      </w:r>
      <w:r w:rsidR="00BC4FA5">
        <w:rPr>
          <w:rFonts w:ascii="Book Antiqua" w:hAnsi="Book Antiqua" w:cs="Times New Roman"/>
        </w:rPr>
        <w:t>P</w:t>
      </w:r>
      <w:r w:rsidRPr="007979C3">
        <w:rPr>
          <w:rFonts w:ascii="Book Antiqua" w:hAnsi="Book Antiqua" w:cs="Times New Roman"/>
        </w:rPr>
        <w:t xml:space="preserve">ositivo sin enmiendas sobre el Proyecto del Senado </w:t>
      </w:r>
      <w:r>
        <w:rPr>
          <w:rFonts w:ascii="Book Antiqua" w:hAnsi="Book Antiqua" w:cs="Times New Roman"/>
        </w:rPr>
        <w:t>5</w:t>
      </w:r>
      <w:r w:rsidRPr="007979C3">
        <w:rPr>
          <w:rFonts w:ascii="Book Antiqua" w:hAnsi="Book Antiqua" w:cs="Times New Roman"/>
        </w:rPr>
        <w:t>8.</w:t>
      </w:r>
    </w:p>
    <w:p w14:paraId="3F9EC5BE" w14:textId="61149B76" w:rsidR="0041348C" w:rsidRPr="00262314" w:rsidRDefault="0041348C" w:rsidP="00EA2B17">
      <w:pPr>
        <w:spacing w:after="0" w:line="240" w:lineRule="auto"/>
        <w:contextualSpacing/>
        <w:rPr>
          <w:rFonts w:ascii="Book Antiqua" w:hAnsi="Book Antiqua"/>
        </w:rPr>
      </w:pPr>
      <w:r w:rsidRPr="00A578C9">
        <w:rPr>
          <w:rFonts w:ascii="Times New Roman" w:hAnsi="Times New Roman" w:cs="Times New Roman"/>
          <w:i/>
          <w:iCs/>
        </w:rPr>
        <w:t>     </w:t>
      </w:r>
    </w:p>
    <w:p w14:paraId="6AD5F8FB" w14:textId="54474589" w:rsidR="0041348C" w:rsidRDefault="0041348C" w:rsidP="00212109">
      <w:pPr>
        <w:spacing w:after="0" w:line="240" w:lineRule="auto"/>
        <w:contextualSpacing/>
        <w:jc w:val="center"/>
        <w:rPr>
          <w:rFonts w:ascii="Book Antiqua" w:hAnsi="Book Antiqua"/>
          <w:b/>
          <w:bCs/>
        </w:rPr>
      </w:pPr>
      <w:r w:rsidRPr="00262314">
        <w:rPr>
          <w:rFonts w:ascii="Book Antiqua" w:hAnsi="Book Antiqua"/>
          <w:b/>
          <w:bCs/>
        </w:rPr>
        <w:t>ALCANCE DE LA MEDIDA</w:t>
      </w:r>
    </w:p>
    <w:p w14:paraId="045E9834" w14:textId="77777777" w:rsidR="00EA2B17" w:rsidRDefault="00EA2B17" w:rsidP="00EA2B17">
      <w:pPr>
        <w:spacing w:after="0" w:line="240" w:lineRule="auto"/>
        <w:contextualSpacing/>
        <w:jc w:val="center"/>
        <w:rPr>
          <w:rFonts w:ascii="Book Antiqua" w:hAnsi="Book Antiqua"/>
          <w:b/>
          <w:bCs/>
        </w:rPr>
      </w:pPr>
    </w:p>
    <w:p w14:paraId="33F0E6E6" w14:textId="77777777" w:rsidR="00A766B4" w:rsidRDefault="00A766B4" w:rsidP="00EA2B17">
      <w:pPr>
        <w:spacing w:after="0" w:line="240" w:lineRule="auto"/>
        <w:ind w:firstLine="708"/>
        <w:contextualSpacing/>
        <w:jc w:val="both"/>
        <w:rPr>
          <w:rFonts w:ascii="Book Antiqua" w:hAnsi="Book Antiqua"/>
        </w:rPr>
      </w:pPr>
      <w:r w:rsidRPr="00A766B4">
        <w:rPr>
          <w:rFonts w:ascii="Book Antiqua" w:hAnsi="Book Antiqua"/>
        </w:rPr>
        <w:t xml:space="preserve">El Proyecto del Senado 58, aprobado por el Senado el 23 de junio de 2025, propone enmendar la Sección 3.19 de la Ley Núm. 38-2017, según enmendada, conocida como la </w:t>
      </w:r>
      <w:r w:rsidRPr="00A766B4">
        <w:rPr>
          <w:rFonts w:ascii="Book Antiqua" w:hAnsi="Book Antiqua"/>
          <w:i/>
          <w:iCs/>
        </w:rPr>
        <w:t>“Ley de Procedimiento Administrativo Uniforme del Gobierno de Puerto Rico”</w:t>
      </w:r>
      <w:r w:rsidRPr="00A766B4">
        <w:rPr>
          <w:rFonts w:ascii="Book Antiqua" w:hAnsi="Book Antiqua"/>
        </w:rPr>
        <w:t>.</w:t>
      </w:r>
    </w:p>
    <w:p w14:paraId="290302B8" w14:textId="77777777" w:rsidR="00EA2B17" w:rsidRPr="00A766B4" w:rsidRDefault="00EA2B17" w:rsidP="00EA2B17">
      <w:pPr>
        <w:spacing w:after="0" w:line="240" w:lineRule="auto"/>
        <w:ind w:firstLine="708"/>
        <w:contextualSpacing/>
        <w:jc w:val="both"/>
        <w:rPr>
          <w:rFonts w:ascii="Book Antiqua" w:hAnsi="Book Antiqua"/>
        </w:rPr>
      </w:pPr>
    </w:p>
    <w:p w14:paraId="3BD6E41D" w14:textId="77777777" w:rsidR="00A766B4" w:rsidRDefault="00A766B4" w:rsidP="00EA2B17">
      <w:pPr>
        <w:spacing w:after="0" w:line="240" w:lineRule="auto"/>
        <w:ind w:firstLine="708"/>
        <w:contextualSpacing/>
        <w:jc w:val="both"/>
        <w:rPr>
          <w:rFonts w:ascii="Book Antiqua" w:hAnsi="Book Antiqua"/>
        </w:rPr>
      </w:pPr>
      <w:r w:rsidRPr="00A766B4">
        <w:rPr>
          <w:rFonts w:ascii="Book Antiqua" w:hAnsi="Book Antiqua"/>
        </w:rPr>
        <w:t xml:space="preserve">El propósito principal de la medida es aclarar que los procedimientos y términos establecidos en dicha disposición resultan igualmente aplicables a los procesos de licitación pública, en aquellos casos en que no les sea de aplicación la Ley 73-2019, según enmendada, conocida como </w:t>
      </w:r>
      <w:r w:rsidRPr="00A766B4">
        <w:rPr>
          <w:rFonts w:ascii="Book Antiqua" w:hAnsi="Book Antiqua"/>
          <w:i/>
          <w:iCs/>
        </w:rPr>
        <w:t>“Ley de la Administración de Servicios Generales para la Centralización de las Compras del Gobierno de Puerto Rico de 2019”</w:t>
      </w:r>
      <w:r w:rsidRPr="00A766B4">
        <w:rPr>
          <w:rFonts w:ascii="Book Antiqua" w:hAnsi="Book Antiqua"/>
        </w:rPr>
        <w:t>.</w:t>
      </w:r>
    </w:p>
    <w:p w14:paraId="5F50C04D" w14:textId="77777777" w:rsidR="00EA2B17" w:rsidRPr="00A766B4" w:rsidRDefault="00EA2B17" w:rsidP="00EA2B17">
      <w:pPr>
        <w:spacing w:after="0" w:line="240" w:lineRule="auto"/>
        <w:ind w:firstLine="708"/>
        <w:contextualSpacing/>
        <w:jc w:val="both"/>
        <w:rPr>
          <w:rFonts w:ascii="Book Antiqua" w:hAnsi="Book Antiqua"/>
        </w:rPr>
      </w:pPr>
    </w:p>
    <w:p w14:paraId="73F1A483" w14:textId="28DAB6A2" w:rsidR="00A766B4" w:rsidRDefault="00A766B4" w:rsidP="00EA2B17">
      <w:pPr>
        <w:spacing w:after="0" w:line="240" w:lineRule="auto"/>
        <w:ind w:firstLine="708"/>
        <w:contextualSpacing/>
        <w:jc w:val="both"/>
        <w:rPr>
          <w:rFonts w:ascii="Book Antiqua" w:hAnsi="Book Antiqua"/>
        </w:rPr>
      </w:pPr>
      <w:r w:rsidRPr="00A766B4">
        <w:rPr>
          <w:rFonts w:ascii="Book Antiqua" w:hAnsi="Book Antiqua"/>
        </w:rPr>
        <w:t>Con esta enmienda, se busca atender la incertidumbre jurídica generada por la falta de uniformidad en los procesos de licitación, especialmente en los casos de contratación de servicios profesionales mediante mecanismos de subasta. Además, se garantiza igualdad de trato y seguridad jurídica para todos los participantes, fortaleciendo la transparencia y la eficiencia administrativa.</w:t>
      </w:r>
    </w:p>
    <w:p w14:paraId="08D77D18" w14:textId="77777777" w:rsidR="00212109" w:rsidRDefault="00212109" w:rsidP="00212109">
      <w:pPr>
        <w:spacing w:after="0" w:line="240" w:lineRule="auto"/>
        <w:contextualSpacing/>
        <w:rPr>
          <w:rFonts w:ascii="Book Antiqua" w:hAnsi="Book Antiqua"/>
        </w:rPr>
      </w:pPr>
    </w:p>
    <w:p w14:paraId="7333E694" w14:textId="77777777" w:rsidR="005B5334" w:rsidRDefault="005B5334" w:rsidP="00212109">
      <w:pPr>
        <w:spacing w:after="0" w:line="240" w:lineRule="auto"/>
        <w:contextualSpacing/>
        <w:rPr>
          <w:rFonts w:ascii="Book Antiqua" w:hAnsi="Book Antiqua"/>
        </w:rPr>
      </w:pPr>
    </w:p>
    <w:p w14:paraId="09C85DCC" w14:textId="77777777" w:rsidR="005B5334" w:rsidRDefault="005B5334" w:rsidP="00212109">
      <w:pPr>
        <w:spacing w:after="0" w:line="240" w:lineRule="auto"/>
        <w:contextualSpacing/>
        <w:rPr>
          <w:rFonts w:ascii="Book Antiqua" w:hAnsi="Book Antiqua"/>
        </w:rPr>
      </w:pPr>
    </w:p>
    <w:p w14:paraId="0ADF63E7" w14:textId="2DA5AB7A" w:rsidR="00C81B4C" w:rsidRPr="00262314" w:rsidRDefault="00C81B4C" w:rsidP="00212109">
      <w:pPr>
        <w:spacing w:after="0" w:line="240" w:lineRule="auto"/>
        <w:contextualSpacing/>
        <w:jc w:val="center"/>
        <w:rPr>
          <w:rFonts w:ascii="Book Antiqua" w:hAnsi="Book Antiqua"/>
          <w:b/>
          <w:bCs/>
        </w:rPr>
      </w:pPr>
      <w:r w:rsidRPr="00262314">
        <w:rPr>
          <w:rFonts w:ascii="Book Antiqua" w:hAnsi="Book Antiqua"/>
          <w:b/>
          <w:bCs/>
        </w:rPr>
        <w:lastRenderedPageBreak/>
        <w:t>INTRODUCCIÓN</w:t>
      </w:r>
    </w:p>
    <w:p w14:paraId="224E6AD0" w14:textId="77777777" w:rsidR="00212109" w:rsidRDefault="00212109" w:rsidP="00EA2B17">
      <w:pPr>
        <w:spacing w:after="0" w:line="240" w:lineRule="auto"/>
        <w:ind w:firstLine="708"/>
        <w:contextualSpacing/>
        <w:jc w:val="both"/>
        <w:rPr>
          <w:rFonts w:ascii="Book Antiqua" w:hAnsi="Book Antiqua" w:cs="Times New Roman"/>
        </w:rPr>
      </w:pPr>
    </w:p>
    <w:p w14:paraId="4EB2E45B" w14:textId="6897DB08" w:rsidR="00C31F72" w:rsidRPr="00C31F72" w:rsidRDefault="00C31F72" w:rsidP="00EA2B17">
      <w:pPr>
        <w:spacing w:after="0" w:line="240" w:lineRule="auto"/>
        <w:ind w:firstLine="708"/>
        <w:contextualSpacing/>
        <w:jc w:val="both"/>
        <w:rPr>
          <w:rFonts w:ascii="Book Antiqua" w:hAnsi="Book Antiqua" w:cs="Times New Roman"/>
        </w:rPr>
      </w:pPr>
      <w:r w:rsidRPr="00C31F72">
        <w:rPr>
          <w:rFonts w:ascii="Book Antiqua" w:hAnsi="Book Antiqua" w:cs="Times New Roman"/>
        </w:rPr>
        <w:t>La Exposición de Motivos del Proyecto del Senado 58 reconoce la importancia de fortalecer la confianza pública en la gestión gubernamental mediante la transparencia, uniformidad y certeza jurídica en los procesos de compras y licitaciones.</w:t>
      </w:r>
      <w:r w:rsidR="00212109">
        <w:rPr>
          <w:rFonts w:ascii="Book Antiqua" w:hAnsi="Book Antiqua" w:cs="Times New Roman"/>
        </w:rPr>
        <w:t xml:space="preserve"> </w:t>
      </w:r>
      <w:r w:rsidRPr="00C31F72">
        <w:rPr>
          <w:rFonts w:ascii="Book Antiqua" w:hAnsi="Book Antiqua" w:cs="Times New Roman"/>
        </w:rPr>
        <w:t>La medida persigue armonizar las disposiciones de la Ley de Procedimiento Administrativo Uniforme con las de la Ley 73-2019 y otras normas relacionadas, de forma que se eviten ambigüedades que puedan dar lugar a controversias administrativas y judiciales.</w:t>
      </w:r>
    </w:p>
    <w:p w14:paraId="2B9B9F02" w14:textId="77777777" w:rsidR="00212109" w:rsidRDefault="00212109" w:rsidP="00EA2B17">
      <w:pPr>
        <w:spacing w:after="0" w:line="240" w:lineRule="auto"/>
        <w:ind w:firstLine="708"/>
        <w:contextualSpacing/>
        <w:jc w:val="both"/>
        <w:rPr>
          <w:rFonts w:ascii="Book Antiqua" w:hAnsi="Book Antiqua" w:cs="Times New Roman"/>
        </w:rPr>
      </w:pPr>
    </w:p>
    <w:p w14:paraId="3FEF6521" w14:textId="218E7B53" w:rsidR="00C31F72" w:rsidRPr="00C31F72" w:rsidRDefault="00C31F72" w:rsidP="00EA2B17">
      <w:pPr>
        <w:spacing w:after="0" w:line="240" w:lineRule="auto"/>
        <w:ind w:firstLine="708"/>
        <w:contextualSpacing/>
        <w:jc w:val="both"/>
        <w:rPr>
          <w:rFonts w:ascii="Book Antiqua" w:hAnsi="Book Antiqua" w:cs="Times New Roman"/>
        </w:rPr>
      </w:pPr>
      <w:r w:rsidRPr="00C31F72">
        <w:rPr>
          <w:rFonts w:ascii="Book Antiqua" w:hAnsi="Book Antiqua" w:cs="Times New Roman"/>
        </w:rPr>
        <w:t>El P</w:t>
      </w:r>
      <w:r w:rsidR="00212109">
        <w:rPr>
          <w:rFonts w:ascii="Book Antiqua" w:hAnsi="Book Antiqua" w:cs="Times New Roman"/>
        </w:rPr>
        <w:t xml:space="preserve">. del </w:t>
      </w:r>
      <w:r w:rsidRPr="00C31F72">
        <w:rPr>
          <w:rFonts w:ascii="Book Antiqua" w:hAnsi="Book Antiqua" w:cs="Times New Roman"/>
        </w:rPr>
        <w:t>S</w:t>
      </w:r>
      <w:r w:rsidR="00212109">
        <w:rPr>
          <w:rFonts w:ascii="Book Antiqua" w:hAnsi="Book Antiqua" w:cs="Times New Roman"/>
        </w:rPr>
        <w:t xml:space="preserve">. </w:t>
      </w:r>
      <w:r w:rsidRPr="00C31F72">
        <w:rPr>
          <w:rFonts w:ascii="Book Antiqua" w:hAnsi="Book Antiqua" w:cs="Times New Roman"/>
        </w:rPr>
        <w:t>58 resulta pertinente porque refuerza el principio de que toda contratación pública debe estar guiada por criterios de legalidad, equidad y rendición de cuentas.</w:t>
      </w:r>
      <w:r w:rsidR="00212109">
        <w:rPr>
          <w:rFonts w:ascii="Book Antiqua" w:hAnsi="Book Antiqua" w:cs="Times New Roman"/>
        </w:rPr>
        <w:t xml:space="preserve"> </w:t>
      </w:r>
      <w:r w:rsidRPr="00C31F72">
        <w:rPr>
          <w:rFonts w:ascii="Book Antiqua" w:hAnsi="Book Antiqua" w:cs="Times New Roman"/>
        </w:rPr>
        <w:t>Asimismo, evita que distintas agencias o instrumentalidades adopten interpretaciones dispares en torno a los mecanismos de revisión aplicables a sus procesos de subasta, lo que podría generar litigios innecesarios y costos adicionales al erario.</w:t>
      </w:r>
    </w:p>
    <w:p w14:paraId="0031391E" w14:textId="77777777" w:rsidR="00212109" w:rsidRDefault="00212109" w:rsidP="00EA2B17">
      <w:pPr>
        <w:spacing w:after="0" w:line="240" w:lineRule="auto"/>
        <w:ind w:firstLine="708"/>
        <w:contextualSpacing/>
        <w:jc w:val="both"/>
        <w:rPr>
          <w:rFonts w:ascii="Book Antiqua" w:hAnsi="Book Antiqua" w:cs="Times New Roman"/>
        </w:rPr>
      </w:pPr>
    </w:p>
    <w:p w14:paraId="5E07764F" w14:textId="721DE6EE" w:rsidR="00C31F72" w:rsidRPr="00C31F72" w:rsidRDefault="00C31F72" w:rsidP="00EA2B17">
      <w:pPr>
        <w:spacing w:after="0" w:line="240" w:lineRule="auto"/>
        <w:ind w:firstLine="708"/>
        <w:contextualSpacing/>
        <w:jc w:val="both"/>
        <w:rPr>
          <w:rFonts w:ascii="Book Antiqua" w:hAnsi="Book Antiqua" w:cs="Times New Roman"/>
        </w:rPr>
      </w:pPr>
      <w:r w:rsidRPr="00C31F72">
        <w:rPr>
          <w:rFonts w:ascii="Book Antiqua" w:hAnsi="Book Antiqua" w:cs="Times New Roman"/>
        </w:rPr>
        <w:t>La uniformidad que propone esta enmienda también provee mayor seguridad a los licitadores, quienes requieren reglas claras y procesos consistentes para poder participar en igualdad de condiciones. En ese sentido, la medida representa una aportación significativa a la política pública de transparencia y sana administración gubernamental</w:t>
      </w:r>
    </w:p>
    <w:p w14:paraId="38BAD6D3" w14:textId="1C375B0E" w:rsidR="0041348C" w:rsidRDefault="0041348C" w:rsidP="00EA2B17">
      <w:pPr>
        <w:spacing w:after="0" w:line="240" w:lineRule="auto"/>
        <w:contextualSpacing/>
        <w:rPr>
          <w:rFonts w:ascii="Book Antiqua" w:hAnsi="Book Antiqua"/>
        </w:rPr>
      </w:pPr>
      <w:r w:rsidRPr="00A578C9">
        <w:rPr>
          <w:rFonts w:ascii="Times New Roman" w:hAnsi="Times New Roman" w:cs="Times New Roman"/>
        </w:rPr>
        <w:t> </w:t>
      </w:r>
      <w:r w:rsidRPr="00A578C9">
        <w:rPr>
          <w:rFonts w:ascii="Book Antiqua" w:hAnsi="Book Antiqua"/>
        </w:rPr>
        <w:tab/>
      </w:r>
    </w:p>
    <w:p w14:paraId="72D0337E" w14:textId="77777777" w:rsidR="0041348C" w:rsidRPr="008F7C47" w:rsidRDefault="0041348C" w:rsidP="00EA2B17">
      <w:pPr>
        <w:spacing w:after="0" w:line="240" w:lineRule="auto"/>
        <w:contextualSpacing/>
        <w:jc w:val="center"/>
        <w:rPr>
          <w:rFonts w:ascii="Book Antiqua" w:hAnsi="Book Antiqua"/>
          <w:b/>
          <w:bCs/>
        </w:rPr>
      </w:pPr>
      <w:r w:rsidRPr="008F7C47">
        <w:rPr>
          <w:rFonts w:ascii="Book Antiqua" w:hAnsi="Book Antiqua"/>
          <w:b/>
          <w:bCs/>
        </w:rPr>
        <w:t>ALCANCE DEL INFORME</w:t>
      </w:r>
    </w:p>
    <w:p w14:paraId="01CEE792" w14:textId="77777777" w:rsidR="00212109" w:rsidRDefault="00212109" w:rsidP="00EA2B17">
      <w:pPr>
        <w:spacing w:after="0" w:line="240" w:lineRule="auto"/>
        <w:ind w:firstLine="708"/>
        <w:contextualSpacing/>
        <w:jc w:val="both"/>
        <w:rPr>
          <w:rFonts w:ascii="Book Antiqua" w:hAnsi="Book Antiqua"/>
        </w:rPr>
      </w:pPr>
    </w:p>
    <w:p w14:paraId="75BD0C00" w14:textId="7B68E2BA" w:rsidR="00D42A00" w:rsidRDefault="00D42A00" w:rsidP="00EA2B17">
      <w:pPr>
        <w:spacing w:after="0" w:line="240" w:lineRule="auto"/>
        <w:ind w:firstLine="708"/>
        <w:contextualSpacing/>
        <w:jc w:val="both"/>
        <w:rPr>
          <w:rFonts w:ascii="Book Antiqua" w:hAnsi="Book Antiqua"/>
        </w:rPr>
      </w:pPr>
      <w:r w:rsidRPr="00D42A00">
        <w:rPr>
          <w:rFonts w:ascii="Book Antiqua" w:hAnsi="Book Antiqua"/>
        </w:rPr>
        <w:t>Como parte del trámite legislativo, la Comisión de Gobierno evaluó los memoriales presentados por diversas agencias y entidades con peritaje en la materia, a saber: el Departamento de Justicia, la Oficina de Servicios Legislativos (OSL), la Administración de Servicios Generales (ASG) y la Oficina de Presupuesto de la Rama Legislativa (OPAL).</w:t>
      </w:r>
    </w:p>
    <w:p w14:paraId="64BFB16E" w14:textId="77777777" w:rsidR="00772417" w:rsidRPr="00D42A00" w:rsidRDefault="00772417" w:rsidP="00EA2B17">
      <w:pPr>
        <w:spacing w:after="0" w:line="240" w:lineRule="auto"/>
        <w:ind w:firstLine="708"/>
        <w:contextualSpacing/>
        <w:jc w:val="both"/>
        <w:rPr>
          <w:rFonts w:ascii="Book Antiqua" w:hAnsi="Book Antiqua"/>
        </w:rPr>
      </w:pPr>
    </w:p>
    <w:p w14:paraId="70825B4D" w14:textId="3171A79E" w:rsidR="00D42A00" w:rsidRDefault="00D42A00" w:rsidP="00EA2B17">
      <w:pPr>
        <w:numPr>
          <w:ilvl w:val="0"/>
          <w:numId w:val="5"/>
        </w:numPr>
        <w:spacing w:after="0" w:line="240" w:lineRule="auto"/>
        <w:contextualSpacing/>
        <w:jc w:val="both"/>
        <w:rPr>
          <w:rFonts w:ascii="Book Antiqua" w:hAnsi="Book Antiqua"/>
        </w:rPr>
      </w:pPr>
      <w:r w:rsidRPr="00772417">
        <w:rPr>
          <w:rFonts w:ascii="Book Antiqua" w:hAnsi="Book Antiqua"/>
          <w:b/>
          <w:bCs/>
        </w:rPr>
        <w:t>Departamento de Justicia</w:t>
      </w:r>
      <w:r w:rsidRPr="00D42A00">
        <w:rPr>
          <w:rFonts w:ascii="Book Antiqua" w:hAnsi="Book Antiqua"/>
        </w:rPr>
        <w:t xml:space="preserve">: informó que, debido a una controversia pendiente ante el Tribunal Supremo de Puerto Rico relacionada con los asuntos que atiende el Proyecto, se abstuvo de expresar juicio sobre el mérito sustantivo de la medida. No obstante, reconoció que el </w:t>
      </w:r>
      <w:r w:rsidR="00772417" w:rsidRPr="00C31F72">
        <w:rPr>
          <w:rFonts w:ascii="Book Antiqua" w:hAnsi="Book Antiqua" w:cs="Times New Roman"/>
        </w:rPr>
        <w:t>P</w:t>
      </w:r>
      <w:r w:rsidR="00772417">
        <w:rPr>
          <w:rFonts w:ascii="Book Antiqua" w:hAnsi="Book Antiqua" w:cs="Times New Roman"/>
        </w:rPr>
        <w:t xml:space="preserve">. del </w:t>
      </w:r>
      <w:r w:rsidR="00772417" w:rsidRPr="00C31F72">
        <w:rPr>
          <w:rFonts w:ascii="Book Antiqua" w:hAnsi="Book Antiqua" w:cs="Times New Roman"/>
        </w:rPr>
        <w:t>S</w:t>
      </w:r>
      <w:r w:rsidR="00772417">
        <w:rPr>
          <w:rFonts w:ascii="Book Antiqua" w:hAnsi="Book Antiqua" w:cs="Times New Roman"/>
        </w:rPr>
        <w:t xml:space="preserve">. </w:t>
      </w:r>
      <w:r w:rsidR="00772417" w:rsidRPr="00C31F72">
        <w:rPr>
          <w:rFonts w:ascii="Book Antiqua" w:hAnsi="Book Antiqua" w:cs="Times New Roman"/>
        </w:rPr>
        <w:t>58</w:t>
      </w:r>
      <w:r w:rsidRPr="00D42A00">
        <w:rPr>
          <w:rFonts w:ascii="Book Antiqua" w:hAnsi="Book Antiqua"/>
        </w:rPr>
        <w:t xml:space="preserve"> aborda un área de alto interés jurídico y administrativo.</w:t>
      </w:r>
    </w:p>
    <w:p w14:paraId="7FAE97FC" w14:textId="77777777" w:rsidR="00772417" w:rsidRPr="00D42A00" w:rsidRDefault="00772417" w:rsidP="00772417">
      <w:pPr>
        <w:spacing w:after="0" w:line="240" w:lineRule="auto"/>
        <w:ind w:left="720"/>
        <w:contextualSpacing/>
        <w:jc w:val="both"/>
        <w:rPr>
          <w:rFonts w:ascii="Book Antiqua" w:hAnsi="Book Antiqua"/>
        </w:rPr>
      </w:pPr>
    </w:p>
    <w:p w14:paraId="53F58A30" w14:textId="77777777" w:rsidR="00D42A00" w:rsidRDefault="00D42A00" w:rsidP="00EA2B17">
      <w:pPr>
        <w:numPr>
          <w:ilvl w:val="0"/>
          <w:numId w:val="5"/>
        </w:numPr>
        <w:spacing w:after="0" w:line="240" w:lineRule="auto"/>
        <w:contextualSpacing/>
        <w:jc w:val="both"/>
        <w:rPr>
          <w:rFonts w:ascii="Book Antiqua" w:hAnsi="Book Antiqua"/>
        </w:rPr>
      </w:pPr>
      <w:r w:rsidRPr="00772417">
        <w:rPr>
          <w:rFonts w:ascii="Book Antiqua" w:hAnsi="Book Antiqua"/>
          <w:b/>
          <w:bCs/>
        </w:rPr>
        <w:t>Oficina de Servicios Legislativos (OSL)</w:t>
      </w:r>
      <w:r w:rsidRPr="00D42A00">
        <w:rPr>
          <w:rFonts w:ascii="Book Antiqua" w:hAnsi="Book Antiqua"/>
        </w:rPr>
        <w:t>: no objetó la aprobación de la medida. Por el contrario, realizó observaciones técnicas sobre su redacción y alcance, las cuales fueron acogidas e incorporadas al texto final. Destacó que la medida constituye una aportación valiosa a la sana administración pública y a la protección del erario, al brindar certeza y uniformidad en los procesos de contratación.</w:t>
      </w:r>
    </w:p>
    <w:p w14:paraId="159B215E" w14:textId="77777777" w:rsidR="00772417" w:rsidRDefault="00772417" w:rsidP="00772417">
      <w:pPr>
        <w:pStyle w:val="ListParagraph"/>
        <w:rPr>
          <w:rFonts w:ascii="Book Antiqua" w:hAnsi="Book Antiqua"/>
        </w:rPr>
      </w:pPr>
    </w:p>
    <w:p w14:paraId="372B5CFD" w14:textId="77777777" w:rsidR="00772417" w:rsidRPr="00D42A00" w:rsidRDefault="00772417" w:rsidP="00772417">
      <w:pPr>
        <w:spacing w:after="0" w:line="240" w:lineRule="auto"/>
        <w:ind w:left="720"/>
        <w:contextualSpacing/>
        <w:jc w:val="both"/>
        <w:rPr>
          <w:rFonts w:ascii="Book Antiqua" w:hAnsi="Book Antiqua"/>
        </w:rPr>
      </w:pPr>
    </w:p>
    <w:p w14:paraId="0DC33EF7" w14:textId="77777777" w:rsidR="00D42A00" w:rsidRDefault="00D42A00" w:rsidP="00EA2B17">
      <w:pPr>
        <w:numPr>
          <w:ilvl w:val="0"/>
          <w:numId w:val="5"/>
        </w:numPr>
        <w:spacing w:after="0" w:line="240" w:lineRule="auto"/>
        <w:contextualSpacing/>
        <w:jc w:val="both"/>
        <w:rPr>
          <w:rFonts w:ascii="Book Antiqua" w:hAnsi="Book Antiqua"/>
        </w:rPr>
      </w:pPr>
      <w:r w:rsidRPr="00772417">
        <w:rPr>
          <w:rFonts w:ascii="Book Antiqua" w:hAnsi="Book Antiqua"/>
          <w:b/>
          <w:bCs/>
        </w:rPr>
        <w:t>Administración de Servicios Generales (ASG)</w:t>
      </w:r>
      <w:r w:rsidRPr="00D42A00">
        <w:rPr>
          <w:rFonts w:ascii="Book Antiqua" w:hAnsi="Book Antiqua"/>
        </w:rPr>
        <w:t>: respaldó expresamente la medida, señalando que aclara y fortalece el marco jurídico vigente en torno a las licitaciones públicas, especialmente en la contratación de servicios profesionales. Subrayó que el PS 58 previene controversias al establecer que estos procesos deben regirse por las garantías procesales de la Ley 38-2017, reforzando la política pública de transparencia, equidad y debido proceso.</w:t>
      </w:r>
    </w:p>
    <w:p w14:paraId="0A5E5F9F" w14:textId="77777777" w:rsidR="00772417" w:rsidRPr="00D42A00" w:rsidRDefault="00772417" w:rsidP="00772417">
      <w:pPr>
        <w:spacing w:after="0" w:line="240" w:lineRule="auto"/>
        <w:ind w:left="720"/>
        <w:contextualSpacing/>
        <w:jc w:val="both"/>
        <w:rPr>
          <w:rFonts w:ascii="Book Antiqua" w:hAnsi="Book Antiqua"/>
        </w:rPr>
      </w:pPr>
    </w:p>
    <w:p w14:paraId="16532FF2" w14:textId="77777777" w:rsidR="00D42A00" w:rsidRDefault="00D42A00" w:rsidP="00EA2B17">
      <w:pPr>
        <w:numPr>
          <w:ilvl w:val="0"/>
          <w:numId w:val="5"/>
        </w:numPr>
        <w:spacing w:after="0" w:line="240" w:lineRule="auto"/>
        <w:contextualSpacing/>
        <w:jc w:val="both"/>
        <w:rPr>
          <w:rFonts w:ascii="Book Antiqua" w:hAnsi="Book Antiqua"/>
        </w:rPr>
      </w:pPr>
      <w:r w:rsidRPr="00772417">
        <w:rPr>
          <w:rFonts w:ascii="Book Antiqua" w:hAnsi="Book Antiqua"/>
          <w:b/>
          <w:bCs/>
        </w:rPr>
        <w:t>Oficina de Presupuesto de la Rama Legislativa (OPAL)</w:t>
      </w:r>
      <w:r w:rsidRPr="00D42A00">
        <w:rPr>
          <w:rFonts w:ascii="Book Antiqua" w:hAnsi="Book Antiqua"/>
        </w:rPr>
        <w:t>: concluyó que la medida no tendría un impacto fiscal significativo. En caso de surgir algún costo, este se limitaría a ajustes mínimos relacionados con la reglamentación interna de las agencias.</w:t>
      </w:r>
    </w:p>
    <w:p w14:paraId="139DE379" w14:textId="77777777" w:rsidR="00772417" w:rsidRPr="00D42A00" w:rsidRDefault="00772417" w:rsidP="00772417">
      <w:pPr>
        <w:spacing w:after="0" w:line="240" w:lineRule="auto"/>
        <w:contextualSpacing/>
        <w:jc w:val="both"/>
        <w:rPr>
          <w:rFonts w:ascii="Book Antiqua" w:hAnsi="Book Antiqua"/>
        </w:rPr>
      </w:pPr>
    </w:p>
    <w:p w14:paraId="106322D2" w14:textId="77777777" w:rsidR="00D42A00" w:rsidRPr="00D42A00" w:rsidRDefault="00D42A00" w:rsidP="00EA2B17">
      <w:pPr>
        <w:spacing w:after="0" w:line="240" w:lineRule="auto"/>
        <w:ind w:firstLine="708"/>
        <w:contextualSpacing/>
        <w:jc w:val="both"/>
        <w:rPr>
          <w:rFonts w:ascii="Book Antiqua" w:hAnsi="Book Antiqua"/>
        </w:rPr>
      </w:pPr>
      <w:r w:rsidRPr="00D42A00">
        <w:rPr>
          <w:rFonts w:ascii="Book Antiqua" w:hAnsi="Book Antiqua"/>
        </w:rPr>
        <w:t>Las opiniones recibidas reflejan un consenso general sobre la importancia de la medida, aun cuando algunas entidades, como Justicia, se abstuvieron de pronunciarse sobre el fondo.</w:t>
      </w:r>
    </w:p>
    <w:p w14:paraId="6F0F7FDE" w14:textId="4F90F9E9" w:rsidR="004A4B0C" w:rsidRDefault="00D42A00" w:rsidP="00EA2B17">
      <w:pPr>
        <w:spacing w:after="0" w:line="240" w:lineRule="auto"/>
        <w:contextualSpacing/>
        <w:jc w:val="both"/>
        <w:rPr>
          <w:rFonts w:ascii="Book Antiqua" w:hAnsi="Book Antiqua"/>
          <w:b/>
          <w:bCs/>
        </w:rPr>
      </w:pPr>
      <w:r>
        <w:rPr>
          <w:rFonts w:ascii="Book Antiqua" w:hAnsi="Book Antiqua"/>
          <w:b/>
          <w:bCs/>
        </w:rPr>
        <w:tab/>
      </w:r>
    </w:p>
    <w:p w14:paraId="56D102E2" w14:textId="42E89100" w:rsidR="0041348C" w:rsidRPr="00A578C9" w:rsidRDefault="0041348C" w:rsidP="00EA2B17">
      <w:pPr>
        <w:spacing w:after="0" w:line="240" w:lineRule="auto"/>
        <w:contextualSpacing/>
        <w:jc w:val="center"/>
        <w:rPr>
          <w:rFonts w:ascii="Book Antiqua" w:hAnsi="Book Antiqua"/>
          <w:b/>
          <w:bCs/>
        </w:rPr>
      </w:pPr>
      <w:r w:rsidRPr="00A578C9">
        <w:rPr>
          <w:rFonts w:ascii="Book Antiqua" w:hAnsi="Book Antiqua"/>
          <w:b/>
          <w:bCs/>
        </w:rPr>
        <w:t>CONCLUSIÓN</w:t>
      </w:r>
    </w:p>
    <w:p w14:paraId="12BA0A4E" w14:textId="77777777" w:rsidR="00772417" w:rsidRDefault="00772417" w:rsidP="00EA2B17">
      <w:pPr>
        <w:spacing w:after="0" w:line="240" w:lineRule="auto"/>
        <w:ind w:firstLine="708"/>
        <w:contextualSpacing/>
        <w:jc w:val="both"/>
        <w:rPr>
          <w:rFonts w:ascii="Book Antiqua" w:hAnsi="Book Antiqua"/>
        </w:rPr>
      </w:pPr>
    </w:p>
    <w:p w14:paraId="31082F76" w14:textId="5167B5E6" w:rsidR="00470ADC" w:rsidRDefault="00470ADC" w:rsidP="00EA2B17">
      <w:pPr>
        <w:spacing w:after="0" w:line="240" w:lineRule="auto"/>
        <w:ind w:firstLine="708"/>
        <w:contextualSpacing/>
        <w:jc w:val="both"/>
        <w:rPr>
          <w:rFonts w:ascii="Book Antiqua" w:hAnsi="Book Antiqua"/>
        </w:rPr>
      </w:pPr>
      <w:r w:rsidRPr="00470ADC">
        <w:rPr>
          <w:rFonts w:ascii="Book Antiqua" w:hAnsi="Book Antiqua"/>
        </w:rPr>
        <w:t>El Proyecto del Senado 58 constituye una pieza legislativa de gran valor para la administración pública en Puerto Rico. Al armonizar la Ley de Procedimiento Administrativo Uniforme con los procesos de licitación pública, el proyecto</w:t>
      </w:r>
      <w:r w:rsidR="00627417">
        <w:rPr>
          <w:rFonts w:ascii="Book Antiqua" w:hAnsi="Book Antiqua"/>
        </w:rPr>
        <w:t>: p</w:t>
      </w:r>
      <w:r w:rsidRPr="00470ADC">
        <w:rPr>
          <w:rFonts w:ascii="Book Antiqua" w:hAnsi="Book Antiqua"/>
        </w:rPr>
        <w:t>rovee mayor certeza jurídica a agencias y licitadores</w:t>
      </w:r>
      <w:r w:rsidR="00627417">
        <w:rPr>
          <w:rFonts w:ascii="Book Antiqua" w:hAnsi="Book Antiqua"/>
        </w:rPr>
        <w:t xml:space="preserve"> y f</w:t>
      </w:r>
      <w:r w:rsidRPr="00470ADC">
        <w:rPr>
          <w:rFonts w:ascii="Book Antiqua" w:hAnsi="Book Antiqua"/>
        </w:rPr>
        <w:t>ortalece la transparencia y la rendición de cuentas en la gestión gubernamental.</w:t>
      </w:r>
    </w:p>
    <w:p w14:paraId="1627E2FC" w14:textId="77777777" w:rsidR="00772417" w:rsidRDefault="00772417" w:rsidP="00EA2B17">
      <w:pPr>
        <w:spacing w:after="0" w:line="240" w:lineRule="auto"/>
        <w:ind w:firstLine="708"/>
        <w:contextualSpacing/>
        <w:jc w:val="both"/>
        <w:rPr>
          <w:rFonts w:ascii="Book Antiqua" w:hAnsi="Book Antiqua"/>
        </w:rPr>
      </w:pPr>
    </w:p>
    <w:p w14:paraId="4F7C0417" w14:textId="414588D6" w:rsidR="008F3CBC" w:rsidRDefault="008F3CBC" w:rsidP="008616F1">
      <w:pPr>
        <w:spacing w:after="0" w:line="240" w:lineRule="auto"/>
        <w:ind w:firstLine="708"/>
        <w:contextualSpacing/>
        <w:jc w:val="both"/>
        <w:rPr>
          <w:rFonts w:ascii="Book Antiqua" w:hAnsi="Book Antiqua"/>
        </w:rPr>
      </w:pPr>
      <w:r w:rsidRPr="008F3CBC">
        <w:rPr>
          <w:rFonts w:ascii="Book Antiqua" w:hAnsi="Book Antiqua"/>
        </w:rPr>
        <w:t>Como es sabido, la Asamblea Legislativa de Puerto Rico goza de amplia facultad y discreción para promulgar legislación que promueva y proteja los intereses y bienestar del Pueblo, amparada en los poderes que le confiere la Constitución de Puerto Rico, sujeto únicamente a las limitaciones que en ella se establecen.</w:t>
      </w:r>
      <w:r w:rsidR="008616F1">
        <w:rPr>
          <w:rFonts w:ascii="Book Antiqua" w:hAnsi="Book Antiqua"/>
        </w:rPr>
        <w:t xml:space="preserve"> </w:t>
      </w:r>
      <w:r w:rsidRPr="008F3CBC">
        <w:rPr>
          <w:rFonts w:ascii="Book Antiqua" w:hAnsi="Book Antiqua"/>
        </w:rPr>
        <w:t>En vista de que las agencias consultadas no plantearon objeciones y que la medida responde a una necesidad real de clarificación legal y al mejor interés del Pueblo de Puerto Rico, esta Comisión de Gobierno entiende meritoria la aprobación del Proyecto del Senado 58.</w:t>
      </w:r>
    </w:p>
    <w:p w14:paraId="4CA8D394" w14:textId="77777777" w:rsidR="00772417" w:rsidRPr="008F3CBC" w:rsidRDefault="00772417" w:rsidP="00EA2B17">
      <w:pPr>
        <w:spacing w:after="0" w:line="240" w:lineRule="auto"/>
        <w:ind w:firstLine="708"/>
        <w:contextualSpacing/>
        <w:jc w:val="both"/>
        <w:rPr>
          <w:rFonts w:ascii="Book Antiqua" w:hAnsi="Book Antiqua"/>
        </w:rPr>
      </w:pPr>
    </w:p>
    <w:p w14:paraId="2B6FDF8E" w14:textId="77777777" w:rsidR="00470ADC" w:rsidRDefault="00470ADC" w:rsidP="00EA2B17">
      <w:pPr>
        <w:spacing w:after="0" w:line="240" w:lineRule="auto"/>
        <w:ind w:firstLine="708"/>
        <w:contextualSpacing/>
        <w:jc w:val="both"/>
        <w:rPr>
          <w:rFonts w:ascii="Book Antiqua" w:hAnsi="Book Antiqua"/>
        </w:rPr>
      </w:pPr>
      <w:r w:rsidRPr="00470ADC">
        <w:rPr>
          <w:rFonts w:ascii="Book Antiqua" w:hAnsi="Book Antiqua"/>
        </w:rPr>
        <w:t xml:space="preserve">Por tanto, recomendamos a este Honorable Cuerpo la aprobación del Proyecto del Senado 58, </w:t>
      </w:r>
      <w:r w:rsidRPr="00470ADC">
        <w:rPr>
          <w:rFonts w:ascii="Book Antiqua" w:hAnsi="Book Antiqua"/>
          <w:b/>
          <w:bCs/>
        </w:rPr>
        <w:t>sin enmiendas</w:t>
      </w:r>
      <w:r w:rsidRPr="00470ADC">
        <w:rPr>
          <w:rFonts w:ascii="Book Antiqua" w:hAnsi="Book Antiqua"/>
        </w:rPr>
        <w:t>.</w:t>
      </w:r>
    </w:p>
    <w:p w14:paraId="6A114F6E" w14:textId="77777777" w:rsidR="00772417" w:rsidRPr="00470ADC" w:rsidRDefault="00772417" w:rsidP="00EA2B17">
      <w:pPr>
        <w:spacing w:after="0" w:line="240" w:lineRule="auto"/>
        <w:ind w:firstLine="708"/>
        <w:contextualSpacing/>
        <w:jc w:val="both"/>
        <w:rPr>
          <w:rFonts w:ascii="Book Antiqua" w:hAnsi="Book Antiqua"/>
        </w:rPr>
      </w:pPr>
    </w:p>
    <w:p w14:paraId="1F4EDE95" w14:textId="77777777" w:rsidR="0041348C" w:rsidRPr="00A578C9" w:rsidRDefault="0041348C" w:rsidP="00EA2B17">
      <w:pPr>
        <w:spacing w:after="0" w:line="240" w:lineRule="auto"/>
        <w:contextualSpacing/>
        <w:rPr>
          <w:rFonts w:ascii="Book Antiqua" w:hAnsi="Book Antiqua"/>
        </w:rPr>
      </w:pPr>
      <w:r w:rsidRPr="00A578C9">
        <w:rPr>
          <w:rFonts w:ascii="Book Antiqua" w:hAnsi="Book Antiqua"/>
        </w:rPr>
        <w:t>Respetuosamente sometido,</w:t>
      </w:r>
      <w:r w:rsidRPr="00A578C9">
        <w:rPr>
          <w:rFonts w:ascii="Times New Roman" w:hAnsi="Times New Roman" w:cs="Times New Roman"/>
        </w:rPr>
        <w:t>  </w:t>
      </w:r>
      <w:r w:rsidRPr="00A578C9">
        <w:rPr>
          <w:rFonts w:ascii="Book Antiqua" w:hAnsi="Book Antiqua"/>
        </w:rPr>
        <w:t> </w:t>
      </w:r>
    </w:p>
    <w:p w14:paraId="2FBDBA32" w14:textId="77777777" w:rsidR="0041348C" w:rsidRDefault="0041348C" w:rsidP="00EA2B17">
      <w:pPr>
        <w:spacing w:after="0" w:line="240" w:lineRule="auto"/>
        <w:contextualSpacing/>
        <w:rPr>
          <w:rFonts w:ascii="Book Antiqua" w:hAnsi="Book Antiqua"/>
        </w:rPr>
      </w:pPr>
      <w:r w:rsidRPr="00A578C9">
        <w:rPr>
          <w:rFonts w:ascii="Book Antiqua" w:hAnsi="Book Antiqua"/>
        </w:rPr>
        <w:t> </w:t>
      </w:r>
    </w:p>
    <w:p w14:paraId="336D2042" w14:textId="77777777" w:rsidR="008616F1" w:rsidRPr="005B5334" w:rsidRDefault="008616F1" w:rsidP="00EA2B17">
      <w:pPr>
        <w:spacing w:after="0" w:line="240" w:lineRule="auto"/>
        <w:contextualSpacing/>
        <w:rPr>
          <w:rFonts w:ascii="Book Antiqua" w:hAnsi="Book Antiqua"/>
        </w:rPr>
      </w:pPr>
    </w:p>
    <w:p w14:paraId="2DE28CEB" w14:textId="77777777" w:rsidR="00772417" w:rsidRPr="00772417" w:rsidRDefault="00772417" w:rsidP="00EA2B17">
      <w:pPr>
        <w:spacing w:after="0" w:line="240" w:lineRule="auto"/>
        <w:contextualSpacing/>
        <w:rPr>
          <w:rFonts w:ascii="Book Antiqua" w:hAnsi="Book Antiqua"/>
          <w:sz w:val="28"/>
          <w:szCs w:val="28"/>
        </w:rPr>
      </w:pPr>
    </w:p>
    <w:p w14:paraId="1C9CCF42" w14:textId="77777777" w:rsidR="0041348C" w:rsidRPr="00A578C9" w:rsidRDefault="0041348C" w:rsidP="00EA2B17">
      <w:pPr>
        <w:spacing w:after="0" w:line="240" w:lineRule="auto"/>
        <w:contextualSpacing/>
        <w:rPr>
          <w:rFonts w:ascii="Book Antiqua" w:hAnsi="Book Antiqua"/>
        </w:rPr>
      </w:pPr>
      <w:proofErr w:type="spellStart"/>
      <w:r w:rsidRPr="00A578C9">
        <w:rPr>
          <w:rFonts w:ascii="Book Antiqua" w:hAnsi="Book Antiqua"/>
          <w:b/>
          <w:bCs/>
        </w:rPr>
        <w:t>Hon</w:t>
      </w:r>
      <w:proofErr w:type="spellEnd"/>
      <w:r w:rsidRPr="00A578C9">
        <w:rPr>
          <w:rFonts w:ascii="Book Antiqua" w:hAnsi="Book Antiqua"/>
          <w:b/>
          <w:bCs/>
        </w:rPr>
        <w:t>. Víctor L. Parés-Otero</w:t>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Times New Roman" w:hAnsi="Times New Roman" w:cs="Times New Roman"/>
        </w:rPr>
        <w:t>  </w:t>
      </w:r>
      <w:r w:rsidRPr="00A578C9">
        <w:rPr>
          <w:rFonts w:ascii="Book Antiqua" w:hAnsi="Book Antiqua"/>
        </w:rPr>
        <w:t> </w:t>
      </w:r>
    </w:p>
    <w:p w14:paraId="46C7C834" w14:textId="77777777" w:rsidR="0041348C" w:rsidRPr="00A578C9" w:rsidRDefault="0041348C" w:rsidP="00EA2B17">
      <w:pPr>
        <w:spacing w:after="0" w:line="240" w:lineRule="auto"/>
        <w:contextualSpacing/>
        <w:rPr>
          <w:rFonts w:ascii="Book Antiqua" w:hAnsi="Book Antiqua"/>
        </w:rPr>
      </w:pPr>
      <w:r w:rsidRPr="00A578C9">
        <w:rPr>
          <w:rFonts w:ascii="Book Antiqua" w:hAnsi="Book Antiqua"/>
        </w:rPr>
        <w:t>Presidente</w:t>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Times New Roman" w:hAnsi="Times New Roman" w:cs="Times New Roman"/>
        </w:rPr>
        <w:t>  </w:t>
      </w:r>
      <w:r w:rsidRPr="00A578C9">
        <w:rPr>
          <w:rFonts w:ascii="Book Antiqua" w:hAnsi="Book Antiqua"/>
        </w:rPr>
        <w:t> </w:t>
      </w:r>
    </w:p>
    <w:p w14:paraId="2A62391B" w14:textId="14C3D588" w:rsidR="0041348C" w:rsidRDefault="0041348C" w:rsidP="00EA2B17">
      <w:pPr>
        <w:spacing w:after="0" w:line="240" w:lineRule="auto"/>
        <w:contextualSpacing/>
      </w:pPr>
      <w:r w:rsidRPr="00A578C9">
        <w:rPr>
          <w:rFonts w:ascii="Book Antiqua" w:hAnsi="Book Antiqua"/>
        </w:rPr>
        <w:t>Comisión de Gobierno</w:t>
      </w:r>
      <w:r w:rsidRPr="00A578C9">
        <w:rPr>
          <w:rFonts w:ascii="Times New Roman" w:hAnsi="Times New Roman" w:cs="Times New Roman"/>
        </w:rPr>
        <w:t>  </w:t>
      </w:r>
      <w:r w:rsidRPr="00A578C9">
        <w:rPr>
          <w:rFonts w:ascii="Book Antiqua" w:hAnsi="Book Antiqua"/>
        </w:rPr>
        <w:t> </w:t>
      </w:r>
    </w:p>
    <w:sectPr w:rsidR="0041348C" w:rsidSect="0041348C">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D851C" w14:textId="77777777" w:rsidR="005E3BD1" w:rsidRDefault="005E3BD1" w:rsidP="0041348C">
      <w:pPr>
        <w:spacing w:after="0" w:line="240" w:lineRule="auto"/>
      </w:pPr>
      <w:r>
        <w:separator/>
      </w:r>
    </w:p>
  </w:endnote>
  <w:endnote w:type="continuationSeparator" w:id="0">
    <w:p w14:paraId="4068CD56" w14:textId="77777777" w:rsidR="005E3BD1" w:rsidRDefault="005E3BD1" w:rsidP="00413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8766366"/>
      <w:docPartObj>
        <w:docPartGallery w:val="Page Numbers (Bottom of Page)"/>
        <w:docPartUnique/>
      </w:docPartObj>
    </w:sdtPr>
    <w:sdtEndPr/>
    <w:sdtContent>
      <w:p w14:paraId="4EA0B63D" w14:textId="77777777" w:rsidR="0041348C" w:rsidRDefault="0041348C">
        <w:pPr>
          <w:pStyle w:val="Footer"/>
          <w:jc w:val="center"/>
        </w:pPr>
        <w:r>
          <w:fldChar w:fldCharType="begin"/>
        </w:r>
        <w:r>
          <w:instrText>PAGE   \* MERGEFORMAT</w:instrText>
        </w:r>
        <w:r>
          <w:fldChar w:fldCharType="separate"/>
        </w:r>
        <w:r>
          <w:rPr>
            <w:lang w:val="es-ES"/>
          </w:rPr>
          <w:t>2</w:t>
        </w:r>
        <w:r>
          <w:fldChar w:fldCharType="end"/>
        </w:r>
      </w:p>
    </w:sdtContent>
  </w:sdt>
  <w:p w14:paraId="067C296A" w14:textId="77777777" w:rsidR="0041348C" w:rsidRDefault="004134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92A60" w14:textId="77777777" w:rsidR="005E3BD1" w:rsidRDefault="005E3BD1" w:rsidP="0041348C">
      <w:pPr>
        <w:spacing w:after="0" w:line="240" w:lineRule="auto"/>
      </w:pPr>
      <w:r>
        <w:separator/>
      </w:r>
    </w:p>
  </w:footnote>
  <w:footnote w:type="continuationSeparator" w:id="0">
    <w:p w14:paraId="1AA1EEA2" w14:textId="77777777" w:rsidR="005E3BD1" w:rsidRDefault="005E3BD1" w:rsidP="004134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EE633" w14:textId="77777777" w:rsidR="0041348C" w:rsidRDefault="0041348C">
    <w:pPr>
      <w:pStyle w:val="Header"/>
      <w:rPr>
        <w:rFonts w:ascii="Book Antiqua" w:hAnsi="Book Antiqua"/>
        <w:sz w:val="20"/>
        <w:szCs w:val="20"/>
      </w:rPr>
    </w:pPr>
    <w:r>
      <w:rPr>
        <w:rFonts w:ascii="Book Antiqua" w:hAnsi="Book Antiqua"/>
        <w:sz w:val="20"/>
        <w:szCs w:val="20"/>
      </w:rPr>
      <w:t>Informe Positivo</w:t>
    </w:r>
  </w:p>
  <w:p w14:paraId="1E222518" w14:textId="4EFB899A" w:rsidR="0041348C" w:rsidRPr="002F23A4" w:rsidRDefault="0041348C">
    <w:pPr>
      <w:pStyle w:val="Header"/>
      <w:rPr>
        <w:rFonts w:ascii="Book Antiqua" w:hAnsi="Book Antiqua"/>
        <w:sz w:val="20"/>
        <w:szCs w:val="20"/>
      </w:rPr>
    </w:pPr>
    <w:r>
      <w:rPr>
        <w:rFonts w:ascii="Book Antiqua" w:hAnsi="Book Antiqua"/>
        <w:sz w:val="20"/>
        <w:szCs w:val="20"/>
      </w:rPr>
      <w:t>Proyecto del Senado 58</w:t>
    </w:r>
  </w:p>
  <w:p w14:paraId="1EF5D938" w14:textId="77777777" w:rsidR="0041348C" w:rsidRDefault="004134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9621A"/>
    <w:multiLevelType w:val="multilevel"/>
    <w:tmpl w:val="7C0AF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114F73"/>
    <w:multiLevelType w:val="multilevel"/>
    <w:tmpl w:val="47004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974496"/>
    <w:multiLevelType w:val="hybridMultilevel"/>
    <w:tmpl w:val="C9C89C5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 w15:restartNumberingAfterBreak="0">
    <w:nsid w:val="5D1F2567"/>
    <w:multiLevelType w:val="multilevel"/>
    <w:tmpl w:val="18DAE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C3132B"/>
    <w:multiLevelType w:val="multilevel"/>
    <w:tmpl w:val="03C6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67028">
    <w:abstractNumId w:val="1"/>
  </w:num>
  <w:num w:numId="2" w16cid:durableId="1119833397">
    <w:abstractNumId w:val="2"/>
  </w:num>
  <w:num w:numId="3" w16cid:durableId="1284994626">
    <w:abstractNumId w:val="4"/>
  </w:num>
  <w:num w:numId="4" w16cid:durableId="313264855">
    <w:abstractNumId w:val="0"/>
  </w:num>
  <w:num w:numId="5" w16cid:durableId="1844859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48C"/>
    <w:rsid w:val="0003588E"/>
    <w:rsid w:val="000768B5"/>
    <w:rsid w:val="00194E77"/>
    <w:rsid w:val="0020585C"/>
    <w:rsid w:val="00206DCC"/>
    <w:rsid w:val="00212109"/>
    <w:rsid w:val="00220F39"/>
    <w:rsid w:val="00262314"/>
    <w:rsid w:val="002F48AA"/>
    <w:rsid w:val="003C0A33"/>
    <w:rsid w:val="0041348C"/>
    <w:rsid w:val="00423167"/>
    <w:rsid w:val="00470786"/>
    <w:rsid w:val="00470ADC"/>
    <w:rsid w:val="00471457"/>
    <w:rsid w:val="004A4B0C"/>
    <w:rsid w:val="005264BF"/>
    <w:rsid w:val="005A0C1A"/>
    <w:rsid w:val="005B5334"/>
    <w:rsid w:val="005C4C6B"/>
    <w:rsid w:val="005D06B5"/>
    <w:rsid w:val="005D798B"/>
    <w:rsid w:val="005E3BD1"/>
    <w:rsid w:val="00627417"/>
    <w:rsid w:val="00737E98"/>
    <w:rsid w:val="007673CE"/>
    <w:rsid w:val="00772417"/>
    <w:rsid w:val="007A5F76"/>
    <w:rsid w:val="00847262"/>
    <w:rsid w:val="00854849"/>
    <w:rsid w:val="00857668"/>
    <w:rsid w:val="008616F1"/>
    <w:rsid w:val="008C69AE"/>
    <w:rsid w:val="008F3CBC"/>
    <w:rsid w:val="00942803"/>
    <w:rsid w:val="009A061A"/>
    <w:rsid w:val="009A3003"/>
    <w:rsid w:val="00A02C46"/>
    <w:rsid w:val="00A35E06"/>
    <w:rsid w:val="00A766B4"/>
    <w:rsid w:val="00B1111C"/>
    <w:rsid w:val="00B15AB4"/>
    <w:rsid w:val="00B34FA1"/>
    <w:rsid w:val="00B451B2"/>
    <w:rsid w:val="00B80F9F"/>
    <w:rsid w:val="00B81DDE"/>
    <w:rsid w:val="00BC4FA5"/>
    <w:rsid w:val="00C107D9"/>
    <w:rsid w:val="00C31F72"/>
    <w:rsid w:val="00C81B4C"/>
    <w:rsid w:val="00CD6B89"/>
    <w:rsid w:val="00D112DB"/>
    <w:rsid w:val="00D42A00"/>
    <w:rsid w:val="00E25052"/>
    <w:rsid w:val="00EA2B17"/>
    <w:rsid w:val="00F258A1"/>
    <w:rsid w:val="00FF3EFA"/>
    <w:rsid w:val="00FF6866"/>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08188"/>
  <w15:chartTrackingRefBased/>
  <w15:docId w15:val="{9C688C3E-DAF0-4FBA-8426-DE6CEA8D9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48C"/>
  </w:style>
  <w:style w:type="paragraph" w:styleId="Heading1">
    <w:name w:val="heading 1"/>
    <w:basedOn w:val="Normal"/>
    <w:next w:val="Normal"/>
    <w:link w:val="Heading1Char"/>
    <w:uiPriority w:val="9"/>
    <w:qFormat/>
    <w:rsid w:val="004134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34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34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34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34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34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34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34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34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34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34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34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34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34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34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34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34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348C"/>
    <w:rPr>
      <w:rFonts w:eastAsiaTheme="majorEastAsia" w:cstheme="majorBidi"/>
      <w:color w:val="272727" w:themeColor="text1" w:themeTint="D8"/>
    </w:rPr>
  </w:style>
  <w:style w:type="paragraph" w:styleId="Title">
    <w:name w:val="Title"/>
    <w:basedOn w:val="Normal"/>
    <w:next w:val="Normal"/>
    <w:link w:val="TitleChar"/>
    <w:uiPriority w:val="10"/>
    <w:qFormat/>
    <w:rsid w:val="004134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34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34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34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348C"/>
    <w:pPr>
      <w:spacing w:before="160"/>
      <w:jc w:val="center"/>
    </w:pPr>
    <w:rPr>
      <w:i/>
      <w:iCs/>
      <w:color w:val="404040" w:themeColor="text1" w:themeTint="BF"/>
    </w:rPr>
  </w:style>
  <w:style w:type="character" w:customStyle="1" w:styleId="QuoteChar">
    <w:name w:val="Quote Char"/>
    <w:basedOn w:val="DefaultParagraphFont"/>
    <w:link w:val="Quote"/>
    <w:uiPriority w:val="29"/>
    <w:rsid w:val="0041348C"/>
    <w:rPr>
      <w:i/>
      <w:iCs/>
      <w:color w:val="404040" w:themeColor="text1" w:themeTint="BF"/>
    </w:rPr>
  </w:style>
  <w:style w:type="paragraph" w:styleId="ListParagraph">
    <w:name w:val="List Paragraph"/>
    <w:basedOn w:val="Normal"/>
    <w:uiPriority w:val="34"/>
    <w:qFormat/>
    <w:rsid w:val="0041348C"/>
    <w:pPr>
      <w:ind w:left="720"/>
      <w:contextualSpacing/>
    </w:pPr>
  </w:style>
  <w:style w:type="character" w:styleId="IntenseEmphasis">
    <w:name w:val="Intense Emphasis"/>
    <w:basedOn w:val="DefaultParagraphFont"/>
    <w:uiPriority w:val="21"/>
    <w:qFormat/>
    <w:rsid w:val="0041348C"/>
    <w:rPr>
      <w:i/>
      <w:iCs/>
      <w:color w:val="0F4761" w:themeColor="accent1" w:themeShade="BF"/>
    </w:rPr>
  </w:style>
  <w:style w:type="paragraph" w:styleId="IntenseQuote">
    <w:name w:val="Intense Quote"/>
    <w:basedOn w:val="Normal"/>
    <w:next w:val="Normal"/>
    <w:link w:val="IntenseQuoteChar"/>
    <w:uiPriority w:val="30"/>
    <w:qFormat/>
    <w:rsid w:val="004134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348C"/>
    <w:rPr>
      <w:i/>
      <w:iCs/>
      <w:color w:val="0F4761" w:themeColor="accent1" w:themeShade="BF"/>
    </w:rPr>
  </w:style>
  <w:style w:type="character" w:styleId="IntenseReference">
    <w:name w:val="Intense Reference"/>
    <w:basedOn w:val="DefaultParagraphFont"/>
    <w:uiPriority w:val="32"/>
    <w:qFormat/>
    <w:rsid w:val="0041348C"/>
    <w:rPr>
      <w:b/>
      <w:bCs/>
      <w:smallCaps/>
      <w:color w:val="0F4761" w:themeColor="accent1" w:themeShade="BF"/>
      <w:spacing w:val="5"/>
    </w:rPr>
  </w:style>
  <w:style w:type="paragraph" w:styleId="Header">
    <w:name w:val="header"/>
    <w:basedOn w:val="Normal"/>
    <w:link w:val="HeaderChar"/>
    <w:uiPriority w:val="99"/>
    <w:unhideWhenUsed/>
    <w:rsid w:val="004134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348C"/>
  </w:style>
  <w:style w:type="paragraph" w:styleId="Footer">
    <w:name w:val="footer"/>
    <w:basedOn w:val="Normal"/>
    <w:link w:val="FooterChar"/>
    <w:uiPriority w:val="99"/>
    <w:unhideWhenUsed/>
    <w:rsid w:val="004134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34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07D66-7644-4313-8011-BAE3E7B88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916</Words>
  <Characters>5225</Characters>
  <Application>Microsoft Office Word</Application>
  <DocSecurity>4</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2025-09-25T18:06:00Z</dcterms:created>
  <dcterms:modified xsi:type="dcterms:W3CDTF">2025-09-25T18:06:00Z</dcterms:modified>
</cp:coreProperties>
</file>