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960BD5" w14:textId="029C4E60" w:rsidR="00D454DC" w:rsidRPr="003E3789" w:rsidRDefault="780CD979" w:rsidP="00D454DC">
      <w:pPr>
        <w:tabs>
          <w:tab w:val="right" w:pos="709"/>
        </w:tabs>
        <w:spacing w:line="360" w:lineRule="auto"/>
        <w:jc w:val="center"/>
        <w:rPr>
          <w:rFonts w:ascii="Book Antiqua" w:hAnsi="Book Antiqua"/>
          <w:b/>
          <w:sz w:val="28"/>
          <w:szCs w:val="28"/>
          <w:lang w:val="es-ES"/>
        </w:rPr>
      </w:pPr>
      <w:r w:rsidRPr="3E6144AE">
        <w:rPr>
          <w:rFonts w:ascii="Book Antiqua" w:hAnsi="Book Antiqua"/>
          <w:b/>
          <w:bCs/>
          <w:sz w:val="28"/>
          <w:szCs w:val="28"/>
          <w:lang w:val="es-ES"/>
        </w:rPr>
        <w:t xml:space="preserve"> </w:t>
      </w:r>
      <w:r w:rsidR="00D454DC" w:rsidRPr="003E3789">
        <w:rPr>
          <w:rFonts w:ascii="Book Antiqua" w:hAnsi="Book Antiqua"/>
          <w:b/>
          <w:sz w:val="28"/>
          <w:szCs w:val="28"/>
          <w:lang w:val="es-ES"/>
        </w:rPr>
        <w:t>GOBIERNO DE PUERTO RICO</w:t>
      </w:r>
    </w:p>
    <w:p w14:paraId="15E78EC5" w14:textId="77777777" w:rsidR="00D454DC" w:rsidRPr="003E3789" w:rsidRDefault="00F90B3A" w:rsidP="00D454DC">
      <w:pPr>
        <w:suppressLineNumbers/>
        <w:tabs>
          <w:tab w:val="left" w:pos="7560"/>
        </w:tabs>
        <w:jc w:val="both"/>
        <w:rPr>
          <w:rFonts w:ascii="Book Antiqua" w:hAnsi="Book Antiqua"/>
          <w:lang w:val="es-ES"/>
        </w:rPr>
      </w:pPr>
      <w:r w:rsidRPr="003E3789">
        <w:rPr>
          <w:rFonts w:ascii="Book Antiqua" w:hAnsi="Book Antiqua"/>
          <w:lang w:val="es-ES"/>
        </w:rPr>
        <w:t>20</w:t>
      </w:r>
      <w:r w:rsidR="009B31FB" w:rsidRPr="003E3789">
        <w:rPr>
          <w:rFonts w:ascii="Book Antiqua" w:hAnsi="Book Antiqua"/>
          <w:vertAlign w:val="superscript"/>
          <w:lang w:val="es-ES"/>
        </w:rPr>
        <w:t>m</w:t>
      </w:r>
      <w:r w:rsidR="00D454DC" w:rsidRPr="003E3789">
        <w:rPr>
          <w:rFonts w:ascii="Book Antiqua" w:hAnsi="Book Antiqua"/>
          <w:vertAlign w:val="superscript"/>
          <w:lang w:val="es-ES"/>
        </w:rPr>
        <w:t>a.</w:t>
      </w:r>
      <w:r w:rsidR="00D454DC" w:rsidRPr="003E3789">
        <w:rPr>
          <w:rFonts w:ascii="Book Antiqua" w:hAnsi="Book Antiqua"/>
          <w:lang w:val="es-ES"/>
        </w:rPr>
        <w:t xml:space="preserve"> Asamblea</w:t>
      </w:r>
      <w:r w:rsidR="00D454DC" w:rsidRPr="003E3789">
        <w:rPr>
          <w:rFonts w:ascii="Book Antiqua" w:hAnsi="Book Antiqua"/>
          <w:lang w:val="es-ES"/>
        </w:rPr>
        <w:tab/>
        <w:t xml:space="preserve">    </w:t>
      </w:r>
      <w:r w:rsidRPr="003E3789">
        <w:rPr>
          <w:rFonts w:ascii="Book Antiqua" w:hAnsi="Book Antiqua"/>
          <w:lang w:val="es-ES"/>
        </w:rPr>
        <w:t>1</w:t>
      </w:r>
      <w:r w:rsidRPr="003E3789">
        <w:rPr>
          <w:rFonts w:ascii="Book Antiqua" w:hAnsi="Book Antiqua"/>
          <w:vertAlign w:val="superscript"/>
          <w:lang w:val="es-ES"/>
        </w:rPr>
        <w:t>r</w:t>
      </w:r>
      <w:r w:rsidR="00834021" w:rsidRPr="003E3789">
        <w:rPr>
          <w:rFonts w:ascii="Book Antiqua" w:hAnsi="Book Antiqua"/>
          <w:vertAlign w:val="superscript"/>
          <w:lang w:val="es-ES"/>
        </w:rPr>
        <w:t>a</w:t>
      </w:r>
      <w:r w:rsidR="00D454DC" w:rsidRPr="003E3789">
        <w:rPr>
          <w:rFonts w:ascii="Book Antiqua" w:hAnsi="Book Antiqua"/>
          <w:vertAlign w:val="superscript"/>
          <w:lang w:val="es-ES"/>
        </w:rPr>
        <w:t>.</w:t>
      </w:r>
      <w:r w:rsidR="00D454DC" w:rsidRPr="003E3789">
        <w:rPr>
          <w:rFonts w:ascii="Book Antiqua" w:hAnsi="Book Antiqua"/>
          <w:lang w:val="es-ES"/>
        </w:rPr>
        <w:t xml:space="preserve">   Sesión </w:t>
      </w:r>
    </w:p>
    <w:p w14:paraId="0FA29DBB" w14:textId="09B2AF80" w:rsidR="00D454DC" w:rsidRPr="003E3789" w:rsidRDefault="00D454DC" w:rsidP="4E6FCEB9">
      <w:pPr>
        <w:rPr>
          <w:rFonts w:ascii="Book Antiqua" w:hAnsi="Book Antiqua"/>
          <w:b/>
          <w:bCs/>
          <w:lang w:val="es-ES"/>
        </w:rPr>
      </w:pPr>
      <w:r w:rsidRPr="4E6FCEB9">
        <w:rPr>
          <w:rFonts w:ascii="Book Antiqua" w:hAnsi="Book Antiqua"/>
          <w:lang w:val="es-ES"/>
        </w:rPr>
        <w:t xml:space="preserve">       </w:t>
      </w:r>
      <w:r w:rsidR="00BD219E" w:rsidRPr="4E6FCEB9">
        <w:rPr>
          <w:rFonts w:ascii="Book Antiqua" w:hAnsi="Book Antiqua"/>
          <w:lang w:val="es-ES"/>
        </w:rPr>
        <w:t xml:space="preserve">  </w:t>
      </w:r>
      <w:r w:rsidRPr="4E6FCEB9">
        <w:rPr>
          <w:rFonts w:ascii="Book Antiqua" w:hAnsi="Book Antiqua"/>
          <w:lang w:val="es-ES"/>
        </w:rPr>
        <w:t>Legislativa</w:t>
      </w:r>
      <w:r w:rsidRPr="00C02F88">
        <w:rPr>
          <w:lang w:val="es-PR"/>
        </w:rPr>
        <w:tab/>
      </w:r>
      <w:r w:rsidRPr="00C02F88">
        <w:rPr>
          <w:lang w:val="es-PR"/>
        </w:rPr>
        <w:tab/>
      </w:r>
      <w:r w:rsidRPr="00C02F88">
        <w:rPr>
          <w:lang w:val="es-PR"/>
        </w:rPr>
        <w:tab/>
      </w:r>
      <w:r w:rsidRPr="00C02F88">
        <w:rPr>
          <w:lang w:val="es-PR"/>
        </w:rPr>
        <w:tab/>
      </w:r>
      <w:r w:rsidRPr="00C02F88">
        <w:rPr>
          <w:lang w:val="es-PR"/>
        </w:rPr>
        <w:tab/>
      </w:r>
      <w:r w:rsidRPr="00C02F88">
        <w:rPr>
          <w:lang w:val="es-PR"/>
        </w:rPr>
        <w:tab/>
      </w:r>
      <w:r w:rsidRPr="00C02F88">
        <w:rPr>
          <w:lang w:val="es-PR"/>
        </w:rPr>
        <w:tab/>
      </w:r>
      <w:r w:rsidRPr="00C02F88">
        <w:rPr>
          <w:lang w:val="es-PR"/>
        </w:rPr>
        <w:tab/>
      </w:r>
      <w:r w:rsidRPr="00C02F88">
        <w:rPr>
          <w:lang w:val="es-PR"/>
        </w:rPr>
        <w:tab/>
      </w:r>
      <w:r w:rsidRPr="4E6FCEB9">
        <w:rPr>
          <w:rFonts w:ascii="Book Antiqua" w:hAnsi="Book Antiqua"/>
          <w:lang w:val="es-ES"/>
        </w:rPr>
        <w:t xml:space="preserve">   </w:t>
      </w:r>
      <w:r w:rsidR="00834021" w:rsidRPr="4E6FCEB9">
        <w:rPr>
          <w:rFonts w:ascii="Book Antiqua" w:hAnsi="Book Antiqua"/>
          <w:lang w:val="es-ES"/>
        </w:rPr>
        <w:t xml:space="preserve">  </w:t>
      </w:r>
      <w:r w:rsidRPr="4E6FCEB9">
        <w:rPr>
          <w:rFonts w:ascii="Book Antiqua" w:hAnsi="Book Antiqua"/>
          <w:lang w:val="es-ES"/>
        </w:rPr>
        <w:t>Ordinaria</w:t>
      </w:r>
    </w:p>
    <w:p w14:paraId="672A6659" w14:textId="77777777" w:rsidR="00D454DC" w:rsidRPr="003E3789" w:rsidRDefault="00D454DC" w:rsidP="00D454DC">
      <w:pPr>
        <w:spacing w:line="360" w:lineRule="auto"/>
        <w:jc w:val="center"/>
        <w:rPr>
          <w:rFonts w:ascii="Book Antiqua" w:hAnsi="Book Antiqua"/>
          <w:b/>
          <w:sz w:val="36"/>
          <w:szCs w:val="36"/>
          <w:lang w:val="es-ES"/>
        </w:rPr>
      </w:pPr>
    </w:p>
    <w:p w14:paraId="10F5F563" w14:textId="77777777" w:rsidR="00D454DC" w:rsidRPr="003E3789" w:rsidRDefault="00D454DC" w:rsidP="00D454DC">
      <w:pPr>
        <w:spacing w:line="360" w:lineRule="auto"/>
        <w:jc w:val="center"/>
        <w:rPr>
          <w:rFonts w:ascii="Book Antiqua" w:hAnsi="Book Antiqua"/>
          <w:b/>
          <w:sz w:val="36"/>
          <w:szCs w:val="36"/>
          <w:lang w:val="es-ES"/>
        </w:rPr>
      </w:pPr>
      <w:r w:rsidRPr="003E3789">
        <w:rPr>
          <w:rFonts w:ascii="Book Antiqua" w:hAnsi="Book Antiqua"/>
          <w:b/>
          <w:sz w:val="36"/>
          <w:szCs w:val="36"/>
          <w:lang w:val="es-ES"/>
        </w:rPr>
        <w:t>SENADO DE PUERTO RICO</w:t>
      </w:r>
    </w:p>
    <w:p w14:paraId="670D02DB" w14:textId="25FD3189" w:rsidR="00D454DC" w:rsidRPr="003E3789" w:rsidRDefault="00A870A8" w:rsidP="00D454DC">
      <w:pPr>
        <w:spacing w:line="360" w:lineRule="auto"/>
        <w:jc w:val="center"/>
        <w:rPr>
          <w:rFonts w:ascii="Book Antiqua" w:hAnsi="Book Antiqua"/>
          <w:b/>
          <w:sz w:val="52"/>
          <w:szCs w:val="52"/>
          <w:lang w:val="es-ES"/>
        </w:rPr>
      </w:pPr>
      <w:r>
        <w:rPr>
          <w:rFonts w:ascii="Book Antiqua" w:hAnsi="Book Antiqua"/>
          <w:b/>
          <w:sz w:val="52"/>
          <w:szCs w:val="52"/>
          <w:lang w:val="es-ES"/>
        </w:rPr>
        <w:t>P</w:t>
      </w:r>
      <w:r w:rsidR="00BD219E">
        <w:rPr>
          <w:rFonts w:ascii="Book Antiqua" w:hAnsi="Book Antiqua"/>
          <w:b/>
          <w:sz w:val="52"/>
          <w:szCs w:val="52"/>
          <w:lang w:val="es-ES"/>
        </w:rPr>
        <w:t>.</w:t>
      </w:r>
      <w:r w:rsidR="00811D5C" w:rsidRPr="003E3789">
        <w:rPr>
          <w:rFonts w:ascii="Book Antiqua" w:hAnsi="Book Antiqua"/>
          <w:b/>
          <w:sz w:val="52"/>
          <w:szCs w:val="52"/>
          <w:lang w:val="es-ES"/>
        </w:rPr>
        <w:t xml:space="preserve"> de</w:t>
      </w:r>
      <w:r>
        <w:rPr>
          <w:rFonts w:ascii="Book Antiqua" w:hAnsi="Book Antiqua"/>
          <w:b/>
          <w:sz w:val="52"/>
          <w:szCs w:val="52"/>
          <w:lang w:val="es-ES"/>
        </w:rPr>
        <w:t>l</w:t>
      </w:r>
      <w:r w:rsidR="005256B5" w:rsidRPr="003E3789">
        <w:rPr>
          <w:rFonts w:ascii="Book Antiqua" w:hAnsi="Book Antiqua"/>
          <w:b/>
          <w:sz w:val="52"/>
          <w:szCs w:val="52"/>
          <w:lang w:val="es-ES"/>
        </w:rPr>
        <w:t xml:space="preserve"> </w:t>
      </w:r>
      <w:r>
        <w:rPr>
          <w:rFonts w:ascii="Book Antiqua" w:hAnsi="Book Antiqua"/>
          <w:b/>
          <w:sz w:val="52"/>
          <w:szCs w:val="52"/>
          <w:lang w:val="es-ES"/>
        </w:rPr>
        <w:t>S</w:t>
      </w:r>
      <w:r w:rsidR="005256B5" w:rsidRPr="003E3789">
        <w:rPr>
          <w:rFonts w:ascii="Book Antiqua" w:hAnsi="Book Antiqua"/>
          <w:b/>
          <w:sz w:val="52"/>
          <w:szCs w:val="52"/>
          <w:lang w:val="es-ES"/>
        </w:rPr>
        <w:t>.</w:t>
      </w:r>
      <w:r w:rsidR="00811D5C" w:rsidRPr="003E3789">
        <w:rPr>
          <w:rFonts w:ascii="Book Antiqua" w:hAnsi="Book Antiqua"/>
          <w:b/>
          <w:sz w:val="52"/>
          <w:szCs w:val="52"/>
          <w:lang w:val="es-ES"/>
        </w:rPr>
        <w:t xml:space="preserve"> </w:t>
      </w:r>
      <w:r w:rsidR="00BD219E">
        <w:rPr>
          <w:rFonts w:ascii="Book Antiqua" w:hAnsi="Book Antiqua"/>
          <w:b/>
          <w:sz w:val="52"/>
          <w:szCs w:val="52"/>
          <w:lang w:val="es-ES"/>
        </w:rPr>
        <w:t>5</w:t>
      </w:r>
      <w:r>
        <w:rPr>
          <w:rFonts w:ascii="Book Antiqua" w:hAnsi="Book Antiqua"/>
          <w:b/>
          <w:sz w:val="52"/>
          <w:szCs w:val="52"/>
          <w:lang w:val="es-ES"/>
        </w:rPr>
        <w:t>8</w:t>
      </w:r>
    </w:p>
    <w:p w14:paraId="37EF53F6" w14:textId="77777777" w:rsidR="00D454DC" w:rsidRPr="003E3789" w:rsidRDefault="00D454DC" w:rsidP="00D454DC">
      <w:pPr>
        <w:spacing w:line="360" w:lineRule="auto"/>
        <w:jc w:val="center"/>
        <w:rPr>
          <w:rFonts w:ascii="Book Antiqua" w:hAnsi="Book Antiqua"/>
          <w:b/>
          <w:sz w:val="28"/>
          <w:szCs w:val="28"/>
          <w:lang w:val="es-ES"/>
        </w:rPr>
      </w:pPr>
      <w:r w:rsidRPr="003E3789">
        <w:rPr>
          <w:rFonts w:ascii="Book Antiqua" w:hAnsi="Book Antiqua"/>
          <w:b/>
          <w:sz w:val="28"/>
          <w:szCs w:val="28"/>
          <w:lang w:val="es-ES"/>
        </w:rPr>
        <w:t xml:space="preserve">INFORME </w:t>
      </w:r>
      <w:r w:rsidR="00EB57F5" w:rsidRPr="003E3789">
        <w:rPr>
          <w:rFonts w:ascii="Book Antiqua" w:hAnsi="Book Antiqua"/>
          <w:b/>
          <w:sz w:val="28"/>
          <w:szCs w:val="28"/>
          <w:lang w:val="es-ES"/>
        </w:rPr>
        <w:t>POSITIVO</w:t>
      </w:r>
    </w:p>
    <w:p w14:paraId="0A37501D" w14:textId="77777777" w:rsidR="00D454DC" w:rsidRPr="003E3789" w:rsidRDefault="00D454DC" w:rsidP="00D454DC">
      <w:pPr>
        <w:spacing w:line="360" w:lineRule="auto"/>
        <w:jc w:val="center"/>
        <w:rPr>
          <w:rFonts w:ascii="Book Antiqua" w:hAnsi="Book Antiqua"/>
          <w:lang w:val="es-ES"/>
        </w:rPr>
      </w:pPr>
    </w:p>
    <w:p w14:paraId="3E2129E7" w14:textId="26275B38" w:rsidR="00D454DC" w:rsidRPr="003E3789" w:rsidRDefault="00D454DC" w:rsidP="00D454DC">
      <w:pPr>
        <w:spacing w:line="360" w:lineRule="auto"/>
        <w:jc w:val="center"/>
        <w:rPr>
          <w:rFonts w:ascii="Book Antiqua" w:hAnsi="Book Antiqua"/>
          <w:lang w:val="es-ES"/>
        </w:rPr>
      </w:pPr>
      <w:r w:rsidRPr="003E3789">
        <w:rPr>
          <w:rFonts w:ascii="Book Antiqua" w:hAnsi="Book Antiqua"/>
          <w:lang w:val="es-ES"/>
        </w:rPr>
        <w:t xml:space="preserve"> </w:t>
      </w:r>
      <w:r w:rsidR="002E5FDF">
        <w:rPr>
          <w:rFonts w:ascii="Book Antiqua" w:hAnsi="Book Antiqua"/>
          <w:lang w:val="es-ES"/>
        </w:rPr>
        <w:t>11</w:t>
      </w:r>
      <w:r w:rsidRPr="003E3789">
        <w:rPr>
          <w:rFonts w:ascii="Book Antiqua" w:hAnsi="Book Antiqua"/>
          <w:lang w:val="es-ES"/>
        </w:rPr>
        <w:t xml:space="preserve">de </w:t>
      </w:r>
      <w:r w:rsidR="00A870A8">
        <w:rPr>
          <w:rFonts w:ascii="Book Antiqua" w:hAnsi="Book Antiqua"/>
          <w:lang w:val="es-ES"/>
        </w:rPr>
        <w:t>junio</w:t>
      </w:r>
      <w:r w:rsidR="00834021" w:rsidRPr="003E3789">
        <w:rPr>
          <w:rFonts w:ascii="Book Antiqua" w:hAnsi="Book Antiqua"/>
          <w:lang w:val="es-ES"/>
        </w:rPr>
        <w:t xml:space="preserve"> </w:t>
      </w:r>
      <w:r w:rsidRPr="003E3789">
        <w:rPr>
          <w:rFonts w:ascii="Book Antiqua" w:hAnsi="Book Antiqua"/>
          <w:lang w:val="es-ES"/>
        </w:rPr>
        <w:t>de 202</w:t>
      </w:r>
      <w:r w:rsidR="00F90B3A" w:rsidRPr="003E3789">
        <w:rPr>
          <w:rFonts w:ascii="Book Antiqua" w:hAnsi="Book Antiqua"/>
          <w:lang w:val="es-ES"/>
        </w:rPr>
        <w:t>5</w:t>
      </w:r>
    </w:p>
    <w:p w14:paraId="5DAB6C7B" w14:textId="77777777" w:rsidR="00D454DC" w:rsidRPr="003E3789" w:rsidRDefault="00D454DC" w:rsidP="00D454DC">
      <w:pPr>
        <w:rPr>
          <w:rFonts w:ascii="Book Antiqua" w:hAnsi="Book Antiqua"/>
          <w:b/>
          <w:lang w:val="es-ES"/>
        </w:rPr>
      </w:pPr>
    </w:p>
    <w:p w14:paraId="20938F15" w14:textId="77777777" w:rsidR="00D454DC" w:rsidRPr="003E3789" w:rsidRDefault="00D454DC" w:rsidP="00946C49">
      <w:pPr>
        <w:jc w:val="both"/>
        <w:rPr>
          <w:rFonts w:ascii="Book Antiqua" w:hAnsi="Book Antiqua"/>
          <w:b/>
          <w:color w:val="000000"/>
          <w:lang w:val="es-ES"/>
        </w:rPr>
      </w:pPr>
      <w:r w:rsidRPr="003E3789">
        <w:rPr>
          <w:rFonts w:ascii="Book Antiqua" w:hAnsi="Book Antiqua"/>
          <w:b/>
          <w:color w:val="000000"/>
          <w:lang w:val="es-ES"/>
        </w:rPr>
        <w:t>AL SENADO DE PUERTO RICO:</w:t>
      </w:r>
    </w:p>
    <w:p w14:paraId="02EB378F" w14:textId="77777777" w:rsidR="00D454DC" w:rsidRPr="003E3789" w:rsidRDefault="00D454DC" w:rsidP="00946C49">
      <w:pPr>
        <w:jc w:val="both"/>
        <w:rPr>
          <w:rFonts w:ascii="Book Antiqua" w:hAnsi="Book Antiqua"/>
          <w:color w:val="000000"/>
          <w:lang w:val="es-ES"/>
        </w:rPr>
      </w:pPr>
    </w:p>
    <w:p w14:paraId="10C4B67C" w14:textId="221DDB73" w:rsidR="00D454DC" w:rsidRPr="003E3789" w:rsidRDefault="00834021" w:rsidP="00855B5E">
      <w:pPr>
        <w:jc w:val="both"/>
        <w:rPr>
          <w:rFonts w:ascii="Book Antiqua" w:hAnsi="Book Antiqua"/>
          <w:color w:val="000000"/>
          <w:lang w:val="es-ES"/>
        </w:rPr>
      </w:pPr>
      <w:r w:rsidRPr="242A1372">
        <w:rPr>
          <w:rFonts w:ascii="Book Antiqua" w:hAnsi="Book Antiqua"/>
          <w:color w:val="000000" w:themeColor="text1"/>
          <w:lang w:val="es-ES"/>
        </w:rPr>
        <w:t>La</w:t>
      </w:r>
      <w:r w:rsidR="00D454DC" w:rsidRPr="242A1372">
        <w:rPr>
          <w:rFonts w:ascii="Book Antiqua" w:hAnsi="Book Antiqua"/>
          <w:color w:val="000000" w:themeColor="text1"/>
          <w:lang w:val="es-ES"/>
        </w:rPr>
        <w:t xml:space="preserve"> </w:t>
      </w:r>
      <w:r w:rsidR="00B93E7F" w:rsidRPr="242A1372">
        <w:rPr>
          <w:rFonts w:ascii="Book Antiqua" w:hAnsi="Book Antiqua"/>
          <w:color w:val="000000" w:themeColor="text1"/>
          <w:lang w:val="es-ES"/>
        </w:rPr>
        <w:t>Comisión</w:t>
      </w:r>
      <w:r w:rsidR="00D454DC" w:rsidRPr="242A1372">
        <w:rPr>
          <w:rFonts w:ascii="Book Antiqua" w:hAnsi="Book Antiqua"/>
          <w:color w:val="000000" w:themeColor="text1"/>
          <w:lang w:val="es-ES"/>
        </w:rPr>
        <w:t xml:space="preserve"> de</w:t>
      </w:r>
      <w:r w:rsidR="00F90B3A" w:rsidRPr="242A1372">
        <w:rPr>
          <w:rFonts w:ascii="Book Antiqua" w:hAnsi="Book Antiqua"/>
          <w:color w:val="000000" w:themeColor="text1"/>
          <w:lang w:val="es-ES"/>
        </w:rPr>
        <w:t xml:space="preserve"> Gobierno</w:t>
      </w:r>
      <w:r w:rsidR="00D454DC" w:rsidRPr="242A1372">
        <w:rPr>
          <w:rFonts w:ascii="Book Antiqua" w:hAnsi="Book Antiqua"/>
          <w:color w:val="000000" w:themeColor="text1"/>
          <w:lang w:val="es-ES"/>
        </w:rPr>
        <w:t>, previo estudio y consideración</w:t>
      </w:r>
      <w:r w:rsidR="00BD219E" w:rsidRPr="242A1372">
        <w:rPr>
          <w:rFonts w:ascii="Book Antiqua" w:hAnsi="Book Antiqua"/>
          <w:color w:val="000000" w:themeColor="text1"/>
          <w:lang w:val="es-ES"/>
        </w:rPr>
        <w:t xml:space="preserve"> de la </w:t>
      </w:r>
      <w:r w:rsidR="00A870A8" w:rsidRPr="242A1372">
        <w:rPr>
          <w:rFonts w:ascii="Book Antiqua" w:hAnsi="Book Antiqua"/>
          <w:b/>
          <w:bCs/>
          <w:color w:val="000000" w:themeColor="text1"/>
          <w:lang w:val="es-ES"/>
        </w:rPr>
        <w:t>P. del S. 58</w:t>
      </w:r>
      <w:r w:rsidR="00AA618A" w:rsidRPr="242A1372">
        <w:rPr>
          <w:rFonts w:ascii="Book Antiqua" w:hAnsi="Book Antiqua"/>
          <w:color w:val="000000" w:themeColor="text1"/>
          <w:lang w:val="es-ES"/>
        </w:rPr>
        <w:t xml:space="preserve">, </w:t>
      </w:r>
      <w:r w:rsidR="00701793" w:rsidRPr="242A1372">
        <w:rPr>
          <w:rFonts w:ascii="Book Antiqua" w:hAnsi="Book Antiqua"/>
          <w:color w:val="000000" w:themeColor="text1"/>
          <w:lang w:val="es-ES"/>
        </w:rPr>
        <w:t>recomienda</w:t>
      </w:r>
      <w:r w:rsidR="00D454DC" w:rsidRPr="242A1372">
        <w:rPr>
          <w:rFonts w:ascii="Book Antiqua" w:hAnsi="Book Antiqua"/>
          <w:color w:val="000000" w:themeColor="text1"/>
          <w:lang w:val="es-ES"/>
        </w:rPr>
        <w:t xml:space="preserve"> a</w:t>
      </w:r>
      <w:r w:rsidR="0015414D" w:rsidRPr="242A1372">
        <w:rPr>
          <w:rFonts w:ascii="Book Antiqua" w:hAnsi="Book Antiqua"/>
          <w:color w:val="000000" w:themeColor="text1"/>
          <w:lang w:val="es-ES"/>
        </w:rPr>
        <w:t xml:space="preserve"> este Alto Cuerpo su aprobación</w:t>
      </w:r>
      <w:r w:rsidR="00B41B18">
        <w:rPr>
          <w:rFonts w:ascii="Book Antiqua" w:hAnsi="Book Antiqua"/>
          <w:color w:val="000000" w:themeColor="text1"/>
          <w:lang w:val="es-ES"/>
        </w:rPr>
        <w:t xml:space="preserve"> con enmiendas</w:t>
      </w:r>
      <w:r w:rsidR="00D454DC" w:rsidRPr="242A1372">
        <w:rPr>
          <w:rFonts w:ascii="Book Antiqua" w:hAnsi="Book Antiqua"/>
          <w:color w:val="000000" w:themeColor="text1"/>
          <w:lang w:val="es-ES"/>
        </w:rPr>
        <w:t>.</w:t>
      </w:r>
    </w:p>
    <w:p w14:paraId="6A05A809" w14:textId="77777777" w:rsidR="00D454DC" w:rsidRPr="003E3789" w:rsidRDefault="00D454DC" w:rsidP="00946C49">
      <w:pPr>
        <w:ind w:firstLine="720"/>
        <w:jc w:val="both"/>
        <w:rPr>
          <w:rFonts w:ascii="Book Antiqua" w:hAnsi="Book Antiqua"/>
          <w:color w:val="000000"/>
          <w:lang w:val="es-ES"/>
        </w:rPr>
      </w:pPr>
    </w:p>
    <w:p w14:paraId="6A7977B5" w14:textId="77777777" w:rsidR="00D454DC" w:rsidRPr="003E3789" w:rsidRDefault="00D454DC" w:rsidP="00855B5E">
      <w:pPr>
        <w:spacing w:line="276" w:lineRule="auto"/>
        <w:jc w:val="center"/>
        <w:outlineLvl w:val="0"/>
        <w:rPr>
          <w:rFonts w:ascii="Book Antiqua" w:hAnsi="Book Antiqua"/>
          <w:b/>
          <w:caps/>
          <w:color w:val="000000"/>
          <w:lang w:val="es-ES"/>
        </w:rPr>
      </w:pPr>
      <w:r w:rsidRPr="003E3789">
        <w:rPr>
          <w:rFonts w:ascii="Book Antiqua" w:hAnsi="Book Antiqua"/>
          <w:b/>
          <w:caps/>
          <w:color w:val="000000"/>
          <w:lang w:val="es-ES"/>
        </w:rPr>
        <w:t>ALCANCE DE LA MEDIDA</w:t>
      </w:r>
    </w:p>
    <w:p w14:paraId="5A39BBE3" w14:textId="77777777" w:rsidR="00D454DC" w:rsidRPr="003E3789" w:rsidRDefault="00D454DC" w:rsidP="00855B5E">
      <w:pPr>
        <w:spacing w:line="276" w:lineRule="auto"/>
        <w:jc w:val="both"/>
        <w:outlineLvl w:val="0"/>
        <w:rPr>
          <w:rFonts w:ascii="Book Antiqua" w:hAnsi="Book Antiqua"/>
          <w:b/>
          <w:caps/>
          <w:color w:val="000000"/>
          <w:lang w:val="es-ES"/>
        </w:rPr>
      </w:pPr>
    </w:p>
    <w:p w14:paraId="6000AFB1" w14:textId="77777777" w:rsidR="00FA15F4" w:rsidRDefault="00A870A8" w:rsidP="00855B5E">
      <w:pPr>
        <w:spacing w:line="276" w:lineRule="auto"/>
        <w:jc w:val="both"/>
        <w:rPr>
          <w:rFonts w:ascii="Book Antiqua" w:hAnsi="Book Antiqua"/>
          <w:color w:val="000000"/>
          <w:lang w:val="es-ES"/>
        </w:rPr>
      </w:pPr>
      <w:r>
        <w:rPr>
          <w:rFonts w:ascii="Book Antiqua" w:hAnsi="Book Antiqua"/>
          <w:color w:val="000000"/>
          <w:lang w:val="es-ES"/>
        </w:rPr>
        <w:t>El</w:t>
      </w:r>
      <w:r w:rsidR="00BD219E">
        <w:rPr>
          <w:rFonts w:ascii="Book Antiqua" w:hAnsi="Book Antiqua"/>
          <w:color w:val="000000"/>
          <w:lang w:val="es-ES"/>
        </w:rPr>
        <w:t xml:space="preserve"> </w:t>
      </w:r>
      <w:r>
        <w:rPr>
          <w:rFonts w:ascii="Book Antiqua" w:hAnsi="Book Antiqua"/>
          <w:b/>
          <w:bCs/>
          <w:color w:val="000000"/>
          <w:lang w:val="es-ES"/>
        </w:rPr>
        <w:t>Proyecto del Senado 58</w:t>
      </w:r>
      <w:r w:rsidR="00BD219E">
        <w:rPr>
          <w:rFonts w:ascii="Book Antiqua" w:hAnsi="Book Antiqua"/>
          <w:b/>
          <w:bCs/>
          <w:color w:val="000000"/>
          <w:lang w:val="es-ES"/>
        </w:rPr>
        <w:t>,</w:t>
      </w:r>
      <w:r w:rsidR="00B93E7F" w:rsidRPr="003E3789">
        <w:rPr>
          <w:rFonts w:ascii="Book Antiqua" w:hAnsi="Book Antiqua"/>
          <w:b/>
          <w:color w:val="000000"/>
          <w:lang w:val="es-ES"/>
        </w:rPr>
        <w:t xml:space="preserve"> </w:t>
      </w:r>
      <w:r w:rsidR="00F90B3A" w:rsidRPr="003E3789">
        <w:rPr>
          <w:rFonts w:ascii="Book Antiqua" w:hAnsi="Book Antiqua"/>
          <w:color w:val="000000"/>
          <w:lang w:val="es-ES"/>
        </w:rPr>
        <w:t xml:space="preserve">tiene como objetivo </w:t>
      </w:r>
      <w:r w:rsidR="00FA15F4" w:rsidRPr="00FA15F4">
        <w:rPr>
          <w:rFonts w:ascii="Book Antiqua" w:hAnsi="Book Antiqua"/>
          <w:color w:val="000000"/>
          <w:lang w:val="es-ES"/>
        </w:rPr>
        <w:t>enmendar la Sección 3.19 de la Ley Núm. 38-2017, según enmendada, conocida como, “Ley de Procedimiento Administrativo Uniforme del Gobierno de Puerto Rico,” a los fines de aclarar la aplicabilidad de los procedimientos y términos dispuestos para los procesos de licitación pública de dicha Sección, cuando no le sean aplicables las disposiciones de la Ley 73-2019, según enmendada, conocida como, “Ley de la Administración de Servicios Generales para la Centralización de las Compras del Gobierno de Puerto Rico de 2019.”</w:t>
      </w:r>
    </w:p>
    <w:p w14:paraId="47E009C3" w14:textId="77777777" w:rsidR="00FA15F4" w:rsidRDefault="00FA15F4" w:rsidP="00855B5E">
      <w:pPr>
        <w:spacing w:line="276" w:lineRule="auto"/>
        <w:jc w:val="both"/>
        <w:rPr>
          <w:rFonts w:ascii="Book Antiqua" w:hAnsi="Book Antiqua"/>
          <w:color w:val="000000"/>
          <w:lang w:val="es-ES"/>
        </w:rPr>
      </w:pPr>
    </w:p>
    <w:p w14:paraId="55636631" w14:textId="4FF48ADE" w:rsidR="00B41B18" w:rsidRPr="00B41B18" w:rsidRDefault="00D454DC" w:rsidP="00855B5E">
      <w:pPr>
        <w:spacing w:line="276" w:lineRule="auto"/>
        <w:jc w:val="center"/>
        <w:rPr>
          <w:rFonts w:ascii="Book Antiqua" w:eastAsia="Book Antiqua" w:hAnsi="Book Antiqua" w:cs="Book Antiqua"/>
          <w:b/>
          <w:bCs/>
          <w:color w:val="000000"/>
          <w:lang w:val="es-ES"/>
        </w:rPr>
      </w:pPr>
      <w:r w:rsidRPr="242A1372">
        <w:rPr>
          <w:rFonts w:ascii="Book Antiqua" w:eastAsia="Book Antiqua" w:hAnsi="Book Antiqua" w:cs="Book Antiqua"/>
          <w:b/>
          <w:bCs/>
          <w:color w:val="000000" w:themeColor="text1"/>
          <w:lang w:val="es-ES"/>
        </w:rPr>
        <w:t>INTRODUCCIÓN</w:t>
      </w:r>
    </w:p>
    <w:p w14:paraId="72930665" w14:textId="31B72E7E" w:rsidR="31EAEE13" w:rsidRPr="00216AC3" w:rsidRDefault="31EAEE13" w:rsidP="00855B5E">
      <w:pPr>
        <w:spacing w:before="240" w:after="160" w:line="276" w:lineRule="auto"/>
        <w:jc w:val="both"/>
        <w:rPr>
          <w:rFonts w:ascii="Book Antiqua" w:eastAsia="Book Antiqua" w:hAnsi="Book Antiqua" w:cs="Book Antiqua"/>
          <w:color w:val="000000" w:themeColor="text1"/>
          <w:lang w:val="es-PR"/>
        </w:rPr>
      </w:pPr>
      <w:r w:rsidRPr="242A1372">
        <w:rPr>
          <w:rFonts w:ascii="Book Antiqua" w:eastAsia="Book Antiqua" w:hAnsi="Book Antiqua" w:cs="Book Antiqua"/>
          <w:color w:val="000000" w:themeColor="text1"/>
          <w:lang w:val="es-419"/>
        </w:rPr>
        <w:t xml:space="preserve">En Puerto Rico, los procesos de licitación pública están mayormente regulados por la Ley 73-2019, según enmendada, conocida como “Ley de la Administración de Servicios Generales para la Centralización de las Compras del Gobierno de Puerto Rico de 2019” y la Ley 38-2017, según enmendada, conocida como “Ley de Procedimiento Administrativo Uniforme del Gobierno de Puerto Rico”. Sin embargo, existe un vacío normativo en cuanto a la aplicabilidad de los mecanismos de revisión administrativa cuando se llevan a cabo licitaciones para contratar servicios profesionales. Aunque tradicionalmente estas </w:t>
      </w:r>
      <w:r w:rsidRPr="242A1372">
        <w:rPr>
          <w:rFonts w:ascii="Book Antiqua" w:eastAsia="Book Antiqua" w:hAnsi="Book Antiqua" w:cs="Book Antiqua"/>
          <w:color w:val="000000" w:themeColor="text1"/>
          <w:lang w:val="es-419"/>
        </w:rPr>
        <w:lastRenderedPageBreak/>
        <w:t>contrataciones se han tramitado sin subasta, la política pública implementada por la pasada administración buscaba impulsar principios de transparencia, competitividad y rendición de cuentas.</w:t>
      </w:r>
    </w:p>
    <w:p w14:paraId="72A3D3EC" w14:textId="5EF1AE54" w:rsidR="001C3980" w:rsidRPr="009F6BC3" w:rsidRDefault="31EAEE13" w:rsidP="00855B5E">
      <w:pPr>
        <w:spacing w:before="240" w:after="240" w:line="276" w:lineRule="auto"/>
        <w:jc w:val="both"/>
        <w:rPr>
          <w:rFonts w:ascii="Book Antiqua" w:eastAsia="Book Antiqua" w:hAnsi="Book Antiqua" w:cs="Book Antiqua"/>
          <w:color w:val="000000"/>
          <w:lang w:val="es-PR"/>
        </w:rPr>
      </w:pPr>
      <w:r w:rsidRPr="242A1372">
        <w:rPr>
          <w:rFonts w:ascii="Book Antiqua" w:eastAsia="Book Antiqua" w:hAnsi="Book Antiqua" w:cs="Book Antiqua"/>
          <w:color w:val="000000" w:themeColor="text1"/>
          <w:lang w:val="es-419"/>
        </w:rPr>
        <w:t>En la práctica, muchas agencias han optado por celebrar licitaciones para este tipo de servicios, ya sea para cumplir con normativas federales o por iniciativa propia. Sin embargo, al no existir una disposición clara que establezca que estas licitaciones están contempladas bajo la Ley 38-2017, se crea un vacío que podría generar litigios, incertidumbre o desigualdad de trato entre los licitadores. El Proyecto del Senado 58 surge precisamente para atender esa omisión, dejando establecido que cuando se celebren estos procesos de licitación profesional, les aplicarán los mismos derechos de revisión administrativa que a cualquier otro proceso licitatorio. La medida procura, cerrar una brecha legal que hasta ahora ha dejado expuestos a los participantes y a las propias agencias a riesgos innecesarios.</w:t>
      </w:r>
    </w:p>
    <w:p w14:paraId="590361DB" w14:textId="75DD8757" w:rsidR="00D454DC" w:rsidRPr="003E3789" w:rsidRDefault="5CCCAC99" w:rsidP="00855B5E">
      <w:pPr>
        <w:spacing w:line="276" w:lineRule="auto"/>
        <w:jc w:val="center"/>
        <w:rPr>
          <w:rFonts w:ascii="Book Antiqua" w:eastAsia="Book Antiqua" w:hAnsi="Book Antiqua" w:cs="Book Antiqua"/>
          <w:b/>
          <w:bCs/>
          <w:caps/>
          <w:color w:val="000000"/>
          <w:lang w:val="es-ES"/>
        </w:rPr>
      </w:pPr>
      <w:r w:rsidRPr="242A1372">
        <w:rPr>
          <w:rFonts w:ascii="Book Antiqua" w:eastAsia="Book Antiqua" w:hAnsi="Book Antiqua" w:cs="Book Antiqua"/>
          <w:b/>
          <w:bCs/>
          <w:caps/>
          <w:color w:val="000000" w:themeColor="text1"/>
          <w:lang w:val="es-ES"/>
        </w:rPr>
        <w:t>Análisis</w:t>
      </w:r>
      <w:r w:rsidR="00D454DC" w:rsidRPr="242A1372">
        <w:rPr>
          <w:rFonts w:ascii="Book Antiqua" w:eastAsia="Book Antiqua" w:hAnsi="Book Antiqua" w:cs="Book Antiqua"/>
          <w:b/>
          <w:bCs/>
          <w:caps/>
          <w:color w:val="000000" w:themeColor="text1"/>
          <w:lang w:val="es-ES"/>
        </w:rPr>
        <w:t xml:space="preserve"> de la Medida</w:t>
      </w:r>
    </w:p>
    <w:p w14:paraId="0B87BDB3" w14:textId="2DC518CC" w:rsidR="242A1372" w:rsidRDefault="242A1372" w:rsidP="00855B5E">
      <w:pPr>
        <w:spacing w:line="276" w:lineRule="auto"/>
        <w:ind w:firstLine="708"/>
        <w:jc w:val="center"/>
        <w:rPr>
          <w:rFonts w:ascii="Book Antiqua" w:eastAsia="Book Antiqua" w:hAnsi="Book Antiqua" w:cs="Book Antiqua"/>
          <w:color w:val="000000" w:themeColor="text1"/>
          <w:lang w:val="es-ES"/>
        </w:rPr>
      </w:pPr>
    </w:p>
    <w:p w14:paraId="1649BE30" w14:textId="7DC2EA4D" w:rsidR="242A1372" w:rsidRPr="00C57ABD" w:rsidRDefault="00C57ABD" w:rsidP="00855B5E">
      <w:pPr>
        <w:spacing w:line="276" w:lineRule="auto"/>
        <w:ind w:firstLine="708"/>
        <w:jc w:val="both"/>
        <w:rPr>
          <w:rFonts w:ascii="Book Antiqua" w:hAnsi="Book Antiqua"/>
          <w:lang w:val="es-PR"/>
        </w:rPr>
      </w:pPr>
      <w:r w:rsidRPr="00C57ABD">
        <w:rPr>
          <w:rFonts w:ascii="Book Antiqua" w:hAnsi="Book Antiqua"/>
          <w:lang w:val="es-PR"/>
        </w:rPr>
        <w:t>La Comisión de Gobierno del Senado de Puerto Rico, en cumplimiento de su responsabilidad ministerial de estudiar y evaluar el Proyecto del Senado 58, solicitó comentarios y recomendaciones a la Administración de Servicios Generales (ASG), la Oficina de Servicios Legislativos (OSL), la Oficina de Gerencia y Presupuesto (OGP) y la Autoridad de Asesoría Financiera y Agencia Fiscal de Puerto Rico (AAFAF). Para la evaluación de esta medida, se tomaron en consideración los memoriales explicativos de ASG y OSL, ya que, al momento de la radicación de este Informe, la Comisión no había recibido los comentarios de OGP ni de AAFAF.</w:t>
      </w:r>
    </w:p>
    <w:p w14:paraId="7A1364AD" w14:textId="77777777" w:rsidR="00C57ABD" w:rsidRPr="00C57ABD" w:rsidRDefault="00C57ABD" w:rsidP="00855B5E">
      <w:pPr>
        <w:spacing w:line="276" w:lineRule="auto"/>
        <w:ind w:firstLine="708"/>
        <w:jc w:val="both"/>
        <w:rPr>
          <w:rFonts w:ascii="Book Antiqua" w:eastAsia="Book Antiqua" w:hAnsi="Book Antiqua" w:cs="Book Antiqua"/>
          <w:lang w:val="es-PR"/>
        </w:rPr>
      </w:pPr>
    </w:p>
    <w:p w14:paraId="47EA936E" w14:textId="3EB15059" w:rsidR="0027132B" w:rsidRPr="000A7CAB" w:rsidRDefault="0027132B" w:rsidP="00855B5E">
      <w:pPr>
        <w:pStyle w:val="NoSpacing"/>
        <w:spacing w:line="276" w:lineRule="auto"/>
        <w:jc w:val="center"/>
        <w:rPr>
          <w:rFonts w:ascii="Book Antiqua" w:eastAsia="Book Antiqua" w:hAnsi="Book Antiqua" w:cs="Book Antiqua"/>
          <w:b/>
          <w:bCs/>
          <w:caps/>
          <w:lang w:val="es-ES"/>
        </w:rPr>
      </w:pPr>
      <w:r w:rsidRPr="242A1372">
        <w:rPr>
          <w:rFonts w:ascii="Book Antiqua" w:eastAsia="Book Antiqua" w:hAnsi="Book Antiqua" w:cs="Book Antiqua"/>
          <w:b/>
          <w:bCs/>
          <w:lang w:val="es-ES"/>
        </w:rPr>
        <w:t xml:space="preserve">ADMINISTRACIÓN DE SERVICIOS </w:t>
      </w:r>
      <w:r w:rsidR="00D7163F" w:rsidRPr="242A1372">
        <w:rPr>
          <w:rFonts w:ascii="Book Antiqua" w:eastAsia="Book Antiqua" w:hAnsi="Book Antiqua" w:cs="Book Antiqua"/>
          <w:b/>
          <w:bCs/>
          <w:lang w:val="es-ES"/>
        </w:rPr>
        <w:t>GENERALES</w:t>
      </w:r>
    </w:p>
    <w:p w14:paraId="0BB38A19" w14:textId="45B33A1E" w:rsidR="002A2E5D" w:rsidRPr="00216AC3" w:rsidRDefault="4ED217E3" w:rsidP="00855B5E">
      <w:pPr>
        <w:spacing w:before="240" w:after="240" w:line="276" w:lineRule="auto"/>
        <w:jc w:val="both"/>
        <w:rPr>
          <w:rFonts w:ascii="Book Antiqua" w:eastAsia="Book Antiqua" w:hAnsi="Book Antiqua" w:cs="Book Antiqua"/>
          <w:color w:val="000000" w:themeColor="text1"/>
          <w:lang w:val="es-PR"/>
        </w:rPr>
      </w:pPr>
      <w:r w:rsidRPr="242A1372">
        <w:rPr>
          <w:rFonts w:ascii="Book Antiqua" w:eastAsia="Book Antiqua" w:hAnsi="Book Antiqua" w:cs="Book Antiqua"/>
          <w:color w:val="000000" w:themeColor="text1"/>
          <w:lang w:val="es-419"/>
        </w:rPr>
        <w:t>La ASG respalda la aprobación del P. del S. 58 y considera que la medida aclara y fortalece el marco jurídico vigente aplicable a las licitaciones públicas, especialmente en aquellos casos donde se contraten servicios profesionales mediante este mecanismo.</w:t>
      </w:r>
      <w:r w:rsidR="49B2F406" w:rsidRPr="242A1372">
        <w:rPr>
          <w:rFonts w:ascii="Book Antiqua" w:eastAsia="Book Antiqua" w:hAnsi="Book Antiqua" w:cs="Book Antiqua"/>
          <w:color w:val="000000" w:themeColor="text1"/>
          <w:lang w:val="es-419"/>
        </w:rPr>
        <w:t xml:space="preserve"> </w:t>
      </w:r>
      <w:r w:rsidRPr="242A1372">
        <w:rPr>
          <w:rFonts w:ascii="Book Antiqua" w:eastAsia="Book Antiqua" w:hAnsi="Book Antiqua" w:cs="Book Antiqua"/>
          <w:color w:val="000000" w:themeColor="text1"/>
          <w:lang w:val="es-419"/>
        </w:rPr>
        <w:t>En su memorial, ASG reconoce que, aunque la Ley 73-2019 y sus reglamentos no obligan a las agencias a llevar a cabo procesos de licitación para contratar servicios profesionales, hay instancias en que las agencias voluntariamente lo hacen, ya sea por requerimientos federales, por políticas internas o por directrices como la Orden Ejecutiva OE-2021-029, que fomenta la transparencia en la contratación pública.</w:t>
      </w:r>
    </w:p>
    <w:p w14:paraId="6025A8E2" w14:textId="212DDF22" w:rsidR="002A2E5D" w:rsidRDefault="4ED217E3" w:rsidP="00855B5E">
      <w:pPr>
        <w:spacing w:before="240" w:after="240" w:line="276" w:lineRule="auto"/>
        <w:jc w:val="both"/>
        <w:rPr>
          <w:rFonts w:ascii="Book Antiqua" w:eastAsia="Book Antiqua" w:hAnsi="Book Antiqua" w:cs="Book Antiqua"/>
          <w:color w:val="000000" w:themeColor="text1"/>
          <w:lang w:val="es-419"/>
        </w:rPr>
      </w:pPr>
      <w:r w:rsidRPr="242A1372">
        <w:rPr>
          <w:rFonts w:ascii="Book Antiqua" w:eastAsia="Book Antiqua" w:hAnsi="Book Antiqua" w:cs="Book Antiqua"/>
          <w:color w:val="000000" w:themeColor="text1"/>
          <w:lang w:val="es-419"/>
        </w:rPr>
        <w:lastRenderedPageBreak/>
        <w:t xml:space="preserve">ASG destaca que el vacío legal actual en torno a los procedimientos aplicables a este tipo de licitaciones podría dar lugar a controversias si no se establece expresamente que les apliquen las garantías procesales de la Ley 38-2017, como el derecho a revisión administrativa ante la Junta Revisora de Subastas. Según la agencia, esta reforma evitaría ambigüedades y contribuiría a uniformar los procesos, </w:t>
      </w:r>
      <w:r w:rsidR="00BF0C1C" w:rsidRPr="242A1372">
        <w:rPr>
          <w:rFonts w:ascii="Book Antiqua" w:eastAsia="Book Antiqua" w:hAnsi="Book Antiqua" w:cs="Book Antiqua"/>
          <w:color w:val="000000" w:themeColor="text1"/>
          <w:lang w:val="es-419"/>
        </w:rPr>
        <w:t>ya que aclara que también deben regirse por las garantías procesales establecidas en la Ley 38</w:t>
      </w:r>
      <w:r w:rsidR="19E48563" w:rsidRPr="242A1372">
        <w:rPr>
          <w:rFonts w:ascii="Book Antiqua" w:eastAsia="Book Antiqua" w:hAnsi="Book Antiqua" w:cs="Book Antiqua"/>
          <w:color w:val="000000" w:themeColor="text1"/>
          <w:lang w:val="es-419"/>
        </w:rPr>
        <w:t>-</w:t>
      </w:r>
      <w:r w:rsidR="00BF0C1C" w:rsidRPr="242A1372">
        <w:rPr>
          <w:rFonts w:ascii="Book Antiqua" w:eastAsia="Book Antiqua" w:hAnsi="Book Antiqua" w:cs="Book Antiqua"/>
          <w:color w:val="000000" w:themeColor="text1"/>
          <w:lang w:val="es-419"/>
        </w:rPr>
        <w:t>2017, aun cuando no les resulten aplicables las disposiciones de la Ley 73-2019.</w:t>
      </w:r>
    </w:p>
    <w:p w14:paraId="528B4601" w14:textId="1DA2C59E" w:rsidR="002A2E5D" w:rsidRPr="00216AC3" w:rsidRDefault="4ED217E3" w:rsidP="00855B5E">
      <w:pPr>
        <w:spacing w:before="240" w:after="240" w:line="276" w:lineRule="auto"/>
        <w:jc w:val="both"/>
        <w:rPr>
          <w:rFonts w:ascii="Book Antiqua" w:eastAsia="Book Antiqua" w:hAnsi="Book Antiqua" w:cs="Book Antiqua"/>
          <w:color w:val="000000" w:themeColor="text1"/>
          <w:lang w:val="es-PR"/>
        </w:rPr>
      </w:pPr>
      <w:r w:rsidRPr="242A1372">
        <w:rPr>
          <w:rFonts w:ascii="Book Antiqua" w:eastAsia="Book Antiqua" w:hAnsi="Book Antiqua" w:cs="Book Antiqua"/>
          <w:color w:val="000000" w:themeColor="text1"/>
          <w:lang w:val="es-419"/>
        </w:rPr>
        <w:t>Incluso afirman que ya han identificado agencias que utilizan la Junta Revisora para estos casos, lo que valida la necesidad de reconocer en ley lo que ya ocurre en la práctica, dándole así mayor solidez y consistencia al sistema. Para ASG, esta medida no solo es viable y necesaria, sino que también refuerza la política pública de transparencia, equidad y debido proceso en los procesos de compras gubernamentales.</w:t>
      </w:r>
    </w:p>
    <w:p w14:paraId="4FED8D79" w14:textId="7C1BD36F" w:rsidR="00902F31" w:rsidRPr="000A7CAB" w:rsidRDefault="00BD219E" w:rsidP="00855B5E">
      <w:pPr>
        <w:pStyle w:val="NoSpacing"/>
        <w:spacing w:line="276" w:lineRule="auto"/>
        <w:jc w:val="center"/>
        <w:rPr>
          <w:rFonts w:ascii="Book Antiqua" w:eastAsia="Book Antiqua" w:hAnsi="Book Antiqua" w:cs="Book Antiqua"/>
          <w:b/>
          <w:bCs/>
          <w:caps/>
          <w:lang w:val="es-ES"/>
        </w:rPr>
      </w:pPr>
      <w:r w:rsidRPr="242A1372">
        <w:rPr>
          <w:rFonts w:ascii="Book Antiqua" w:eastAsia="Book Antiqua" w:hAnsi="Book Antiqua" w:cs="Book Antiqua"/>
          <w:b/>
          <w:bCs/>
          <w:lang w:val="es-ES"/>
        </w:rPr>
        <w:t>OFICINA DE SERVICIOS LEGISLATIVOS</w:t>
      </w:r>
    </w:p>
    <w:p w14:paraId="06A25E15" w14:textId="2D0B6C0D" w:rsidR="00F711B8" w:rsidRPr="00216AC3" w:rsidRDefault="7A8BBD8C" w:rsidP="00855B5E">
      <w:pPr>
        <w:spacing w:before="240" w:after="240" w:line="276" w:lineRule="auto"/>
        <w:jc w:val="both"/>
        <w:rPr>
          <w:rFonts w:ascii="Book Antiqua" w:eastAsia="Book Antiqua" w:hAnsi="Book Antiqua" w:cs="Book Antiqua"/>
          <w:color w:val="000000" w:themeColor="text1"/>
          <w:lang w:val="es-PR"/>
        </w:rPr>
      </w:pPr>
      <w:r w:rsidRPr="242A1372">
        <w:rPr>
          <w:rFonts w:ascii="Book Antiqua" w:eastAsia="Book Antiqua" w:hAnsi="Book Antiqua" w:cs="Book Antiqua"/>
          <w:color w:val="000000" w:themeColor="text1"/>
          <w:lang w:val="es-419"/>
        </w:rPr>
        <w:t>La OSL no objetó la aprobación del P. del S. 58, pero sí ofreció varias observaciones sobre su redacción y alcance. En primer lugar, OSL advirtió que, aunque la intención de la medida es clarificar la aplicabilidad de los procesos de revisión administrativa en licitaciones de servicios profesionales, el texto propuesto debe ser cuidadosamente armonizado con los marcos normativos existentes para evitar inconsistencias interpretativas.</w:t>
      </w:r>
    </w:p>
    <w:p w14:paraId="41F6951C" w14:textId="757D56A2" w:rsidR="00F711B8" w:rsidRPr="00216AC3" w:rsidRDefault="7A8BBD8C" w:rsidP="00855B5E">
      <w:pPr>
        <w:spacing w:before="240" w:after="240" w:line="276" w:lineRule="auto"/>
        <w:jc w:val="both"/>
        <w:rPr>
          <w:rFonts w:ascii="Book Antiqua" w:eastAsia="Book Antiqua" w:hAnsi="Book Antiqua" w:cs="Book Antiqua"/>
          <w:color w:val="000000" w:themeColor="text1"/>
          <w:lang w:val="es-PR"/>
        </w:rPr>
      </w:pPr>
      <w:r w:rsidRPr="242A1372">
        <w:rPr>
          <w:rFonts w:ascii="Book Antiqua" w:eastAsia="Book Antiqua" w:hAnsi="Book Antiqua" w:cs="Book Antiqua"/>
          <w:color w:val="000000" w:themeColor="text1"/>
          <w:lang w:val="es-419"/>
        </w:rPr>
        <w:t>La OSL subraya que, en muchos casos, las licitaciones para servicios profesionales se rigen por requisitos específicos, ya sean federales, administrativos o contractuales. Por tanto, sugiere que el lenguaje legal sea lo suficientemente claro como para no entrar en conflicto con esos mandatos específicos, y que se asegure que las garantías procesales de la Ley 38-2017 apliquen siempre que no se vea comprometido el cumplimiento con otras disposiciones normativas.</w:t>
      </w:r>
    </w:p>
    <w:p w14:paraId="324ECF22" w14:textId="235C6B36" w:rsidR="00F711B8" w:rsidRPr="003E3789" w:rsidRDefault="7A8BBD8C" w:rsidP="00855B5E">
      <w:pPr>
        <w:spacing w:before="240" w:after="240" w:line="276" w:lineRule="auto"/>
        <w:jc w:val="both"/>
        <w:rPr>
          <w:rFonts w:ascii="Book Antiqua" w:eastAsia="Book Antiqua" w:hAnsi="Book Antiqua" w:cs="Book Antiqua"/>
          <w:color w:val="000000" w:themeColor="text1"/>
          <w:lang w:val="es-419"/>
        </w:rPr>
      </w:pPr>
      <w:r w:rsidRPr="242A1372">
        <w:rPr>
          <w:rFonts w:ascii="Book Antiqua" w:eastAsia="Book Antiqua" w:hAnsi="Book Antiqua" w:cs="Book Antiqua"/>
          <w:color w:val="000000" w:themeColor="text1"/>
          <w:lang w:val="es-419"/>
        </w:rPr>
        <w:t>Asimismo, OSL destaca que el proyecto utiliza una cláusula condicionada, "siempre que dichos procedimientos y términos no ofrezcan garantías procesales menores..." y recomienda que se valore si ese tipo de cláusulas podría ser interpretada de manera ambigua por los tribunales o las agencias. Recomiendan que la intención legislativa quede claramente plasmada en el texto para evitar incertidumbre jurídica. Luego de la evaluación de la medida, OSL expone que no se opone al proyecto, pero invita a que se refine su redacción para lograr mayor precisión técnica y evitar posibles contradicciones en la interpretación legal.</w:t>
      </w:r>
    </w:p>
    <w:p w14:paraId="3FFBBB86" w14:textId="515DF283" w:rsidR="00F711B8" w:rsidRPr="003E3789" w:rsidRDefault="00F711B8" w:rsidP="00855B5E">
      <w:pPr>
        <w:spacing w:before="240" w:after="240" w:line="276" w:lineRule="auto"/>
        <w:jc w:val="center"/>
        <w:rPr>
          <w:rFonts w:ascii="Book Antiqua" w:eastAsia="Book Antiqua" w:hAnsi="Book Antiqua" w:cs="Book Antiqua"/>
          <w:b/>
          <w:bCs/>
          <w:color w:val="000000"/>
          <w:lang w:val="es-ES"/>
        </w:rPr>
      </w:pPr>
      <w:r w:rsidRPr="242A1372">
        <w:rPr>
          <w:rFonts w:ascii="Book Antiqua" w:eastAsia="Book Antiqua" w:hAnsi="Book Antiqua" w:cs="Book Antiqua"/>
          <w:b/>
          <w:bCs/>
          <w:color w:val="000000" w:themeColor="text1"/>
          <w:lang w:val="es-ES"/>
        </w:rPr>
        <w:lastRenderedPageBreak/>
        <w:t>IMPACTO FISCAL MUNICIPAL</w:t>
      </w:r>
    </w:p>
    <w:p w14:paraId="7C05DBF5" w14:textId="45544070" w:rsidR="006938F4" w:rsidRPr="003E3789" w:rsidRDefault="00B5056C" w:rsidP="00855B5E">
      <w:pPr>
        <w:spacing w:line="276" w:lineRule="auto"/>
        <w:jc w:val="both"/>
        <w:rPr>
          <w:rFonts w:ascii="Book Antiqua" w:eastAsia="Book Antiqua" w:hAnsi="Book Antiqua" w:cs="Book Antiqua"/>
          <w:color w:val="000000"/>
          <w:lang w:val="es-ES"/>
        </w:rPr>
      </w:pPr>
      <w:r w:rsidRPr="242A1372">
        <w:rPr>
          <w:rFonts w:ascii="Book Antiqua" w:eastAsia="Book Antiqua" w:hAnsi="Book Antiqua" w:cs="Book Antiqua"/>
          <w:color w:val="000000"/>
          <w:shd w:val="clear" w:color="auto" w:fill="FFFFFF"/>
          <w:lang w:val="es-ES"/>
        </w:rPr>
        <w:t xml:space="preserve">En cumplimiento con el Artículo 1.007 de la Ley 107-2020, según enmendada, conocida como “Código Municipal de Puerto Rico”, la Comisión de Gobierno certifica que </w:t>
      </w:r>
      <w:r w:rsidR="00D7163F" w:rsidRPr="242A1372">
        <w:rPr>
          <w:rFonts w:ascii="Book Antiqua" w:eastAsia="Book Antiqua" w:hAnsi="Book Antiqua" w:cs="Book Antiqua"/>
          <w:b/>
          <w:bCs/>
          <w:color w:val="000000"/>
          <w:shd w:val="clear" w:color="auto" w:fill="FFFFFF"/>
          <w:lang w:val="es-ES"/>
        </w:rPr>
        <w:t>el P. del S. 58</w:t>
      </w:r>
      <w:r w:rsidR="00D7163F" w:rsidRPr="242A1372">
        <w:rPr>
          <w:rFonts w:ascii="Book Antiqua" w:eastAsia="Book Antiqua" w:hAnsi="Book Antiqua" w:cs="Book Antiqua"/>
          <w:color w:val="000000"/>
          <w:shd w:val="clear" w:color="auto" w:fill="FFFFFF"/>
          <w:lang w:val="es-ES"/>
        </w:rPr>
        <w:t xml:space="preserve"> </w:t>
      </w:r>
      <w:r w:rsidRPr="242A1372">
        <w:rPr>
          <w:rFonts w:ascii="Book Antiqua" w:eastAsia="Book Antiqua" w:hAnsi="Book Antiqua" w:cs="Book Antiqua"/>
          <w:color w:val="000000"/>
          <w:shd w:val="clear" w:color="auto" w:fill="FFFFFF"/>
          <w:lang w:val="es-ES"/>
        </w:rPr>
        <w:t>no impone una obligación económica en los presupuestos de los gobiernos municipales.</w:t>
      </w:r>
    </w:p>
    <w:p w14:paraId="4B94D5A5" w14:textId="77777777" w:rsidR="00B5056C" w:rsidRPr="003E3789" w:rsidRDefault="00B5056C" w:rsidP="00855B5E">
      <w:pPr>
        <w:pStyle w:val="ColorfulList-Accent11"/>
        <w:spacing w:line="276" w:lineRule="auto"/>
        <w:ind w:left="0"/>
        <w:jc w:val="center"/>
        <w:rPr>
          <w:rFonts w:ascii="Book Antiqua" w:eastAsia="Book Antiqua" w:hAnsi="Book Antiqua" w:cs="Book Antiqua"/>
          <w:b/>
          <w:bCs/>
          <w:color w:val="000000"/>
          <w:lang w:val="es-ES"/>
        </w:rPr>
      </w:pPr>
    </w:p>
    <w:p w14:paraId="5DCD01CB" w14:textId="77777777" w:rsidR="00D454DC" w:rsidRPr="003E3789" w:rsidRDefault="00D454DC" w:rsidP="00855B5E">
      <w:pPr>
        <w:pStyle w:val="ColorfulList-Accent11"/>
        <w:spacing w:line="276" w:lineRule="auto"/>
        <w:ind w:left="0"/>
        <w:jc w:val="center"/>
        <w:rPr>
          <w:rFonts w:ascii="Book Antiqua" w:eastAsia="Book Antiqua" w:hAnsi="Book Antiqua" w:cs="Book Antiqua"/>
          <w:b/>
          <w:bCs/>
          <w:color w:val="000000"/>
          <w:lang w:val="es-ES"/>
        </w:rPr>
      </w:pPr>
      <w:r w:rsidRPr="242A1372">
        <w:rPr>
          <w:rFonts w:ascii="Book Antiqua" w:eastAsia="Book Antiqua" w:hAnsi="Book Antiqua" w:cs="Book Antiqua"/>
          <w:b/>
          <w:bCs/>
          <w:color w:val="000000" w:themeColor="text1"/>
          <w:lang w:val="es-ES"/>
        </w:rPr>
        <w:t>CONCLUSIÓN</w:t>
      </w:r>
    </w:p>
    <w:p w14:paraId="311A2A42" w14:textId="77777777" w:rsidR="00E16E3C" w:rsidRDefault="00E16E3C" w:rsidP="00855B5E">
      <w:pPr>
        <w:spacing w:line="276" w:lineRule="auto"/>
        <w:jc w:val="both"/>
        <w:rPr>
          <w:rFonts w:ascii="Book Antiqua" w:eastAsia="Book Antiqua" w:hAnsi="Book Antiqua" w:cs="Book Antiqua"/>
          <w:lang w:val="es-ES"/>
        </w:rPr>
      </w:pPr>
    </w:p>
    <w:p w14:paraId="547F8AA0" w14:textId="74A1F449" w:rsidR="68C4EACF" w:rsidRDefault="68C4EACF" w:rsidP="00855B5E">
      <w:pPr>
        <w:spacing w:line="276" w:lineRule="auto"/>
        <w:jc w:val="both"/>
        <w:rPr>
          <w:rFonts w:ascii="Book Antiqua" w:eastAsia="Book Antiqua" w:hAnsi="Book Antiqua" w:cs="Book Antiqua"/>
          <w:b/>
          <w:bCs/>
          <w:lang w:val="es-ES"/>
        </w:rPr>
      </w:pPr>
      <w:r w:rsidRPr="242A1372">
        <w:rPr>
          <w:rFonts w:ascii="Book Antiqua" w:eastAsia="Book Antiqua" w:hAnsi="Book Antiqua" w:cs="Book Antiqua"/>
          <w:lang w:val="es-ES"/>
        </w:rPr>
        <w:t>La Comisión de Gobierno, reconociendo la importancia de</w:t>
      </w:r>
      <w:r w:rsidR="00D7163F" w:rsidRPr="242A1372">
        <w:rPr>
          <w:rFonts w:ascii="Book Antiqua" w:eastAsia="Book Antiqua" w:hAnsi="Book Antiqua" w:cs="Book Antiqua"/>
          <w:lang w:val="es-ES"/>
        </w:rPr>
        <w:t xml:space="preserve">l </w:t>
      </w:r>
      <w:r w:rsidR="00D7163F" w:rsidRPr="242A1372">
        <w:rPr>
          <w:rFonts w:ascii="Book Antiqua" w:eastAsia="Book Antiqua" w:hAnsi="Book Antiqua" w:cs="Book Antiqua"/>
          <w:b/>
          <w:bCs/>
          <w:lang w:val="es-ES"/>
        </w:rPr>
        <w:t>P. del S. 58</w:t>
      </w:r>
      <w:r w:rsidR="00D7163F" w:rsidRPr="242A1372">
        <w:rPr>
          <w:rFonts w:ascii="Book Antiqua" w:eastAsia="Book Antiqua" w:hAnsi="Book Antiqua" w:cs="Book Antiqua"/>
          <w:lang w:val="es-ES"/>
        </w:rPr>
        <w:t xml:space="preserve"> </w:t>
      </w:r>
      <w:r w:rsidRPr="242A1372">
        <w:rPr>
          <w:rFonts w:ascii="Book Antiqua" w:eastAsia="Book Antiqua" w:hAnsi="Book Antiqua" w:cs="Book Antiqua"/>
          <w:lang w:val="es-ES"/>
        </w:rPr>
        <w:t xml:space="preserve">y tomando en cuenta las recomendaciones presentadas en el memorial explicativo de la </w:t>
      </w:r>
      <w:r w:rsidR="00D7163F" w:rsidRPr="242A1372">
        <w:rPr>
          <w:rFonts w:ascii="Book Antiqua" w:eastAsia="Book Antiqua" w:hAnsi="Book Antiqua" w:cs="Book Antiqua"/>
          <w:lang w:val="es-ES"/>
        </w:rPr>
        <w:t xml:space="preserve">Administración de Servicios Generales (ASG) y de la </w:t>
      </w:r>
      <w:r w:rsidRPr="242A1372">
        <w:rPr>
          <w:rFonts w:ascii="Book Antiqua" w:eastAsia="Book Antiqua" w:hAnsi="Book Antiqua" w:cs="Book Antiqua"/>
          <w:lang w:val="es-ES"/>
        </w:rPr>
        <w:t xml:space="preserve">Oficina de Servicios Legislativos (OSL), llevó a cabo un análisis detallado de la pieza legislativa. Como resultado, se presenta este </w:t>
      </w:r>
      <w:r w:rsidRPr="242A1372">
        <w:rPr>
          <w:rFonts w:ascii="Book Antiqua" w:eastAsia="Book Antiqua" w:hAnsi="Book Antiqua" w:cs="Book Antiqua"/>
          <w:b/>
          <w:bCs/>
          <w:lang w:val="es-ES"/>
        </w:rPr>
        <w:t>Informe Positivo</w:t>
      </w:r>
      <w:r w:rsidR="0FC0DC9B" w:rsidRPr="242A1372">
        <w:rPr>
          <w:rFonts w:ascii="Book Antiqua" w:eastAsia="Book Antiqua" w:hAnsi="Book Antiqua" w:cs="Book Antiqua"/>
          <w:b/>
          <w:bCs/>
          <w:lang w:val="es-ES"/>
        </w:rPr>
        <w:t>.</w:t>
      </w:r>
      <w:r w:rsidR="6485B9FA" w:rsidRPr="242A1372">
        <w:rPr>
          <w:rFonts w:ascii="Book Antiqua" w:eastAsia="Book Antiqua" w:hAnsi="Book Antiqua" w:cs="Book Antiqua"/>
          <w:b/>
          <w:bCs/>
          <w:lang w:val="es-ES"/>
        </w:rPr>
        <w:t xml:space="preserve"> </w:t>
      </w:r>
    </w:p>
    <w:p w14:paraId="6926EDDA" w14:textId="11A5169F" w:rsidR="242A1372" w:rsidRDefault="242A1372" w:rsidP="00855B5E">
      <w:pPr>
        <w:spacing w:line="276" w:lineRule="auto"/>
        <w:jc w:val="both"/>
        <w:rPr>
          <w:rFonts w:ascii="Book Antiqua" w:eastAsia="Book Antiqua" w:hAnsi="Book Antiqua" w:cs="Book Antiqua"/>
          <w:color w:val="000000" w:themeColor="text1"/>
          <w:lang w:val="es-419"/>
        </w:rPr>
      </w:pPr>
    </w:p>
    <w:p w14:paraId="114B0177" w14:textId="0C4CDC15" w:rsidR="4B42AB52" w:rsidRDefault="4B42AB52" w:rsidP="00855B5E">
      <w:pPr>
        <w:spacing w:line="276" w:lineRule="auto"/>
        <w:jc w:val="both"/>
        <w:rPr>
          <w:rFonts w:ascii="Book Antiqua" w:eastAsia="Book Antiqua" w:hAnsi="Book Antiqua" w:cs="Book Antiqua"/>
          <w:color w:val="000000" w:themeColor="text1"/>
          <w:lang w:val="es-419"/>
        </w:rPr>
      </w:pPr>
      <w:r w:rsidRPr="242A1372">
        <w:rPr>
          <w:rFonts w:ascii="Book Antiqua" w:eastAsia="Book Antiqua" w:hAnsi="Book Antiqua" w:cs="Book Antiqua"/>
          <w:color w:val="000000" w:themeColor="text1"/>
          <w:lang w:val="es-419"/>
        </w:rPr>
        <w:t>La Comisión de Gobierno recomienda la aprobación de la medida n</w:t>
      </w:r>
      <w:r w:rsidR="62EBF5F9" w:rsidRPr="242A1372">
        <w:rPr>
          <w:rFonts w:ascii="Book Antiqua" w:eastAsia="Book Antiqua" w:hAnsi="Book Antiqua" w:cs="Book Antiqua"/>
          <w:color w:val="000000" w:themeColor="text1"/>
          <w:lang w:val="es-419"/>
        </w:rPr>
        <w:t>o solo porque ambas entidades reconocen su utilidad, en especial ASG, que apoya de forma explícita su aprobación, sino porque la medida responde a un problema real que enfrentan nuestras agencias y los licitadores: la incertidumbre jurídica cuando se trata de procesos de licitación para servicios profesionales.</w:t>
      </w:r>
    </w:p>
    <w:p w14:paraId="57E85D5D" w14:textId="19F551A5" w:rsidR="62EBF5F9" w:rsidRPr="00B41B18" w:rsidRDefault="62EBF5F9" w:rsidP="00855B5E">
      <w:pPr>
        <w:spacing w:before="240" w:after="240" w:line="276" w:lineRule="auto"/>
        <w:jc w:val="both"/>
        <w:rPr>
          <w:rFonts w:ascii="Book Antiqua" w:eastAsia="Book Antiqua" w:hAnsi="Book Antiqua" w:cs="Book Antiqua"/>
          <w:color w:val="000000" w:themeColor="text1"/>
          <w:lang w:val="es-PR"/>
        </w:rPr>
      </w:pPr>
      <w:r w:rsidRPr="242A1372">
        <w:rPr>
          <w:rFonts w:ascii="Book Antiqua" w:eastAsia="Book Antiqua" w:hAnsi="Book Antiqua" w:cs="Book Antiqua"/>
          <w:color w:val="000000" w:themeColor="text1"/>
          <w:lang w:val="es-419"/>
        </w:rPr>
        <w:t>Aunque históricamente estos servicios han estado fuera del alcance de las licitaciones obligatorias, lo cierto es que cada vez es más común que agencias celebren estos procesos, ya sea por exigencias de fondos federales, recomendaciones de la Oficina del Contralor, o por políticas internas dirigidas a asegurar mayor transparencia. Cuando eso ocurre, no hay en la ley una guía clara de qué garantías procesales aplican</w:t>
      </w:r>
      <w:r w:rsidR="303DB946" w:rsidRPr="242A1372">
        <w:rPr>
          <w:rFonts w:ascii="Book Antiqua" w:eastAsia="Book Antiqua" w:hAnsi="Book Antiqua" w:cs="Book Antiqua"/>
          <w:color w:val="000000" w:themeColor="text1"/>
          <w:lang w:val="es-419"/>
        </w:rPr>
        <w:t xml:space="preserve"> </w:t>
      </w:r>
      <w:r w:rsidRPr="242A1372">
        <w:rPr>
          <w:rFonts w:ascii="Book Antiqua" w:eastAsia="Book Antiqua" w:hAnsi="Book Antiqua" w:cs="Book Antiqua"/>
          <w:color w:val="000000" w:themeColor="text1"/>
          <w:lang w:val="es-419"/>
        </w:rPr>
        <w:t>y eso deja a las partes, tanto al gobierno como a los licitadores, en una posición vulnerable.</w:t>
      </w:r>
    </w:p>
    <w:p w14:paraId="25692E61" w14:textId="08155B7A" w:rsidR="2C2B9DF2" w:rsidRPr="00B41B18" w:rsidRDefault="2C2B9DF2" w:rsidP="00855B5E">
      <w:pPr>
        <w:spacing w:before="240" w:after="240" w:line="276" w:lineRule="auto"/>
        <w:jc w:val="both"/>
        <w:rPr>
          <w:rFonts w:ascii="Book Antiqua" w:eastAsia="Book Antiqua" w:hAnsi="Book Antiqua" w:cs="Book Antiqua"/>
          <w:color w:val="000000" w:themeColor="text1"/>
          <w:lang w:val="es-PR"/>
        </w:rPr>
      </w:pPr>
      <w:r w:rsidRPr="242A1372">
        <w:rPr>
          <w:rFonts w:ascii="Book Antiqua" w:eastAsia="Book Antiqua" w:hAnsi="Book Antiqua" w:cs="Book Antiqua"/>
          <w:color w:val="000000" w:themeColor="text1"/>
          <w:lang w:val="es-419"/>
        </w:rPr>
        <w:t>Del mismo modo, l</w:t>
      </w:r>
      <w:r w:rsidR="62EBF5F9" w:rsidRPr="242A1372">
        <w:rPr>
          <w:rFonts w:ascii="Book Antiqua" w:eastAsia="Book Antiqua" w:hAnsi="Book Antiqua" w:cs="Book Antiqua"/>
          <w:color w:val="000000" w:themeColor="text1"/>
          <w:lang w:val="es-419"/>
        </w:rPr>
        <w:t xml:space="preserve">a propuesta legislativa no impone nuevos requisitos, ni obliga a licitar servicios profesionales donde no se requiere; </w:t>
      </w:r>
      <w:r w:rsidR="62EBF5F9" w:rsidRPr="242A1372">
        <w:rPr>
          <w:rFonts w:ascii="Book Antiqua" w:eastAsia="Book Antiqua" w:hAnsi="Book Antiqua" w:cs="Book Antiqua"/>
          <w:b/>
          <w:bCs/>
          <w:color w:val="000000" w:themeColor="text1"/>
          <w:lang w:val="es-419"/>
        </w:rPr>
        <w:t>s</w:t>
      </w:r>
      <w:r w:rsidR="62EBF5F9" w:rsidRPr="242A1372">
        <w:rPr>
          <w:rFonts w:ascii="Book Antiqua" w:eastAsia="Book Antiqua" w:hAnsi="Book Antiqua" w:cs="Book Antiqua"/>
          <w:color w:val="000000" w:themeColor="text1"/>
          <w:lang w:val="es-419"/>
        </w:rPr>
        <w:t>implemente aclara que, cuando se elige hacerlo, deben observarse los mismos derechos mínimos de revisión que en cualquier otra licitación pública. Nos parece una solución sensata, que evita litigios innecesarios y previene interpretaciones arbitrarias.</w:t>
      </w:r>
    </w:p>
    <w:p w14:paraId="13A75931" w14:textId="29CD4744" w:rsidR="62EBF5F9" w:rsidRPr="00B41B18" w:rsidRDefault="62EBF5F9" w:rsidP="00855B5E">
      <w:pPr>
        <w:spacing w:before="240" w:after="240" w:line="276" w:lineRule="auto"/>
        <w:jc w:val="both"/>
        <w:rPr>
          <w:rFonts w:ascii="Book Antiqua" w:eastAsia="Book Antiqua" w:hAnsi="Book Antiqua" w:cs="Book Antiqua"/>
          <w:color w:val="000000" w:themeColor="text1"/>
          <w:lang w:val="es-PR"/>
        </w:rPr>
      </w:pPr>
      <w:r w:rsidRPr="242A1372">
        <w:rPr>
          <w:rFonts w:ascii="Book Antiqua" w:eastAsia="Book Antiqua" w:hAnsi="Book Antiqua" w:cs="Book Antiqua"/>
          <w:color w:val="000000" w:themeColor="text1"/>
          <w:lang w:val="es-419"/>
        </w:rPr>
        <w:t xml:space="preserve">También es importante destacar que esta enmienda no interfiere con normativas especiales que ya rijan ciertos programas o fondos. Por el contrario, la medida contempla esas posibles disposiciones y establece que se respetarán, siempre que no se disminuyan las garantías procesales que ofrece nuestra ley. Finalmente, en momentos donde la </w:t>
      </w:r>
      <w:r w:rsidRPr="242A1372">
        <w:rPr>
          <w:rFonts w:ascii="Book Antiqua" w:eastAsia="Book Antiqua" w:hAnsi="Book Antiqua" w:cs="Book Antiqua"/>
          <w:color w:val="000000" w:themeColor="text1"/>
          <w:lang w:val="es-419"/>
        </w:rPr>
        <w:lastRenderedPageBreak/>
        <w:t>ciudadanía exige cada vez más transparencia en la contratación pública, y cuando nuestras agencias enfrentan un entorno legal y fiscal complejo, entendemos que medidas como esta fortalecen la confianza pública en los procesos gubernamentales y dan herramientas claras a quienes administran fondos públicos.</w:t>
      </w:r>
    </w:p>
    <w:p w14:paraId="5AB7A69B" w14:textId="65904317" w:rsidR="00F06F22" w:rsidRDefault="00F06F22" w:rsidP="00855B5E">
      <w:pPr>
        <w:spacing w:line="276" w:lineRule="auto"/>
        <w:jc w:val="both"/>
        <w:rPr>
          <w:rFonts w:ascii="Book Antiqua" w:eastAsia="Book Antiqua" w:hAnsi="Book Antiqua" w:cs="Book Antiqua"/>
          <w:lang w:val="es-ES"/>
        </w:rPr>
      </w:pPr>
      <w:r w:rsidRPr="242A1372">
        <w:rPr>
          <w:rFonts w:ascii="Book Antiqua" w:eastAsia="Book Antiqua" w:hAnsi="Book Antiqua" w:cs="Book Antiqua"/>
          <w:b/>
          <w:bCs/>
          <w:color w:val="000000" w:themeColor="text1"/>
          <w:lang w:val="es-ES"/>
        </w:rPr>
        <w:t xml:space="preserve">POR TODO LO ANTES EXPUESTO, </w:t>
      </w:r>
      <w:r w:rsidRPr="242A1372">
        <w:rPr>
          <w:rFonts w:ascii="Book Antiqua" w:eastAsia="Book Antiqua" w:hAnsi="Book Antiqua" w:cs="Book Antiqua"/>
          <w:color w:val="000000" w:themeColor="text1"/>
          <w:lang w:val="es-ES"/>
        </w:rPr>
        <w:t xml:space="preserve">la Comisión de Gobierno del Senado de Puerto Rico, previo estudio y consideración, tiene a bien presentar ante este Alto Cuerpo el Informe </w:t>
      </w:r>
      <w:r w:rsidRPr="242A1372">
        <w:rPr>
          <w:rFonts w:ascii="Book Antiqua" w:eastAsia="Book Antiqua" w:hAnsi="Book Antiqua" w:cs="Book Antiqua"/>
          <w:b/>
          <w:bCs/>
          <w:color w:val="000000" w:themeColor="text1"/>
          <w:lang w:val="es-ES"/>
        </w:rPr>
        <w:t>Positivo</w:t>
      </w:r>
      <w:r w:rsidRPr="242A1372">
        <w:rPr>
          <w:rFonts w:ascii="Book Antiqua" w:eastAsia="Book Antiqua" w:hAnsi="Book Antiqua" w:cs="Book Antiqua"/>
          <w:color w:val="000000" w:themeColor="text1"/>
          <w:lang w:val="es-ES"/>
        </w:rPr>
        <w:t xml:space="preserve"> sobre </w:t>
      </w:r>
      <w:r w:rsidR="00D7163F" w:rsidRPr="242A1372">
        <w:rPr>
          <w:rFonts w:ascii="Book Antiqua" w:eastAsia="Book Antiqua" w:hAnsi="Book Antiqua" w:cs="Book Antiqua"/>
          <w:color w:val="000000" w:themeColor="text1"/>
          <w:lang w:val="es-ES"/>
        </w:rPr>
        <w:t xml:space="preserve">el </w:t>
      </w:r>
      <w:r w:rsidR="00D7163F" w:rsidRPr="242A1372">
        <w:rPr>
          <w:rFonts w:ascii="Book Antiqua" w:eastAsia="Book Antiqua" w:hAnsi="Book Antiqua" w:cs="Book Antiqua"/>
          <w:b/>
          <w:bCs/>
          <w:color w:val="000000" w:themeColor="text1"/>
          <w:lang w:val="es-ES"/>
        </w:rPr>
        <w:t>Proyecto del Senado 58</w:t>
      </w:r>
      <w:r w:rsidRPr="242A1372">
        <w:rPr>
          <w:rFonts w:ascii="Book Antiqua" w:eastAsia="Book Antiqua" w:hAnsi="Book Antiqua" w:cs="Book Antiqua"/>
          <w:color w:val="000000" w:themeColor="text1"/>
          <w:lang w:val="es-ES"/>
        </w:rPr>
        <w:t xml:space="preserve">, recomendando su aprobación </w:t>
      </w:r>
      <w:r w:rsidR="0B1CA6DF" w:rsidRPr="242A1372">
        <w:rPr>
          <w:rFonts w:ascii="Book Antiqua" w:eastAsia="Book Antiqua" w:hAnsi="Book Antiqua" w:cs="Book Antiqua"/>
          <w:lang w:val="es-ES"/>
        </w:rPr>
        <w:t>con las enmiendas contenidas en el entirillado electrónico que se acompaña.</w:t>
      </w:r>
    </w:p>
    <w:p w14:paraId="45FB0818" w14:textId="77777777" w:rsidR="00F06F22" w:rsidRPr="003E3789" w:rsidRDefault="00F06F22" w:rsidP="00855B5E">
      <w:pPr>
        <w:spacing w:line="276" w:lineRule="auto"/>
        <w:ind w:firstLine="720"/>
        <w:jc w:val="both"/>
        <w:rPr>
          <w:rFonts w:ascii="Book Antiqua" w:eastAsia="Book Antiqua" w:hAnsi="Book Antiqua" w:cs="Book Antiqua"/>
          <w:color w:val="000000"/>
          <w:lang w:val="es-ES"/>
        </w:rPr>
      </w:pPr>
    </w:p>
    <w:p w14:paraId="049F31CB" w14:textId="77777777" w:rsidR="00D454DC" w:rsidRPr="003E3789" w:rsidRDefault="00D454DC" w:rsidP="00855B5E">
      <w:pPr>
        <w:spacing w:line="276" w:lineRule="auto"/>
        <w:jc w:val="both"/>
        <w:rPr>
          <w:rFonts w:ascii="Book Antiqua" w:eastAsia="Book Antiqua" w:hAnsi="Book Antiqua" w:cs="Book Antiqua"/>
          <w:color w:val="000000"/>
          <w:lang w:val="es-ES"/>
        </w:rPr>
      </w:pPr>
    </w:p>
    <w:p w14:paraId="23A1BE3B" w14:textId="77777777" w:rsidR="00D454DC" w:rsidRPr="003E3789" w:rsidRDefault="00D454DC" w:rsidP="00855B5E">
      <w:pPr>
        <w:spacing w:line="276" w:lineRule="auto"/>
        <w:jc w:val="both"/>
        <w:rPr>
          <w:rFonts w:ascii="Book Antiqua" w:eastAsia="Book Antiqua" w:hAnsi="Book Antiqua" w:cs="Book Antiqua"/>
          <w:color w:val="000000"/>
          <w:lang w:val="es-ES"/>
        </w:rPr>
      </w:pPr>
      <w:r w:rsidRPr="242A1372">
        <w:rPr>
          <w:rFonts w:ascii="Book Antiqua" w:eastAsia="Book Antiqua" w:hAnsi="Book Antiqua" w:cs="Book Antiqua"/>
          <w:color w:val="000000" w:themeColor="text1"/>
          <w:lang w:val="es-ES"/>
        </w:rPr>
        <w:t>Respetuosamente sometido,</w:t>
      </w:r>
    </w:p>
    <w:p w14:paraId="53128261" w14:textId="77777777" w:rsidR="007954BD" w:rsidRPr="003E3789" w:rsidRDefault="007954BD" w:rsidP="00855B5E">
      <w:pPr>
        <w:spacing w:line="276" w:lineRule="auto"/>
        <w:jc w:val="both"/>
        <w:rPr>
          <w:rFonts w:ascii="Book Antiqua" w:eastAsia="Book Antiqua" w:hAnsi="Book Antiqua" w:cs="Book Antiqua"/>
          <w:color w:val="000000"/>
          <w:lang w:val="es-ES"/>
        </w:rPr>
      </w:pPr>
    </w:p>
    <w:p w14:paraId="62486C05" w14:textId="77777777" w:rsidR="00946C49" w:rsidRPr="003E3789" w:rsidRDefault="00946C49" w:rsidP="00855B5E">
      <w:pPr>
        <w:spacing w:line="276" w:lineRule="auto"/>
        <w:jc w:val="both"/>
        <w:rPr>
          <w:rFonts w:ascii="Book Antiqua" w:eastAsia="Book Antiqua" w:hAnsi="Book Antiqua" w:cs="Book Antiqua"/>
          <w:color w:val="000000"/>
          <w:lang w:val="es-ES"/>
        </w:rPr>
      </w:pPr>
    </w:p>
    <w:p w14:paraId="4101652C" w14:textId="77777777" w:rsidR="007954BD" w:rsidRPr="003E3789" w:rsidRDefault="007954BD" w:rsidP="00855B5E">
      <w:pPr>
        <w:spacing w:line="276" w:lineRule="auto"/>
        <w:jc w:val="both"/>
        <w:rPr>
          <w:rFonts w:ascii="Book Antiqua" w:eastAsia="Book Antiqua" w:hAnsi="Book Antiqua" w:cs="Book Antiqua"/>
          <w:color w:val="000000"/>
          <w:lang w:val="es-ES"/>
        </w:rPr>
      </w:pPr>
    </w:p>
    <w:p w14:paraId="39BBAFA8" w14:textId="77777777" w:rsidR="007954BD" w:rsidRPr="003E3789" w:rsidRDefault="00CC72F5" w:rsidP="00855B5E">
      <w:pPr>
        <w:spacing w:line="276" w:lineRule="auto"/>
        <w:jc w:val="both"/>
        <w:outlineLvl w:val="0"/>
        <w:rPr>
          <w:rFonts w:ascii="Book Antiqua" w:eastAsia="Book Antiqua" w:hAnsi="Book Antiqua" w:cs="Book Antiqua"/>
          <w:b/>
          <w:bCs/>
          <w:color w:val="000000"/>
          <w:lang w:val="es-ES"/>
        </w:rPr>
      </w:pPr>
      <w:r w:rsidRPr="242A1372">
        <w:rPr>
          <w:rFonts w:ascii="Book Antiqua" w:eastAsia="Book Antiqua" w:hAnsi="Book Antiqua" w:cs="Book Antiqua"/>
          <w:b/>
          <w:bCs/>
          <w:color w:val="000000" w:themeColor="text1"/>
          <w:lang w:val="es-ES"/>
        </w:rPr>
        <w:t xml:space="preserve">Sen. </w:t>
      </w:r>
      <w:r w:rsidR="00B5056C" w:rsidRPr="242A1372">
        <w:rPr>
          <w:rFonts w:ascii="Book Antiqua" w:eastAsia="Book Antiqua" w:hAnsi="Book Antiqua" w:cs="Book Antiqua"/>
          <w:b/>
          <w:bCs/>
          <w:color w:val="000000" w:themeColor="text1"/>
          <w:lang w:val="es-ES"/>
        </w:rPr>
        <w:t xml:space="preserve">Ángel </w:t>
      </w:r>
      <w:r w:rsidR="00CA78A5" w:rsidRPr="242A1372">
        <w:rPr>
          <w:rFonts w:ascii="Book Antiqua" w:eastAsia="Book Antiqua" w:hAnsi="Book Antiqua" w:cs="Book Antiqua"/>
          <w:b/>
          <w:bCs/>
          <w:color w:val="000000" w:themeColor="text1"/>
          <w:lang w:val="es-ES"/>
        </w:rPr>
        <w:t xml:space="preserve">A. </w:t>
      </w:r>
      <w:r w:rsidR="00B5056C" w:rsidRPr="242A1372">
        <w:rPr>
          <w:rFonts w:ascii="Book Antiqua" w:eastAsia="Book Antiqua" w:hAnsi="Book Antiqua" w:cs="Book Antiqua"/>
          <w:b/>
          <w:bCs/>
          <w:color w:val="000000" w:themeColor="text1"/>
          <w:lang w:val="es-ES"/>
        </w:rPr>
        <w:t>Toledo López</w:t>
      </w:r>
    </w:p>
    <w:p w14:paraId="19E75594" w14:textId="77777777" w:rsidR="007954BD" w:rsidRPr="003E3789" w:rsidRDefault="007954BD" w:rsidP="00855B5E">
      <w:pPr>
        <w:spacing w:line="276" w:lineRule="auto"/>
        <w:jc w:val="both"/>
        <w:rPr>
          <w:rFonts w:ascii="Book Antiqua" w:eastAsia="Book Antiqua" w:hAnsi="Book Antiqua" w:cs="Book Antiqua"/>
          <w:color w:val="000000"/>
          <w:lang w:val="es-ES"/>
        </w:rPr>
      </w:pPr>
      <w:r w:rsidRPr="242A1372">
        <w:rPr>
          <w:rFonts w:ascii="Book Antiqua" w:eastAsia="Book Antiqua" w:hAnsi="Book Antiqua" w:cs="Book Antiqua"/>
          <w:color w:val="000000" w:themeColor="text1"/>
          <w:lang w:val="es-ES"/>
        </w:rPr>
        <w:t>Presidente</w:t>
      </w:r>
    </w:p>
    <w:p w14:paraId="1299C43A" w14:textId="696DA554" w:rsidR="003F73D6" w:rsidRPr="00005E43" w:rsidRDefault="007954BD" w:rsidP="00855B5E">
      <w:pPr>
        <w:spacing w:line="276" w:lineRule="auto"/>
        <w:jc w:val="both"/>
        <w:rPr>
          <w:rFonts w:ascii="Book Antiqua" w:eastAsia="Book Antiqua" w:hAnsi="Book Antiqua" w:cs="Book Antiqua"/>
          <w:color w:val="000000"/>
          <w:lang w:val="es-ES"/>
        </w:rPr>
      </w:pPr>
      <w:r w:rsidRPr="242A1372">
        <w:rPr>
          <w:rFonts w:ascii="Book Antiqua" w:eastAsia="Book Antiqua" w:hAnsi="Book Antiqua" w:cs="Book Antiqua"/>
          <w:color w:val="000000" w:themeColor="text1"/>
          <w:lang w:val="es-ES"/>
        </w:rPr>
        <w:t xml:space="preserve">Comisión de </w:t>
      </w:r>
      <w:r w:rsidR="00B5056C" w:rsidRPr="242A1372">
        <w:rPr>
          <w:rFonts w:ascii="Book Antiqua" w:eastAsia="Book Antiqua" w:hAnsi="Book Antiqua" w:cs="Book Antiqua"/>
          <w:color w:val="000000" w:themeColor="text1"/>
          <w:lang w:val="es-ES"/>
        </w:rPr>
        <w:t>Gobierno</w:t>
      </w:r>
    </w:p>
    <w:sectPr w:rsidR="003F73D6" w:rsidRPr="00005E43" w:rsidSect="003F73D6">
      <w:headerReference w:type="default" r:id="rId11"/>
      <w:footerReference w:type="default" r:id="rId12"/>
      <w:headerReference w:type="first" r:id="rId13"/>
      <w:footerReference w:type="firs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8A2267" w14:textId="77777777" w:rsidR="00F97396" w:rsidRDefault="00F97396" w:rsidP="00F46986">
      <w:r>
        <w:separator/>
      </w:r>
    </w:p>
  </w:endnote>
  <w:endnote w:type="continuationSeparator" w:id="0">
    <w:p w14:paraId="509FF0BB" w14:textId="77777777" w:rsidR="00F97396" w:rsidRDefault="00F97396" w:rsidP="00F46986">
      <w:r>
        <w:continuationSeparator/>
      </w:r>
    </w:p>
  </w:endnote>
  <w:endnote w:type="continuationNotice" w:id="1">
    <w:p w14:paraId="7BA49350" w14:textId="77777777" w:rsidR="00F97396" w:rsidRDefault="00F973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Neue">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28009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5C3CCD52" w14:paraId="05DC28C4" w14:textId="77777777" w:rsidTr="5C3CCD52">
      <w:trPr>
        <w:trHeight w:val="300"/>
      </w:trPr>
      <w:tc>
        <w:tcPr>
          <w:tcW w:w="3120" w:type="dxa"/>
        </w:tcPr>
        <w:p w14:paraId="65601AC5" w14:textId="70D97D20" w:rsidR="5C3CCD52" w:rsidRDefault="5C3CCD52" w:rsidP="5C3CCD52">
          <w:pPr>
            <w:pStyle w:val="Header"/>
            <w:ind w:left="-115"/>
          </w:pPr>
        </w:p>
      </w:tc>
      <w:tc>
        <w:tcPr>
          <w:tcW w:w="3120" w:type="dxa"/>
        </w:tcPr>
        <w:p w14:paraId="6FD0FED6" w14:textId="3674215C" w:rsidR="5C3CCD52" w:rsidRDefault="5C3CCD52" w:rsidP="5C3CCD52">
          <w:pPr>
            <w:pStyle w:val="Header"/>
            <w:jc w:val="center"/>
          </w:pPr>
        </w:p>
      </w:tc>
      <w:tc>
        <w:tcPr>
          <w:tcW w:w="3120" w:type="dxa"/>
        </w:tcPr>
        <w:p w14:paraId="4A48E764" w14:textId="1BBEFC40" w:rsidR="5C3CCD52" w:rsidRDefault="5C3CCD52" w:rsidP="5C3CCD52">
          <w:pPr>
            <w:pStyle w:val="Header"/>
            <w:ind w:right="-115"/>
            <w:jc w:val="right"/>
          </w:pPr>
        </w:p>
      </w:tc>
    </w:tr>
  </w:tbl>
  <w:p w14:paraId="4017F3D7" w14:textId="05A766EB" w:rsidR="5C3CCD52" w:rsidRDefault="5C3CCD52" w:rsidP="5C3CCD5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5C3CCD52" w14:paraId="3D0C3DD9" w14:textId="77777777" w:rsidTr="5C3CCD52">
      <w:trPr>
        <w:trHeight w:val="300"/>
      </w:trPr>
      <w:tc>
        <w:tcPr>
          <w:tcW w:w="3120" w:type="dxa"/>
        </w:tcPr>
        <w:p w14:paraId="6FDAB807" w14:textId="1606598A" w:rsidR="5C3CCD52" w:rsidRDefault="5C3CCD52" w:rsidP="5C3CCD52">
          <w:pPr>
            <w:pStyle w:val="Header"/>
            <w:ind w:left="-115"/>
          </w:pPr>
        </w:p>
      </w:tc>
      <w:tc>
        <w:tcPr>
          <w:tcW w:w="3120" w:type="dxa"/>
        </w:tcPr>
        <w:p w14:paraId="320EB245" w14:textId="0E47AF75" w:rsidR="5C3CCD52" w:rsidRDefault="5C3CCD52" w:rsidP="5C3CCD52">
          <w:pPr>
            <w:pStyle w:val="Header"/>
            <w:jc w:val="center"/>
          </w:pPr>
        </w:p>
      </w:tc>
      <w:tc>
        <w:tcPr>
          <w:tcW w:w="3120" w:type="dxa"/>
        </w:tcPr>
        <w:p w14:paraId="799EB97E" w14:textId="64361AAA" w:rsidR="5C3CCD52" w:rsidRDefault="5C3CCD52" w:rsidP="5C3CCD52">
          <w:pPr>
            <w:pStyle w:val="Header"/>
            <w:ind w:right="-115"/>
            <w:jc w:val="right"/>
          </w:pPr>
        </w:p>
      </w:tc>
    </w:tr>
  </w:tbl>
  <w:p w14:paraId="446A2E67" w14:textId="0B98ABB9" w:rsidR="5C3CCD52" w:rsidRDefault="5C3CCD52" w:rsidP="5C3CCD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F60CF7" w14:textId="77777777" w:rsidR="00F97396" w:rsidRDefault="00F97396" w:rsidP="00F46986">
      <w:r>
        <w:separator/>
      </w:r>
    </w:p>
  </w:footnote>
  <w:footnote w:type="continuationSeparator" w:id="0">
    <w:p w14:paraId="4B47BCA9" w14:textId="77777777" w:rsidR="00F97396" w:rsidRDefault="00F97396" w:rsidP="00F46986">
      <w:r>
        <w:continuationSeparator/>
      </w:r>
    </w:p>
  </w:footnote>
  <w:footnote w:type="continuationNotice" w:id="1">
    <w:p w14:paraId="79FFAA9A" w14:textId="77777777" w:rsidR="00F97396" w:rsidRDefault="00F9739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57A4D" w14:textId="77777777" w:rsidR="00FC55E1" w:rsidRDefault="00AA356F" w:rsidP="003F73D6">
    <w:pPr>
      <w:pStyle w:val="Header"/>
      <w:pBdr>
        <w:bottom w:val="single" w:sz="12" w:space="1" w:color="auto"/>
      </w:pBdr>
      <w:rPr>
        <w:rFonts w:ascii="Book Antiqua" w:hAnsi="Book Antiqua"/>
        <w:b/>
        <w:sz w:val="20"/>
        <w:lang w:val="es-PR"/>
      </w:rPr>
    </w:pPr>
    <w:r>
      <w:rPr>
        <w:rFonts w:ascii="Book Antiqua" w:hAnsi="Book Antiqua"/>
        <w:b/>
        <w:sz w:val="20"/>
        <w:lang w:val="es-PR"/>
      </w:rPr>
      <w:t xml:space="preserve">Comisión de </w:t>
    </w:r>
    <w:r w:rsidR="007B6F4C">
      <w:rPr>
        <w:rFonts w:ascii="Book Antiqua" w:hAnsi="Book Antiqua"/>
        <w:b/>
        <w:sz w:val="20"/>
        <w:lang w:val="es-PR"/>
      </w:rPr>
      <w:t>Gobierno</w:t>
    </w:r>
  </w:p>
  <w:p w14:paraId="2B703E57" w14:textId="62E01CDC" w:rsidR="003F73D6" w:rsidRPr="00AA356F" w:rsidRDefault="00F46986" w:rsidP="003F73D6">
    <w:pPr>
      <w:pStyle w:val="Header"/>
      <w:pBdr>
        <w:bottom w:val="single" w:sz="12" w:space="1" w:color="auto"/>
      </w:pBdr>
      <w:rPr>
        <w:rFonts w:ascii="Book Antiqua" w:hAnsi="Book Antiqua"/>
        <w:b/>
        <w:sz w:val="20"/>
        <w:lang w:val="es-PR"/>
      </w:rPr>
    </w:pPr>
    <w:r w:rsidRPr="00AA356F">
      <w:rPr>
        <w:rFonts w:ascii="Book Antiqua" w:hAnsi="Book Antiqua"/>
        <w:b/>
        <w:sz w:val="20"/>
        <w:lang w:val="es-PR"/>
      </w:rPr>
      <w:t xml:space="preserve">Informe Positivo </w:t>
    </w:r>
    <w:r w:rsidR="000150A3" w:rsidRPr="00AA356F">
      <w:rPr>
        <w:rFonts w:ascii="Book Antiqua" w:hAnsi="Book Antiqua"/>
        <w:b/>
        <w:sz w:val="20"/>
        <w:lang w:val="es-PR"/>
      </w:rPr>
      <w:t xml:space="preserve">sobre </w:t>
    </w:r>
    <w:r w:rsidR="00926D32">
      <w:rPr>
        <w:rFonts w:ascii="Book Antiqua" w:hAnsi="Book Antiqua"/>
        <w:b/>
        <w:sz w:val="20"/>
        <w:lang w:val="es-PR"/>
      </w:rPr>
      <w:t>el P</w:t>
    </w:r>
    <w:r w:rsidR="00BD219E">
      <w:rPr>
        <w:rFonts w:ascii="Book Antiqua" w:hAnsi="Book Antiqua"/>
        <w:b/>
        <w:sz w:val="20"/>
        <w:lang w:val="es-PR"/>
      </w:rPr>
      <w:t>.</w:t>
    </w:r>
    <w:r w:rsidR="00926D32">
      <w:rPr>
        <w:rFonts w:ascii="Book Antiqua" w:hAnsi="Book Antiqua"/>
        <w:b/>
        <w:sz w:val="20"/>
        <w:lang w:val="es-PR"/>
      </w:rPr>
      <w:t xml:space="preserve"> del S</w:t>
    </w:r>
    <w:r w:rsidR="00BD219E">
      <w:rPr>
        <w:rFonts w:ascii="Book Antiqua" w:hAnsi="Book Antiqua"/>
        <w:b/>
        <w:sz w:val="20"/>
        <w:lang w:val="es-PR"/>
      </w:rPr>
      <w:t>. 5</w:t>
    </w:r>
    <w:r w:rsidR="00926D32">
      <w:rPr>
        <w:rFonts w:ascii="Book Antiqua" w:hAnsi="Book Antiqua"/>
        <w:b/>
        <w:sz w:val="20"/>
        <w:lang w:val="es-PR"/>
      </w:rPr>
      <w:t>8</w:t>
    </w:r>
    <w:r w:rsidRPr="00AA356F">
      <w:rPr>
        <w:rFonts w:ascii="Book Antiqua" w:hAnsi="Book Antiqua"/>
        <w:b/>
        <w:sz w:val="20"/>
        <w:lang w:val="es-PR"/>
      </w:rPr>
      <w:tab/>
    </w:r>
    <w:r w:rsidR="00A467D9" w:rsidRPr="00AA356F">
      <w:rPr>
        <w:rFonts w:ascii="Book Antiqua" w:hAnsi="Book Antiqua"/>
        <w:b/>
        <w:sz w:val="20"/>
        <w:lang w:val="es-PR"/>
      </w:rPr>
      <w:tab/>
      <w:t xml:space="preserve">Página </w:t>
    </w:r>
    <w:r w:rsidR="00A467D9" w:rsidRPr="00AA356F">
      <w:rPr>
        <w:rFonts w:ascii="Book Antiqua" w:hAnsi="Book Antiqua"/>
        <w:b/>
        <w:sz w:val="20"/>
        <w:lang w:val="es-PR"/>
      </w:rPr>
      <w:fldChar w:fldCharType="begin"/>
    </w:r>
    <w:r w:rsidR="00A467D9" w:rsidRPr="00AA356F">
      <w:rPr>
        <w:rFonts w:ascii="Book Antiqua" w:hAnsi="Book Antiqua"/>
        <w:b/>
        <w:sz w:val="20"/>
        <w:lang w:val="es-PR"/>
      </w:rPr>
      <w:instrText xml:space="preserve"> PAGE   \* MERGEFORMAT </w:instrText>
    </w:r>
    <w:r w:rsidR="00A467D9" w:rsidRPr="00AA356F">
      <w:rPr>
        <w:rFonts w:ascii="Book Antiqua" w:hAnsi="Book Antiqua"/>
        <w:b/>
        <w:sz w:val="20"/>
        <w:lang w:val="es-PR"/>
      </w:rPr>
      <w:fldChar w:fldCharType="separate"/>
    </w:r>
    <w:r w:rsidR="0020071A">
      <w:rPr>
        <w:rFonts w:ascii="Book Antiqua" w:hAnsi="Book Antiqua"/>
        <w:b/>
        <w:noProof/>
        <w:sz w:val="20"/>
        <w:lang w:val="es-PR"/>
      </w:rPr>
      <w:t>14</w:t>
    </w:r>
    <w:r w:rsidR="00A467D9" w:rsidRPr="00AA356F">
      <w:rPr>
        <w:rFonts w:ascii="Book Antiqua" w:hAnsi="Book Antiqua"/>
        <w:b/>
        <w:noProof/>
        <w:sz w:val="20"/>
        <w:lang w:val="es-PR"/>
      </w:rPr>
      <w:fldChar w:fldCharType="end"/>
    </w:r>
  </w:p>
  <w:p w14:paraId="3CF2D8B6" w14:textId="77777777" w:rsidR="00AA356F" w:rsidRPr="00AA356F" w:rsidRDefault="00AA356F">
    <w:pPr>
      <w:pStyle w:val="Header"/>
      <w:rPr>
        <w:lang w:val="es-P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5C3CCD52" w14:paraId="7A001D11" w14:textId="77777777" w:rsidTr="5C3CCD52">
      <w:trPr>
        <w:trHeight w:val="300"/>
      </w:trPr>
      <w:tc>
        <w:tcPr>
          <w:tcW w:w="3120" w:type="dxa"/>
        </w:tcPr>
        <w:p w14:paraId="560AEAB6" w14:textId="6FEA2287" w:rsidR="5C3CCD52" w:rsidRDefault="5C3CCD52" w:rsidP="5C3CCD52">
          <w:pPr>
            <w:pStyle w:val="Header"/>
            <w:ind w:left="-115"/>
          </w:pPr>
        </w:p>
      </w:tc>
      <w:tc>
        <w:tcPr>
          <w:tcW w:w="3120" w:type="dxa"/>
        </w:tcPr>
        <w:p w14:paraId="15FB4AF1" w14:textId="5C8C1496" w:rsidR="5C3CCD52" w:rsidRDefault="5C3CCD52" w:rsidP="5C3CCD52">
          <w:pPr>
            <w:pStyle w:val="Header"/>
            <w:jc w:val="center"/>
          </w:pPr>
        </w:p>
      </w:tc>
      <w:tc>
        <w:tcPr>
          <w:tcW w:w="3120" w:type="dxa"/>
        </w:tcPr>
        <w:p w14:paraId="7BB85E0C" w14:textId="5C7F100D" w:rsidR="5C3CCD52" w:rsidRDefault="5C3CCD52" w:rsidP="5C3CCD52">
          <w:pPr>
            <w:pStyle w:val="Header"/>
            <w:ind w:right="-115"/>
            <w:jc w:val="right"/>
          </w:pPr>
        </w:p>
      </w:tc>
    </w:tr>
  </w:tbl>
  <w:p w14:paraId="4055B7C2" w14:textId="00CD8F79" w:rsidR="5C3CCD52" w:rsidRDefault="5C3CCD52" w:rsidP="5C3CCD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473C"/>
    <w:multiLevelType w:val="hybridMultilevel"/>
    <w:tmpl w:val="C32E65DC"/>
    <w:lvl w:ilvl="0" w:tplc="3FFE3D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CA2CD6"/>
    <w:multiLevelType w:val="hybridMultilevel"/>
    <w:tmpl w:val="9EC69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8D55BE"/>
    <w:multiLevelType w:val="hybridMultilevel"/>
    <w:tmpl w:val="8E305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DA33E5"/>
    <w:multiLevelType w:val="multilevel"/>
    <w:tmpl w:val="237ED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037207"/>
    <w:multiLevelType w:val="hybridMultilevel"/>
    <w:tmpl w:val="0002CC82"/>
    <w:lvl w:ilvl="0" w:tplc="7354C31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5" w15:restartNumberingAfterBreak="0">
    <w:nsid w:val="09C3205F"/>
    <w:multiLevelType w:val="hybridMultilevel"/>
    <w:tmpl w:val="ABF08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BD149F"/>
    <w:multiLevelType w:val="hybridMultilevel"/>
    <w:tmpl w:val="88885A6A"/>
    <w:lvl w:ilvl="0" w:tplc="491642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B043B10"/>
    <w:multiLevelType w:val="hybridMultilevel"/>
    <w:tmpl w:val="4AA62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09D1701"/>
    <w:multiLevelType w:val="hybridMultilevel"/>
    <w:tmpl w:val="7E449BF8"/>
    <w:lvl w:ilvl="0" w:tplc="5BDED9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1452BCE"/>
    <w:multiLevelType w:val="hybridMultilevel"/>
    <w:tmpl w:val="98FC697C"/>
    <w:lvl w:ilvl="0" w:tplc="0464BF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851021A"/>
    <w:multiLevelType w:val="multilevel"/>
    <w:tmpl w:val="A3B266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9272E0E"/>
    <w:multiLevelType w:val="multilevel"/>
    <w:tmpl w:val="FF2CD3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4126FB9"/>
    <w:multiLevelType w:val="multilevel"/>
    <w:tmpl w:val="BD5E52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DA41A2D"/>
    <w:multiLevelType w:val="hybridMultilevel"/>
    <w:tmpl w:val="DD4EA2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2F9F1521"/>
    <w:multiLevelType w:val="hybridMultilevel"/>
    <w:tmpl w:val="327AFA3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0B126FC"/>
    <w:multiLevelType w:val="hybridMultilevel"/>
    <w:tmpl w:val="4B7C6B1E"/>
    <w:lvl w:ilvl="0" w:tplc="7DC68B6C">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6" w15:restartNumberingAfterBreak="0">
    <w:nsid w:val="397C0030"/>
    <w:multiLevelType w:val="hybridMultilevel"/>
    <w:tmpl w:val="A6348B6C"/>
    <w:lvl w:ilvl="0" w:tplc="04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17" w15:restartNumberingAfterBreak="0">
    <w:nsid w:val="3BC9577F"/>
    <w:multiLevelType w:val="hybridMultilevel"/>
    <w:tmpl w:val="94CE2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210292B"/>
    <w:multiLevelType w:val="hybridMultilevel"/>
    <w:tmpl w:val="30767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8121176"/>
    <w:multiLevelType w:val="hybridMultilevel"/>
    <w:tmpl w:val="BB5AED18"/>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0" w15:restartNumberingAfterBreak="0">
    <w:nsid w:val="498B3008"/>
    <w:multiLevelType w:val="hybridMultilevel"/>
    <w:tmpl w:val="B22CE636"/>
    <w:lvl w:ilvl="0" w:tplc="05E43968">
      <w:start w:val="1"/>
      <w:numFmt w:val="decimal"/>
      <w:lvlText w:val="%1."/>
      <w:lvlJc w:val="left"/>
      <w:pPr>
        <w:ind w:left="108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BAE0CD6"/>
    <w:multiLevelType w:val="hybridMultilevel"/>
    <w:tmpl w:val="864818BC"/>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2" w15:restartNumberingAfterBreak="0">
    <w:nsid w:val="563571B5"/>
    <w:multiLevelType w:val="hybridMultilevel"/>
    <w:tmpl w:val="4CFA9292"/>
    <w:lvl w:ilvl="0" w:tplc="AE8EF9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683295D"/>
    <w:multiLevelType w:val="hybridMultilevel"/>
    <w:tmpl w:val="6E901528"/>
    <w:lvl w:ilvl="0" w:tplc="04090001">
      <w:start w:val="1"/>
      <w:numFmt w:val="bullet"/>
      <w:lvlText w:val=""/>
      <w:lvlJc w:val="left"/>
      <w:pPr>
        <w:ind w:left="720" w:hanging="360"/>
      </w:pPr>
      <w:rPr>
        <w:rFonts w:ascii="Symbol" w:hAnsi="Symbol" w:hint="default"/>
      </w:rPr>
    </w:lvl>
    <w:lvl w:ilvl="1" w:tplc="500A0003">
      <w:start w:val="1"/>
      <w:numFmt w:val="bullet"/>
      <w:lvlText w:val="o"/>
      <w:lvlJc w:val="left"/>
      <w:pPr>
        <w:ind w:left="1440" w:hanging="360"/>
      </w:pPr>
      <w:rPr>
        <w:rFonts w:ascii="Courier New" w:hAnsi="Courier New" w:cs="Courier New" w:hint="default"/>
      </w:rPr>
    </w:lvl>
    <w:lvl w:ilvl="2" w:tplc="500A0005">
      <w:start w:val="1"/>
      <w:numFmt w:val="bullet"/>
      <w:lvlText w:val=""/>
      <w:lvlJc w:val="left"/>
      <w:pPr>
        <w:ind w:left="2160" w:hanging="360"/>
      </w:pPr>
      <w:rPr>
        <w:rFonts w:ascii="Wingdings" w:hAnsi="Wingdings" w:hint="default"/>
      </w:rPr>
    </w:lvl>
    <w:lvl w:ilvl="3" w:tplc="500A0001">
      <w:start w:val="1"/>
      <w:numFmt w:val="bullet"/>
      <w:lvlText w:val=""/>
      <w:lvlJc w:val="left"/>
      <w:pPr>
        <w:ind w:left="2880" w:hanging="360"/>
      </w:pPr>
      <w:rPr>
        <w:rFonts w:ascii="Symbol" w:hAnsi="Symbol" w:hint="default"/>
      </w:rPr>
    </w:lvl>
    <w:lvl w:ilvl="4" w:tplc="500A0003">
      <w:start w:val="1"/>
      <w:numFmt w:val="bullet"/>
      <w:lvlText w:val="o"/>
      <w:lvlJc w:val="left"/>
      <w:pPr>
        <w:ind w:left="3600" w:hanging="360"/>
      </w:pPr>
      <w:rPr>
        <w:rFonts w:ascii="Courier New" w:hAnsi="Courier New" w:cs="Courier New" w:hint="default"/>
      </w:rPr>
    </w:lvl>
    <w:lvl w:ilvl="5" w:tplc="500A0005">
      <w:start w:val="1"/>
      <w:numFmt w:val="bullet"/>
      <w:lvlText w:val=""/>
      <w:lvlJc w:val="left"/>
      <w:pPr>
        <w:ind w:left="4320" w:hanging="360"/>
      </w:pPr>
      <w:rPr>
        <w:rFonts w:ascii="Wingdings" w:hAnsi="Wingdings" w:hint="default"/>
      </w:rPr>
    </w:lvl>
    <w:lvl w:ilvl="6" w:tplc="500A0001">
      <w:start w:val="1"/>
      <w:numFmt w:val="bullet"/>
      <w:lvlText w:val=""/>
      <w:lvlJc w:val="left"/>
      <w:pPr>
        <w:ind w:left="5040" w:hanging="360"/>
      </w:pPr>
      <w:rPr>
        <w:rFonts w:ascii="Symbol" w:hAnsi="Symbol" w:hint="default"/>
      </w:rPr>
    </w:lvl>
    <w:lvl w:ilvl="7" w:tplc="500A0003">
      <w:start w:val="1"/>
      <w:numFmt w:val="bullet"/>
      <w:lvlText w:val="o"/>
      <w:lvlJc w:val="left"/>
      <w:pPr>
        <w:ind w:left="5760" w:hanging="360"/>
      </w:pPr>
      <w:rPr>
        <w:rFonts w:ascii="Courier New" w:hAnsi="Courier New" w:cs="Courier New" w:hint="default"/>
      </w:rPr>
    </w:lvl>
    <w:lvl w:ilvl="8" w:tplc="500A0005">
      <w:start w:val="1"/>
      <w:numFmt w:val="bullet"/>
      <w:lvlText w:val=""/>
      <w:lvlJc w:val="left"/>
      <w:pPr>
        <w:ind w:left="6480" w:hanging="360"/>
      </w:pPr>
      <w:rPr>
        <w:rFonts w:ascii="Wingdings" w:hAnsi="Wingdings" w:hint="default"/>
      </w:rPr>
    </w:lvl>
  </w:abstractNum>
  <w:abstractNum w:abstractNumId="24" w15:restartNumberingAfterBreak="0">
    <w:nsid w:val="5D8B32F2"/>
    <w:multiLevelType w:val="hybridMultilevel"/>
    <w:tmpl w:val="2B6ACEC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620767DA"/>
    <w:multiLevelType w:val="hybridMultilevel"/>
    <w:tmpl w:val="B5DC68F2"/>
    <w:lvl w:ilvl="0" w:tplc="040A0013">
      <w:start w:val="1"/>
      <w:numFmt w:val="upperRoman"/>
      <w:lvlText w:val="%1."/>
      <w:lvlJc w:val="righ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6" w15:restartNumberingAfterBreak="0">
    <w:nsid w:val="6C415677"/>
    <w:multiLevelType w:val="hybridMultilevel"/>
    <w:tmpl w:val="DD1AAB54"/>
    <w:lvl w:ilvl="0" w:tplc="DEA2815A">
      <w:start w:val="1"/>
      <w:numFmt w:val="upperRoman"/>
      <w:suff w:val="space"/>
      <w:lvlText w:val="%1."/>
      <w:lvlJc w:val="left"/>
      <w:pPr>
        <w:ind w:left="720" w:hanging="720"/>
      </w:pPr>
      <w:rPr>
        <w:rFonts w:hint="default"/>
        <w:b/>
      </w:rPr>
    </w:lvl>
    <w:lvl w:ilvl="1" w:tplc="500A0019">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7" w15:restartNumberingAfterBreak="0">
    <w:nsid w:val="6C473412"/>
    <w:multiLevelType w:val="multilevel"/>
    <w:tmpl w:val="B68C8A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40249B2"/>
    <w:multiLevelType w:val="hybridMultilevel"/>
    <w:tmpl w:val="43E29680"/>
    <w:lvl w:ilvl="0" w:tplc="7F9A9560">
      <w:start w:val="1"/>
      <w:numFmt w:val="decimal"/>
      <w:lvlText w:val="%1."/>
      <w:lvlJc w:val="left"/>
      <w:pPr>
        <w:ind w:left="10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8E546F4"/>
    <w:multiLevelType w:val="hybridMultilevel"/>
    <w:tmpl w:val="6FE0508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7AE74662"/>
    <w:multiLevelType w:val="hybridMultilevel"/>
    <w:tmpl w:val="D958B86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31" w15:restartNumberingAfterBreak="0">
    <w:nsid w:val="7C3B29AA"/>
    <w:multiLevelType w:val="hybridMultilevel"/>
    <w:tmpl w:val="67FC966C"/>
    <w:lvl w:ilvl="0" w:tplc="C9A44572">
      <w:start w:val="1"/>
      <w:numFmt w:val="decimal"/>
      <w:lvlText w:val="%1."/>
      <w:lvlJc w:val="left"/>
      <w:pPr>
        <w:ind w:left="1080" w:hanging="360"/>
      </w:pPr>
      <w:rPr>
        <w:rFonts w:hint="default"/>
        <w:color w:val="auto"/>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871216097">
    <w:abstractNumId w:val="15"/>
  </w:num>
  <w:num w:numId="2" w16cid:durableId="60106978">
    <w:abstractNumId w:val="0"/>
  </w:num>
  <w:num w:numId="3" w16cid:durableId="491605703">
    <w:abstractNumId w:val="8"/>
  </w:num>
  <w:num w:numId="4" w16cid:durableId="2089885147">
    <w:abstractNumId w:val="9"/>
  </w:num>
  <w:num w:numId="5" w16cid:durableId="100610371">
    <w:abstractNumId w:val="7"/>
  </w:num>
  <w:num w:numId="6" w16cid:durableId="194316217">
    <w:abstractNumId w:val="4"/>
  </w:num>
  <w:num w:numId="7" w16cid:durableId="1932658886">
    <w:abstractNumId w:val="6"/>
  </w:num>
  <w:num w:numId="8" w16cid:durableId="1469009975">
    <w:abstractNumId w:val="1"/>
  </w:num>
  <w:num w:numId="9" w16cid:durableId="569773516">
    <w:abstractNumId w:val="2"/>
  </w:num>
  <w:num w:numId="10" w16cid:durableId="1784882999">
    <w:abstractNumId w:val="13"/>
  </w:num>
  <w:num w:numId="11" w16cid:durableId="542208323">
    <w:abstractNumId w:val="29"/>
  </w:num>
  <w:num w:numId="12" w16cid:durableId="1865745246">
    <w:abstractNumId w:val="17"/>
  </w:num>
  <w:num w:numId="13" w16cid:durableId="1513452683">
    <w:abstractNumId w:val="5"/>
  </w:num>
  <w:num w:numId="14" w16cid:durableId="1508250332">
    <w:abstractNumId w:val="30"/>
  </w:num>
  <w:num w:numId="15" w16cid:durableId="963196881">
    <w:abstractNumId w:val="31"/>
  </w:num>
  <w:num w:numId="16" w16cid:durableId="98528572">
    <w:abstractNumId w:val="28"/>
  </w:num>
  <w:num w:numId="17" w16cid:durableId="1929072540">
    <w:abstractNumId w:val="20"/>
  </w:num>
  <w:num w:numId="18" w16cid:durableId="1556355888">
    <w:abstractNumId w:val="14"/>
  </w:num>
  <w:num w:numId="19" w16cid:durableId="73435740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36985854">
    <w:abstractNumId w:val="23"/>
  </w:num>
  <w:num w:numId="21" w16cid:durableId="2546353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55190974">
    <w:abstractNumId w:val="25"/>
  </w:num>
  <w:num w:numId="23" w16cid:durableId="1056196525">
    <w:abstractNumId w:val="22"/>
  </w:num>
  <w:num w:numId="24" w16cid:durableId="155390294">
    <w:abstractNumId w:val="24"/>
  </w:num>
  <w:num w:numId="25" w16cid:durableId="1085956102">
    <w:abstractNumId w:val="18"/>
  </w:num>
  <w:num w:numId="26" w16cid:durableId="461119282">
    <w:abstractNumId w:val="16"/>
  </w:num>
  <w:num w:numId="27" w16cid:durableId="1724407904">
    <w:abstractNumId w:val="26"/>
  </w:num>
  <w:num w:numId="28" w16cid:durableId="458645203">
    <w:abstractNumId w:val="12"/>
  </w:num>
  <w:num w:numId="29" w16cid:durableId="2137600163">
    <w:abstractNumId w:val="3"/>
  </w:num>
  <w:num w:numId="30" w16cid:durableId="117653404">
    <w:abstractNumId w:val="10"/>
  </w:num>
  <w:num w:numId="31" w16cid:durableId="85080046">
    <w:abstractNumId w:val="11"/>
  </w:num>
  <w:num w:numId="32" w16cid:durableId="164647442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5CC"/>
    <w:rsid w:val="000003DC"/>
    <w:rsid w:val="00000B1A"/>
    <w:rsid w:val="00002186"/>
    <w:rsid w:val="0000239F"/>
    <w:rsid w:val="000024B4"/>
    <w:rsid w:val="00002A6C"/>
    <w:rsid w:val="00004E5C"/>
    <w:rsid w:val="00005181"/>
    <w:rsid w:val="00005E43"/>
    <w:rsid w:val="00006267"/>
    <w:rsid w:val="000068A3"/>
    <w:rsid w:val="000071C9"/>
    <w:rsid w:val="000075FE"/>
    <w:rsid w:val="000101FE"/>
    <w:rsid w:val="00010240"/>
    <w:rsid w:val="00010517"/>
    <w:rsid w:val="000122E9"/>
    <w:rsid w:val="000131BE"/>
    <w:rsid w:val="000131DC"/>
    <w:rsid w:val="000135B7"/>
    <w:rsid w:val="00013AB1"/>
    <w:rsid w:val="000150A3"/>
    <w:rsid w:val="000159F3"/>
    <w:rsid w:val="0001675C"/>
    <w:rsid w:val="00020C9A"/>
    <w:rsid w:val="0002292A"/>
    <w:rsid w:val="00023025"/>
    <w:rsid w:val="0002368F"/>
    <w:rsid w:val="00024824"/>
    <w:rsid w:val="0002568E"/>
    <w:rsid w:val="00027704"/>
    <w:rsid w:val="00030C65"/>
    <w:rsid w:val="0003158B"/>
    <w:rsid w:val="00031789"/>
    <w:rsid w:val="00031F35"/>
    <w:rsid w:val="00031F4B"/>
    <w:rsid w:val="000330B9"/>
    <w:rsid w:val="0003587A"/>
    <w:rsid w:val="00035C38"/>
    <w:rsid w:val="00037177"/>
    <w:rsid w:val="0004050D"/>
    <w:rsid w:val="00042268"/>
    <w:rsid w:val="00045600"/>
    <w:rsid w:val="00046557"/>
    <w:rsid w:val="00046AD4"/>
    <w:rsid w:val="000470A4"/>
    <w:rsid w:val="00051893"/>
    <w:rsid w:val="00056AC6"/>
    <w:rsid w:val="00057512"/>
    <w:rsid w:val="00057D09"/>
    <w:rsid w:val="00057F05"/>
    <w:rsid w:val="000624DB"/>
    <w:rsid w:val="00062644"/>
    <w:rsid w:val="000641CB"/>
    <w:rsid w:val="00065A89"/>
    <w:rsid w:val="00065B86"/>
    <w:rsid w:val="000667E8"/>
    <w:rsid w:val="00066D03"/>
    <w:rsid w:val="00067558"/>
    <w:rsid w:val="00070354"/>
    <w:rsid w:val="00070475"/>
    <w:rsid w:val="000706A4"/>
    <w:rsid w:val="000712FD"/>
    <w:rsid w:val="00074314"/>
    <w:rsid w:val="000749CD"/>
    <w:rsid w:val="0007576D"/>
    <w:rsid w:val="0007619F"/>
    <w:rsid w:val="00077B78"/>
    <w:rsid w:val="000812DD"/>
    <w:rsid w:val="00081D93"/>
    <w:rsid w:val="00082F9D"/>
    <w:rsid w:val="00083842"/>
    <w:rsid w:val="00084BC8"/>
    <w:rsid w:val="000867FB"/>
    <w:rsid w:val="00086F1C"/>
    <w:rsid w:val="00090307"/>
    <w:rsid w:val="00090918"/>
    <w:rsid w:val="000968D3"/>
    <w:rsid w:val="00096BCB"/>
    <w:rsid w:val="00096E73"/>
    <w:rsid w:val="000970F4"/>
    <w:rsid w:val="000A1058"/>
    <w:rsid w:val="000A1EAF"/>
    <w:rsid w:val="000A4992"/>
    <w:rsid w:val="000A6C5B"/>
    <w:rsid w:val="000A77DF"/>
    <w:rsid w:val="000A7A1D"/>
    <w:rsid w:val="000A7CAB"/>
    <w:rsid w:val="000B1FA2"/>
    <w:rsid w:val="000B2225"/>
    <w:rsid w:val="000B4F8E"/>
    <w:rsid w:val="000B6639"/>
    <w:rsid w:val="000B6E66"/>
    <w:rsid w:val="000B6FE4"/>
    <w:rsid w:val="000B7C3F"/>
    <w:rsid w:val="000B7ED5"/>
    <w:rsid w:val="000C0DB9"/>
    <w:rsid w:val="000C1E9B"/>
    <w:rsid w:val="000C26B0"/>
    <w:rsid w:val="000C3043"/>
    <w:rsid w:val="000C419E"/>
    <w:rsid w:val="000C42AC"/>
    <w:rsid w:val="000C60F5"/>
    <w:rsid w:val="000C797B"/>
    <w:rsid w:val="000D0EC9"/>
    <w:rsid w:val="000D20E6"/>
    <w:rsid w:val="000D23D9"/>
    <w:rsid w:val="000D48A5"/>
    <w:rsid w:val="000D4B54"/>
    <w:rsid w:val="000D4D47"/>
    <w:rsid w:val="000D5A3A"/>
    <w:rsid w:val="000D73F3"/>
    <w:rsid w:val="000D752A"/>
    <w:rsid w:val="000D7C42"/>
    <w:rsid w:val="000D7D1B"/>
    <w:rsid w:val="000E1809"/>
    <w:rsid w:val="000E1A74"/>
    <w:rsid w:val="000E2312"/>
    <w:rsid w:val="000E24F2"/>
    <w:rsid w:val="000E3505"/>
    <w:rsid w:val="000E413F"/>
    <w:rsid w:val="000E4777"/>
    <w:rsid w:val="000E4AC5"/>
    <w:rsid w:val="000E628C"/>
    <w:rsid w:val="000E65A3"/>
    <w:rsid w:val="000F0112"/>
    <w:rsid w:val="000F0E91"/>
    <w:rsid w:val="000F17C8"/>
    <w:rsid w:val="000F255A"/>
    <w:rsid w:val="000F3405"/>
    <w:rsid w:val="000F3C2D"/>
    <w:rsid w:val="000F4D65"/>
    <w:rsid w:val="000F5C1D"/>
    <w:rsid w:val="000F6F89"/>
    <w:rsid w:val="000F7034"/>
    <w:rsid w:val="00100685"/>
    <w:rsid w:val="00100D5B"/>
    <w:rsid w:val="00101072"/>
    <w:rsid w:val="00102098"/>
    <w:rsid w:val="00104A0A"/>
    <w:rsid w:val="001055CC"/>
    <w:rsid w:val="001067B2"/>
    <w:rsid w:val="00110C45"/>
    <w:rsid w:val="0011240B"/>
    <w:rsid w:val="001133F4"/>
    <w:rsid w:val="0011440D"/>
    <w:rsid w:val="0011446A"/>
    <w:rsid w:val="001150E4"/>
    <w:rsid w:val="00116410"/>
    <w:rsid w:val="00116541"/>
    <w:rsid w:val="00122501"/>
    <w:rsid w:val="001238BE"/>
    <w:rsid w:val="00126FD0"/>
    <w:rsid w:val="001270CA"/>
    <w:rsid w:val="00127119"/>
    <w:rsid w:val="00127391"/>
    <w:rsid w:val="001302FF"/>
    <w:rsid w:val="00130A4D"/>
    <w:rsid w:val="00130D76"/>
    <w:rsid w:val="00132AE4"/>
    <w:rsid w:val="001337C9"/>
    <w:rsid w:val="00133808"/>
    <w:rsid w:val="00134C43"/>
    <w:rsid w:val="00134FE3"/>
    <w:rsid w:val="00141CEF"/>
    <w:rsid w:val="0014232D"/>
    <w:rsid w:val="00143011"/>
    <w:rsid w:val="00144AFF"/>
    <w:rsid w:val="00146DCE"/>
    <w:rsid w:val="00146F7C"/>
    <w:rsid w:val="00150873"/>
    <w:rsid w:val="001512B9"/>
    <w:rsid w:val="00152C87"/>
    <w:rsid w:val="001532AA"/>
    <w:rsid w:val="001532FA"/>
    <w:rsid w:val="001539E7"/>
    <w:rsid w:val="00153B7E"/>
    <w:rsid w:val="00153E6A"/>
    <w:rsid w:val="0015414D"/>
    <w:rsid w:val="001552A2"/>
    <w:rsid w:val="001554FB"/>
    <w:rsid w:val="00155A20"/>
    <w:rsid w:val="00155B5B"/>
    <w:rsid w:val="00156BB0"/>
    <w:rsid w:val="0016493C"/>
    <w:rsid w:val="00165CFA"/>
    <w:rsid w:val="001663B1"/>
    <w:rsid w:val="00170A76"/>
    <w:rsid w:val="00173E6D"/>
    <w:rsid w:val="001744A8"/>
    <w:rsid w:val="0017455E"/>
    <w:rsid w:val="00175317"/>
    <w:rsid w:val="00175FF3"/>
    <w:rsid w:val="0017625F"/>
    <w:rsid w:val="00177B13"/>
    <w:rsid w:val="00177C68"/>
    <w:rsid w:val="00180A23"/>
    <w:rsid w:val="00180F29"/>
    <w:rsid w:val="00182124"/>
    <w:rsid w:val="00182406"/>
    <w:rsid w:val="00182557"/>
    <w:rsid w:val="00183E4F"/>
    <w:rsid w:val="0018597E"/>
    <w:rsid w:val="00186483"/>
    <w:rsid w:val="00186C00"/>
    <w:rsid w:val="00186E17"/>
    <w:rsid w:val="001870CF"/>
    <w:rsid w:val="001916E5"/>
    <w:rsid w:val="001926CF"/>
    <w:rsid w:val="00192810"/>
    <w:rsid w:val="001941D7"/>
    <w:rsid w:val="001946AD"/>
    <w:rsid w:val="0019479C"/>
    <w:rsid w:val="001A006E"/>
    <w:rsid w:val="001A0AB4"/>
    <w:rsid w:val="001A0AFA"/>
    <w:rsid w:val="001A135D"/>
    <w:rsid w:val="001A229D"/>
    <w:rsid w:val="001A291E"/>
    <w:rsid w:val="001A2CE4"/>
    <w:rsid w:val="001A38AE"/>
    <w:rsid w:val="001A56CA"/>
    <w:rsid w:val="001A7A81"/>
    <w:rsid w:val="001B0930"/>
    <w:rsid w:val="001B0E2F"/>
    <w:rsid w:val="001B1815"/>
    <w:rsid w:val="001B1C4F"/>
    <w:rsid w:val="001B2FF2"/>
    <w:rsid w:val="001B3041"/>
    <w:rsid w:val="001B7116"/>
    <w:rsid w:val="001B74E6"/>
    <w:rsid w:val="001C0A4E"/>
    <w:rsid w:val="001C10FD"/>
    <w:rsid w:val="001C1C0D"/>
    <w:rsid w:val="001C33F0"/>
    <w:rsid w:val="001C3980"/>
    <w:rsid w:val="001C3EF7"/>
    <w:rsid w:val="001C47E3"/>
    <w:rsid w:val="001C57C4"/>
    <w:rsid w:val="001C5931"/>
    <w:rsid w:val="001C64EE"/>
    <w:rsid w:val="001C6680"/>
    <w:rsid w:val="001C7331"/>
    <w:rsid w:val="001D0D46"/>
    <w:rsid w:val="001D11E0"/>
    <w:rsid w:val="001D21AD"/>
    <w:rsid w:val="001D2238"/>
    <w:rsid w:val="001D2AA8"/>
    <w:rsid w:val="001D353A"/>
    <w:rsid w:val="001D3CA5"/>
    <w:rsid w:val="001D4C21"/>
    <w:rsid w:val="001D6ED3"/>
    <w:rsid w:val="001D7972"/>
    <w:rsid w:val="001D7D4F"/>
    <w:rsid w:val="001E04D8"/>
    <w:rsid w:val="001E0FA9"/>
    <w:rsid w:val="001E2755"/>
    <w:rsid w:val="001E4811"/>
    <w:rsid w:val="001E50B7"/>
    <w:rsid w:val="001E50B8"/>
    <w:rsid w:val="001E52DC"/>
    <w:rsid w:val="001E557F"/>
    <w:rsid w:val="001E6339"/>
    <w:rsid w:val="001E789D"/>
    <w:rsid w:val="001E7E3A"/>
    <w:rsid w:val="001F0F4F"/>
    <w:rsid w:val="001F1A8F"/>
    <w:rsid w:val="001F2F14"/>
    <w:rsid w:val="001F369E"/>
    <w:rsid w:val="001F7006"/>
    <w:rsid w:val="001F7071"/>
    <w:rsid w:val="00200207"/>
    <w:rsid w:val="00200472"/>
    <w:rsid w:val="0020071A"/>
    <w:rsid w:val="00201371"/>
    <w:rsid w:val="00202DBE"/>
    <w:rsid w:val="00202DCA"/>
    <w:rsid w:val="002051A7"/>
    <w:rsid w:val="00210275"/>
    <w:rsid w:val="002106F8"/>
    <w:rsid w:val="00210DDC"/>
    <w:rsid w:val="00210E91"/>
    <w:rsid w:val="00212838"/>
    <w:rsid w:val="0021350C"/>
    <w:rsid w:val="00213D86"/>
    <w:rsid w:val="00213FE2"/>
    <w:rsid w:val="0021508C"/>
    <w:rsid w:val="002150D1"/>
    <w:rsid w:val="002157E2"/>
    <w:rsid w:val="00215940"/>
    <w:rsid w:val="00216AC3"/>
    <w:rsid w:val="00220EB1"/>
    <w:rsid w:val="00222C61"/>
    <w:rsid w:val="00224FC1"/>
    <w:rsid w:val="0022583D"/>
    <w:rsid w:val="00225BA2"/>
    <w:rsid w:val="00226623"/>
    <w:rsid w:val="00230D8E"/>
    <w:rsid w:val="00230F6C"/>
    <w:rsid w:val="00233211"/>
    <w:rsid w:val="00233267"/>
    <w:rsid w:val="0023328D"/>
    <w:rsid w:val="0023663E"/>
    <w:rsid w:val="0023667A"/>
    <w:rsid w:val="00237832"/>
    <w:rsid w:val="00241B96"/>
    <w:rsid w:val="0024386F"/>
    <w:rsid w:val="00244CB9"/>
    <w:rsid w:val="0024523E"/>
    <w:rsid w:val="002452EA"/>
    <w:rsid w:val="00246154"/>
    <w:rsid w:val="0024799E"/>
    <w:rsid w:val="00253A80"/>
    <w:rsid w:val="00256F5B"/>
    <w:rsid w:val="00257A00"/>
    <w:rsid w:val="00257EBA"/>
    <w:rsid w:val="0026068F"/>
    <w:rsid w:val="002615DE"/>
    <w:rsid w:val="00262141"/>
    <w:rsid w:val="002630AC"/>
    <w:rsid w:val="00263563"/>
    <w:rsid w:val="00264FDA"/>
    <w:rsid w:val="0026613D"/>
    <w:rsid w:val="00267131"/>
    <w:rsid w:val="0026781E"/>
    <w:rsid w:val="00267D65"/>
    <w:rsid w:val="002701DF"/>
    <w:rsid w:val="0027028B"/>
    <w:rsid w:val="00270EB6"/>
    <w:rsid w:val="0027132B"/>
    <w:rsid w:val="002713A2"/>
    <w:rsid w:val="00272C32"/>
    <w:rsid w:val="00273103"/>
    <w:rsid w:val="00273273"/>
    <w:rsid w:val="00273362"/>
    <w:rsid w:val="00273F2C"/>
    <w:rsid w:val="00274475"/>
    <w:rsid w:val="00274C73"/>
    <w:rsid w:val="00275299"/>
    <w:rsid w:val="002753B6"/>
    <w:rsid w:val="002758D2"/>
    <w:rsid w:val="00275DB8"/>
    <w:rsid w:val="00275F44"/>
    <w:rsid w:val="00277B8E"/>
    <w:rsid w:val="00277FF7"/>
    <w:rsid w:val="00280326"/>
    <w:rsid w:val="0028096A"/>
    <w:rsid w:val="0028237D"/>
    <w:rsid w:val="002837B0"/>
    <w:rsid w:val="002846AF"/>
    <w:rsid w:val="00285577"/>
    <w:rsid w:val="00285815"/>
    <w:rsid w:val="00285986"/>
    <w:rsid w:val="00286302"/>
    <w:rsid w:val="00286EC5"/>
    <w:rsid w:val="00287C4D"/>
    <w:rsid w:val="00287DD0"/>
    <w:rsid w:val="00287EF7"/>
    <w:rsid w:val="002916DA"/>
    <w:rsid w:val="00292B28"/>
    <w:rsid w:val="00292B42"/>
    <w:rsid w:val="0029501E"/>
    <w:rsid w:val="00295BF8"/>
    <w:rsid w:val="00296032"/>
    <w:rsid w:val="00297BAD"/>
    <w:rsid w:val="002A0525"/>
    <w:rsid w:val="002A0778"/>
    <w:rsid w:val="002A1590"/>
    <w:rsid w:val="002A2432"/>
    <w:rsid w:val="002A2707"/>
    <w:rsid w:val="002A2E5D"/>
    <w:rsid w:val="002A42EA"/>
    <w:rsid w:val="002A479E"/>
    <w:rsid w:val="002A4ADB"/>
    <w:rsid w:val="002A4C0E"/>
    <w:rsid w:val="002A4F3D"/>
    <w:rsid w:val="002A5568"/>
    <w:rsid w:val="002A7395"/>
    <w:rsid w:val="002B1289"/>
    <w:rsid w:val="002B17D8"/>
    <w:rsid w:val="002B1C1E"/>
    <w:rsid w:val="002B3283"/>
    <w:rsid w:val="002B3AB6"/>
    <w:rsid w:val="002B3EBD"/>
    <w:rsid w:val="002B42B7"/>
    <w:rsid w:val="002B6AB0"/>
    <w:rsid w:val="002B7006"/>
    <w:rsid w:val="002C053B"/>
    <w:rsid w:val="002C1444"/>
    <w:rsid w:val="002C1B45"/>
    <w:rsid w:val="002C369E"/>
    <w:rsid w:val="002C3E2B"/>
    <w:rsid w:val="002C4D0A"/>
    <w:rsid w:val="002C52CA"/>
    <w:rsid w:val="002C62B5"/>
    <w:rsid w:val="002C6DD2"/>
    <w:rsid w:val="002C6E35"/>
    <w:rsid w:val="002C7E30"/>
    <w:rsid w:val="002D210F"/>
    <w:rsid w:val="002D2857"/>
    <w:rsid w:val="002D3A7E"/>
    <w:rsid w:val="002D4465"/>
    <w:rsid w:val="002D468F"/>
    <w:rsid w:val="002D484C"/>
    <w:rsid w:val="002D5641"/>
    <w:rsid w:val="002D67B7"/>
    <w:rsid w:val="002D7354"/>
    <w:rsid w:val="002D7CA2"/>
    <w:rsid w:val="002E1CF0"/>
    <w:rsid w:val="002E2587"/>
    <w:rsid w:val="002E271E"/>
    <w:rsid w:val="002E2EBE"/>
    <w:rsid w:val="002E30AC"/>
    <w:rsid w:val="002E4346"/>
    <w:rsid w:val="002E5054"/>
    <w:rsid w:val="002E5B82"/>
    <w:rsid w:val="002E5FDF"/>
    <w:rsid w:val="002E60F2"/>
    <w:rsid w:val="002E7840"/>
    <w:rsid w:val="002F0755"/>
    <w:rsid w:val="002F07A7"/>
    <w:rsid w:val="002F1710"/>
    <w:rsid w:val="002F299F"/>
    <w:rsid w:val="002F2ED5"/>
    <w:rsid w:val="002F3061"/>
    <w:rsid w:val="002F5CCC"/>
    <w:rsid w:val="002F6758"/>
    <w:rsid w:val="002F6B94"/>
    <w:rsid w:val="0030054C"/>
    <w:rsid w:val="00301556"/>
    <w:rsid w:val="00303C25"/>
    <w:rsid w:val="0030448B"/>
    <w:rsid w:val="0030484A"/>
    <w:rsid w:val="00305A38"/>
    <w:rsid w:val="003068B0"/>
    <w:rsid w:val="00306FA9"/>
    <w:rsid w:val="003101E2"/>
    <w:rsid w:val="0031060D"/>
    <w:rsid w:val="003110E1"/>
    <w:rsid w:val="003113FE"/>
    <w:rsid w:val="00312E80"/>
    <w:rsid w:val="0031449C"/>
    <w:rsid w:val="0031744A"/>
    <w:rsid w:val="00320C63"/>
    <w:rsid w:val="003211BE"/>
    <w:rsid w:val="003211C8"/>
    <w:rsid w:val="003221B6"/>
    <w:rsid w:val="003237CC"/>
    <w:rsid w:val="0032469D"/>
    <w:rsid w:val="00324708"/>
    <w:rsid w:val="003251AE"/>
    <w:rsid w:val="00333164"/>
    <w:rsid w:val="00333838"/>
    <w:rsid w:val="00334D87"/>
    <w:rsid w:val="00335D1E"/>
    <w:rsid w:val="00335E31"/>
    <w:rsid w:val="00336792"/>
    <w:rsid w:val="00336BC3"/>
    <w:rsid w:val="0033731F"/>
    <w:rsid w:val="003378CE"/>
    <w:rsid w:val="00340437"/>
    <w:rsid w:val="003408D0"/>
    <w:rsid w:val="00341362"/>
    <w:rsid w:val="00341374"/>
    <w:rsid w:val="0034498E"/>
    <w:rsid w:val="00345B88"/>
    <w:rsid w:val="0034614C"/>
    <w:rsid w:val="0034722B"/>
    <w:rsid w:val="003473C7"/>
    <w:rsid w:val="00350C3D"/>
    <w:rsid w:val="00352822"/>
    <w:rsid w:val="0035543E"/>
    <w:rsid w:val="003558B0"/>
    <w:rsid w:val="003567FC"/>
    <w:rsid w:val="00357051"/>
    <w:rsid w:val="003573A2"/>
    <w:rsid w:val="00357D71"/>
    <w:rsid w:val="00361A67"/>
    <w:rsid w:val="00362A4E"/>
    <w:rsid w:val="00363897"/>
    <w:rsid w:val="00363CF1"/>
    <w:rsid w:val="00364D0A"/>
    <w:rsid w:val="003666B3"/>
    <w:rsid w:val="00366759"/>
    <w:rsid w:val="00366A39"/>
    <w:rsid w:val="00367457"/>
    <w:rsid w:val="00367786"/>
    <w:rsid w:val="00367B94"/>
    <w:rsid w:val="003725F7"/>
    <w:rsid w:val="00372734"/>
    <w:rsid w:val="00372BD0"/>
    <w:rsid w:val="00372C3D"/>
    <w:rsid w:val="00374938"/>
    <w:rsid w:val="00374A11"/>
    <w:rsid w:val="003757D8"/>
    <w:rsid w:val="0037735C"/>
    <w:rsid w:val="00380448"/>
    <w:rsid w:val="00380A99"/>
    <w:rsid w:val="00380B86"/>
    <w:rsid w:val="003813EE"/>
    <w:rsid w:val="00381BAF"/>
    <w:rsid w:val="00384116"/>
    <w:rsid w:val="003842DE"/>
    <w:rsid w:val="0038501D"/>
    <w:rsid w:val="003851D1"/>
    <w:rsid w:val="0038590B"/>
    <w:rsid w:val="003862C3"/>
    <w:rsid w:val="00391580"/>
    <w:rsid w:val="00391E04"/>
    <w:rsid w:val="0039301B"/>
    <w:rsid w:val="00393E5E"/>
    <w:rsid w:val="00394671"/>
    <w:rsid w:val="00396B1D"/>
    <w:rsid w:val="00396C39"/>
    <w:rsid w:val="003978FC"/>
    <w:rsid w:val="003A0740"/>
    <w:rsid w:val="003A2762"/>
    <w:rsid w:val="003A281D"/>
    <w:rsid w:val="003A35FC"/>
    <w:rsid w:val="003A4B2F"/>
    <w:rsid w:val="003A4DA2"/>
    <w:rsid w:val="003A5291"/>
    <w:rsid w:val="003A6817"/>
    <w:rsid w:val="003A68EB"/>
    <w:rsid w:val="003A75FF"/>
    <w:rsid w:val="003A7D43"/>
    <w:rsid w:val="003B0D3B"/>
    <w:rsid w:val="003B0F44"/>
    <w:rsid w:val="003B10AC"/>
    <w:rsid w:val="003B1FE3"/>
    <w:rsid w:val="003B2429"/>
    <w:rsid w:val="003B4213"/>
    <w:rsid w:val="003B4E88"/>
    <w:rsid w:val="003B6376"/>
    <w:rsid w:val="003B677E"/>
    <w:rsid w:val="003C1478"/>
    <w:rsid w:val="003C18E9"/>
    <w:rsid w:val="003C198F"/>
    <w:rsid w:val="003C1AD1"/>
    <w:rsid w:val="003C2DB7"/>
    <w:rsid w:val="003C487E"/>
    <w:rsid w:val="003C4E3B"/>
    <w:rsid w:val="003C5676"/>
    <w:rsid w:val="003C742D"/>
    <w:rsid w:val="003D265C"/>
    <w:rsid w:val="003D445B"/>
    <w:rsid w:val="003D519C"/>
    <w:rsid w:val="003D5CCD"/>
    <w:rsid w:val="003D72A8"/>
    <w:rsid w:val="003E01DE"/>
    <w:rsid w:val="003E02F3"/>
    <w:rsid w:val="003E28C4"/>
    <w:rsid w:val="003E2F40"/>
    <w:rsid w:val="003E3789"/>
    <w:rsid w:val="003E3C19"/>
    <w:rsid w:val="003E3D12"/>
    <w:rsid w:val="003E4C54"/>
    <w:rsid w:val="003E4EF1"/>
    <w:rsid w:val="003E4F93"/>
    <w:rsid w:val="003E598B"/>
    <w:rsid w:val="003E6D5C"/>
    <w:rsid w:val="003E6F68"/>
    <w:rsid w:val="003F0283"/>
    <w:rsid w:val="003F0D94"/>
    <w:rsid w:val="003F17DE"/>
    <w:rsid w:val="003F1A4E"/>
    <w:rsid w:val="003F28C3"/>
    <w:rsid w:val="003F2A82"/>
    <w:rsid w:val="003F2DC1"/>
    <w:rsid w:val="003F58F8"/>
    <w:rsid w:val="003F5D0A"/>
    <w:rsid w:val="003F6088"/>
    <w:rsid w:val="003F73D6"/>
    <w:rsid w:val="003F767B"/>
    <w:rsid w:val="003F76DC"/>
    <w:rsid w:val="003F7DF2"/>
    <w:rsid w:val="00400A63"/>
    <w:rsid w:val="00400AB2"/>
    <w:rsid w:val="00403002"/>
    <w:rsid w:val="004033DF"/>
    <w:rsid w:val="0040354D"/>
    <w:rsid w:val="0040495F"/>
    <w:rsid w:val="00404E40"/>
    <w:rsid w:val="00407352"/>
    <w:rsid w:val="0040756D"/>
    <w:rsid w:val="00411192"/>
    <w:rsid w:val="00411242"/>
    <w:rsid w:val="004112E5"/>
    <w:rsid w:val="004116BE"/>
    <w:rsid w:val="00411AF3"/>
    <w:rsid w:val="00412B26"/>
    <w:rsid w:val="00412EDE"/>
    <w:rsid w:val="004144F5"/>
    <w:rsid w:val="004149A4"/>
    <w:rsid w:val="00416529"/>
    <w:rsid w:val="004166D4"/>
    <w:rsid w:val="00416C8D"/>
    <w:rsid w:val="004223C9"/>
    <w:rsid w:val="004234A4"/>
    <w:rsid w:val="00425CDC"/>
    <w:rsid w:val="00430ABA"/>
    <w:rsid w:val="00430D5E"/>
    <w:rsid w:val="00430E94"/>
    <w:rsid w:val="00433099"/>
    <w:rsid w:val="00433FC1"/>
    <w:rsid w:val="004340B0"/>
    <w:rsid w:val="00435758"/>
    <w:rsid w:val="004365C8"/>
    <w:rsid w:val="00436840"/>
    <w:rsid w:val="00436958"/>
    <w:rsid w:val="004418A5"/>
    <w:rsid w:val="00441A41"/>
    <w:rsid w:val="004438B3"/>
    <w:rsid w:val="004439BA"/>
    <w:rsid w:val="00443ACC"/>
    <w:rsid w:val="00444352"/>
    <w:rsid w:val="0044457C"/>
    <w:rsid w:val="004448B3"/>
    <w:rsid w:val="00444D15"/>
    <w:rsid w:val="00444D7E"/>
    <w:rsid w:val="00445369"/>
    <w:rsid w:val="004476C4"/>
    <w:rsid w:val="004500A4"/>
    <w:rsid w:val="00451930"/>
    <w:rsid w:val="00451A38"/>
    <w:rsid w:val="004531D5"/>
    <w:rsid w:val="00456835"/>
    <w:rsid w:val="00460589"/>
    <w:rsid w:val="004606EE"/>
    <w:rsid w:val="00461F8B"/>
    <w:rsid w:val="00463FE5"/>
    <w:rsid w:val="0047035D"/>
    <w:rsid w:val="004704A8"/>
    <w:rsid w:val="00473209"/>
    <w:rsid w:val="00473CAE"/>
    <w:rsid w:val="00474FA0"/>
    <w:rsid w:val="00475923"/>
    <w:rsid w:val="00476CBF"/>
    <w:rsid w:val="00477CB4"/>
    <w:rsid w:val="00477EDA"/>
    <w:rsid w:val="00480EFC"/>
    <w:rsid w:val="004832EC"/>
    <w:rsid w:val="004833B0"/>
    <w:rsid w:val="0048513C"/>
    <w:rsid w:val="00485431"/>
    <w:rsid w:val="0048581A"/>
    <w:rsid w:val="00485A85"/>
    <w:rsid w:val="00485C74"/>
    <w:rsid w:val="00486BB8"/>
    <w:rsid w:val="004876C2"/>
    <w:rsid w:val="00487FE7"/>
    <w:rsid w:val="00490418"/>
    <w:rsid w:val="00492BFA"/>
    <w:rsid w:val="004933DC"/>
    <w:rsid w:val="004940D7"/>
    <w:rsid w:val="00495498"/>
    <w:rsid w:val="004954FA"/>
    <w:rsid w:val="00495961"/>
    <w:rsid w:val="00495D5B"/>
    <w:rsid w:val="00495F18"/>
    <w:rsid w:val="00496302"/>
    <w:rsid w:val="004A0AB6"/>
    <w:rsid w:val="004A0CFA"/>
    <w:rsid w:val="004A26E9"/>
    <w:rsid w:val="004A3E7A"/>
    <w:rsid w:val="004A421D"/>
    <w:rsid w:val="004A4684"/>
    <w:rsid w:val="004A5116"/>
    <w:rsid w:val="004A5B22"/>
    <w:rsid w:val="004A685D"/>
    <w:rsid w:val="004A6D5A"/>
    <w:rsid w:val="004B1C14"/>
    <w:rsid w:val="004B26F0"/>
    <w:rsid w:val="004B43D7"/>
    <w:rsid w:val="004B4597"/>
    <w:rsid w:val="004B535D"/>
    <w:rsid w:val="004B67D1"/>
    <w:rsid w:val="004B6879"/>
    <w:rsid w:val="004B6F8A"/>
    <w:rsid w:val="004C0CEC"/>
    <w:rsid w:val="004C2487"/>
    <w:rsid w:val="004C27E9"/>
    <w:rsid w:val="004C47EC"/>
    <w:rsid w:val="004C4D77"/>
    <w:rsid w:val="004C5061"/>
    <w:rsid w:val="004C6A3F"/>
    <w:rsid w:val="004C7B9D"/>
    <w:rsid w:val="004D0578"/>
    <w:rsid w:val="004D0A8E"/>
    <w:rsid w:val="004D215E"/>
    <w:rsid w:val="004D2E0B"/>
    <w:rsid w:val="004D3AC1"/>
    <w:rsid w:val="004D4259"/>
    <w:rsid w:val="004D4EE7"/>
    <w:rsid w:val="004D6345"/>
    <w:rsid w:val="004D6EFC"/>
    <w:rsid w:val="004D701D"/>
    <w:rsid w:val="004D71EA"/>
    <w:rsid w:val="004D75FB"/>
    <w:rsid w:val="004E05BD"/>
    <w:rsid w:val="004E0A0D"/>
    <w:rsid w:val="004E0CC5"/>
    <w:rsid w:val="004E0FD0"/>
    <w:rsid w:val="004E2EA6"/>
    <w:rsid w:val="004E327B"/>
    <w:rsid w:val="004E3781"/>
    <w:rsid w:val="004E4D9A"/>
    <w:rsid w:val="004E5AC1"/>
    <w:rsid w:val="004E62EA"/>
    <w:rsid w:val="004E66F6"/>
    <w:rsid w:val="004F000D"/>
    <w:rsid w:val="004F0B9A"/>
    <w:rsid w:val="004F0D99"/>
    <w:rsid w:val="004F1992"/>
    <w:rsid w:val="004F26B3"/>
    <w:rsid w:val="004F2E6C"/>
    <w:rsid w:val="004F36C2"/>
    <w:rsid w:val="004F5690"/>
    <w:rsid w:val="004F5F49"/>
    <w:rsid w:val="004F6D59"/>
    <w:rsid w:val="004F7BF4"/>
    <w:rsid w:val="004F7C11"/>
    <w:rsid w:val="00500E1F"/>
    <w:rsid w:val="0050276B"/>
    <w:rsid w:val="005029A0"/>
    <w:rsid w:val="0050315A"/>
    <w:rsid w:val="0050492C"/>
    <w:rsid w:val="00504DE0"/>
    <w:rsid w:val="0050576B"/>
    <w:rsid w:val="00510834"/>
    <w:rsid w:val="0051235B"/>
    <w:rsid w:val="00512AA7"/>
    <w:rsid w:val="0051324E"/>
    <w:rsid w:val="005148BA"/>
    <w:rsid w:val="00514C25"/>
    <w:rsid w:val="0051554C"/>
    <w:rsid w:val="005158FC"/>
    <w:rsid w:val="0051637B"/>
    <w:rsid w:val="0051736C"/>
    <w:rsid w:val="00522683"/>
    <w:rsid w:val="00522788"/>
    <w:rsid w:val="0052280D"/>
    <w:rsid w:val="00522D36"/>
    <w:rsid w:val="00523C74"/>
    <w:rsid w:val="00524C1C"/>
    <w:rsid w:val="005256B5"/>
    <w:rsid w:val="00525801"/>
    <w:rsid w:val="00525BC6"/>
    <w:rsid w:val="00526044"/>
    <w:rsid w:val="00526631"/>
    <w:rsid w:val="0052742A"/>
    <w:rsid w:val="00530E4E"/>
    <w:rsid w:val="005313B1"/>
    <w:rsid w:val="00531B17"/>
    <w:rsid w:val="00532D44"/>
    <w:rsid w:val="005334C1"/>
    <w:rsid w:val="005335A1"/>
    <w:rsid w:val="00534D5B"/>
    <w:rsid w:val="00535941"/>
    <w:rsid w:val="00536DB6"/>
    <w:rsid w:val="00537945"/>
    <w:rsid w:val="00540413"/>
    <w:rsid w:val="005416B6"/>
    <w:rsid w:val="0054428D"/>
    <w:rsid w:val="005443B8"/>
    <w:rsid w:val="005450A8"/>
    <w:rsid w:val="0054529C"/>
    <w:rsid w:val="005457D2"/>
    <w:rsid w:val="00554A77"/>
    <w:rsid w:val="00555665"/>
    <w:rsid w:val="00555C54"/>
    <w:rsid w:val="00555E16"/>
    <w:rsid w:val="00560215"/>
    <w:rsid w:val="00560A2C"/>
    <w:rsid w:val="005612E0"/>
    <w:rsid w:val="005622B0"/>
    <w:rsid w:val="00562DD6"/>
    <w:rsid w:val="00562EE0"/>
    <w:rsid w:val="0056375D"/>
    <w:rsid w:val="005643FB"/>
    <w:rsid w:val="0056587F"/>
    <w:rsid w:val="005668F7"/>
    <w:rsid w:val="00566BF1"/>
    <w:rsid w:val="00567652"/>
    <w:rsid w:val="00571F66"/>
    <w:rsid w:val="005721C5"/>
    <w:rsid w:val="00572D21"/>
    <w:rsid w:val="00572D30"/>
    <w:rsid w:val="00573EA3"/>
    <w:rsid w:val="005748C8"/>
    <w:rsid w:val="00574C79"/>
    <w:rsid w:val="00574CDB"/>
    <w:rsid w:val="00575F0E"/>
    <w:rsid w:val="005767D1"/>
    <w:rsid w:val="005769B9"/>
    <w:rsid w:val="00576B78"/>
    <w:rsid w:val="00576CF9"/>
    <w:rsid w:val="005772FC"/>
    <w:rsid w:val="0057736E"/>
    <w:rsid w:val="0058057D"/>
    <w:rsid w:val="00583486"/>
    <w:rsid w:val="005861B0"/>
    <w:rsid w:val="00592D97"/>
    <w:rsid w:val="00594D63"/>
    <w:rsid w:val="005965C8"/>
    <w:rsid w:val="005A089F"/>
    <w:rsid w:val="005A2D4E"/>
    <w:rsid w:val="005A3A16"/>
    <w:rsid w:val="005A4CF8"/>
    <w:rsid w:val="005A50DB"/>
    <w:rsid w:val="005A5350"/>
    <w:rsid w:val="005A55B1"/>
    <w:rsid w:val="005A5E70"/>
    <w:rsid w:val="005A659E"/>
    <w:rsid w:val="005A6BD3"/>
    <w:rsid w:val="005A6E34"/>
    <w:rsid w:val="005A6EE9"/>
    <w:rsid w:val="005A74CC"/>
    <w:rsid w:val="005B02F0"/>
    <w:rsid w:val="005B0687"/>
    <w:rsid w:val="005B11EA"/>
    <w:rsid w:val="005B1FC3"/>
    <w:rsid w:val="005B2259"/>
    <w:rsid w:val="005B2A54"/>
    <w:rsid w:val="005B30C4"/>
    <w:rsid w:val="005B3A7B"/>
    <w:rsid w:val="005B4FC5"/>
    <w:rsid w:val="005C009E"/>
    <w:rsid w:val="005C49A0"/>
    <w:rsid w:val="005C5F44"/>
    <w:rsid w:val="005C6B25"/>
    <w:rsid w:val="005C7A9B"/>
    <w:rsid w:val="005D0584"/>
    <w:rsid w:val="005D1F7B"/>
    <w:rsid w:val="005D252C"/>
    <w:rsid w:val="005D2934"/>
    <w:rsid w:val="005D4D2D"/>
    <w:rsid w:val="005D5B41"/>
    <w:rsid w:val="005D6134"/>
    <w:rsid w:val="005D6672"/>
    <w:rsid w:val="005E0202"/>
    <w:rsid w:val="005E0412"/>
    <w:rsid w:val="005E0658"/>
    <w:rsid w:val="005E116D"/>
    <w:rsid w:val="005E21F5"/>
    <w:rsid w:val="005E3923"/>
    <w:rsid w:val="005E647A"/>
    <w:rsid w:val="005E6493"/>
    <w:rsid w:val="005E7888"/>
    <w:rsid w:val="005E7CB0"/>
    <w:rsid w:val="005F0C11"/>
    <w:rsid w:val="005F2330"/>
    <w:rsid w:val="005F2459"/>
    <w:rsid w:val="005F3B01"/>
    <w:rsid w:val="005F4615"/>
    <w:rsid w:val="005F47DC"/>
    <w:rsid w:val="005F4BF5"/>
    <w:rsid w:val="005F5B92"/>
    <w:rsid w:val="005F6166"/>
    <w:rsid w:val="00600503"/>
    <w:rsid w:val="006006FF"/>
    <w:rsid w:val="00600AF2"/>
    <w:rsid w:val="006029F3"/>
    <w:rsid w:val="00602D6E"/>
    <w:rsid w:val="00603059"/>
    <w:rsid w:val="006047FD"/>
    <w:rsid w:val="00610C87"/>
    <w:rsid w:val="00612AE0"/>
    <w:rsid w:val="006142DE"/>
    <w:rsid w:val="00614B6F"/>
    <w:rsid w:val="00615599"/>
    <w:rsid w:val="00615B0B"/>
    <w:rsid w:val="00616201"/>
    <w:rsid w:val="00617244"/>
    <w:rsid w:val="00621570"/>
    <w:rsid w:val="006215DB"/>
    <w:rsid w:val="00621B92"/>
    <w:rsid w:val="00622C01"/>
    <w:rsid w:val="00622C5A"/>
    <w:rsid w:val="00622C62"/>
    <w:rsid w:val="00623531"/>
    <w:rsid w:val="00626203"/>
    <w:rsid w:val="00627CE2"/>
    <w:rsid w:val="006308A1"/>
    <w:rsid w:val="00631BFD"/>
    <w:rsid w:val="00632B2F"/>
    <w:rsid w:val="00634014"/>
    <w:rsid w:val="00634E47"/>
    <w:rsid w:val="0063579A"/>
    <w:rsid w:val="0063756D"/>
    <w:rsid w:val="00637F63"/>
    <w:rsid w:val="00640FB9"/>
    <w:rsid w:val="00641BDD"/>
    <w:rsid w:val="0064227F"/>
    <w:rsid w:val="006429CE"/>
    <w:rsid w:val="00645032"/>
    <w:rsid w:val="00646626"/>
    <w:rsid w:val="00647488"/>
    <w:rsid w:val="00647CD3"/>
    <w:rsid w:val="00650165"/>
    <w:rsid w:val="00650F17"/>
    <w:rsid w:val="00651899"/>
    <w:rsid w:val="00655795"/>
    <w:rsid w:val="00655DF3"/>
    <w:rsid w:val="00655FF9"/>
    <w:rsid w:val="006565FC"/>
    <w:rsid w:val="006569FF"/>
    <w:rsid w:val="00656AA3"/>
    <w:rsid w:val="0065707C"/>
    <w:rsid w:val="0065750E"/>
    <w:rsid w:val="00662F22"/>
    <w:rsid w:val="0066341A"/>
    <w:rsid w:val="00663ED2"/>
    <w:rsid w:val="006647B3"/>
    <w:rsid w:val="00664E81"/>
    <w:rsid w:val="00665C64"/>
    <w:rsid w:val="00666531"/>
    <w:rsid w:val="0066688B"/>
    <w:rsid w:val="00667DA3"/>
    <w:rsid w:val="0067148D"/>
    <w:rsid w:val="0067381A"/>
    <w:rsid w:val="006777B4"/>
    <w:rsid w:val="00677C66"/>
    <w:rsid w:val="00680965"/>
    <w:rsid w:val="00681120"/>
    <w:rsid w:val="00682378"/>
    <w:rsid w:val="0068291E"/>
    <w:rsid w:val="00683A2D"/>
    <w:rsid w:val="0068598E"/>
    <w:rsid w:val="00686C92"/>
    <w:rsid w:val="00687CE2"/>
    <w:rsid w:val="00691151"/>
    <w:rsid w:val="006919A6"/>
    <w:rsid w:val="00691FC3"/>
    <w:rsid w:val="00692DA8"/>
    <w:rsid w:val="006934DF"/>
    <w:rsid w:val="0069359D"/>
    <w:rsid w:val="006938F4"/>
    <w:rsid w:val="00694166"/>
    <w:rsid w:val="0069669D"/>
    <w:rsid w:val="006970ED"/>
    <w:rsid w:val="00697ABB"/>
    <w:rsid w:val="006A0A04"/>
    <w:rsid w:val="006A154B"/>
    <w:rsid w:val="006A214D"/>
    <w:rsid w:val="006A2BAD"/>
    <w:rsid w:val="006A3015"/>
    <w:rsid w:val="006A53F2"/>
    <w:rsid w:val="006A5544"/>
    <w:rsid w:val="006A569A"/>
    <w:rsid w:val="006A641C"/>
    <w:rsid w:val="006A7C89"/>
    <w:rsid w:val="006B0800"/>
    <w:rsid w:val="006B199E"/>
    <w:rsid w:val="006B1FC2"/>
    <w:rsid w:val="006B3245"/>
    <w:rsid w:val="006B51C1"/>
    <w:rsid w:val="006B5292"/>
    <w:rsid w:val="006B5DE6"/>
    <w:rsid w:val="006B5FA8"/>
    <w:rsid w:val="006C0A4A"/>
    <w:rsid w:val="006C1C28"/>
    <w:rsid w:val="006C1E50"/>
    <w:rsid w:val="006C6574"/>
    <w:rsid w:val="006C663C"/>
    <w:rsid w:val="006C6BC3"/>
    <w:rsid w:val="006C6DF3"/>
    <w:rsid w:val="006D0170"/>
    <w:rsid w:val="006D0732"/>
    <w:rsid w:val="006D47F1"/>
    <w:rsid w:val="006D4A38"/>
    <w:rsid w:val="006D5646"/>
    <w:rsid w:val="006D7C8C"/>
    <w:rsid w:val="006E0548"/>
    <w:rsid w:val="006E3F1F"/>
    <w:rsid w:val="006E43FE"/>
    <w:rsid w:val="006E5737"/>
    <w:rsid w:val="006E632F"/>
    <w:rsid w:val="006E685B"/>
    <w:rsid w:val="006E7110"/>
    <w:rsid w:val="006F1939"/>
    <w:rsid w:val="006F1B6A"/>
    <w:rsid w:val="006F23F0"/>
    <w:rsid w:val="006F2628"/>
    <w:rsid w:val="006F2BA7"/>
    <w:rsid w:val="006F2F98"/>
    <w:rsid w:val="006F3B49"/>
    <w:rsid w:val="006F430A"/>
    <w:rsid w:val="00701191"/>
    <w:rsid w:val="00701793"/>
    <w:rsid w:val="00701FB9"/>
    <w:rsid w:val="0070453C"/>
    <w:rsid w:val="007076F4"/>
    <w:rsid w:val="00710A0B"/>
    <w:rsid w:val="007125B0"/>
    <w:rsid w:val="007126D1"/>
    <w:rsid w:val="00715EFD"/>
    <w:rsid w:val="00716354"/>
    <w:rsid w:val="0071737C"/>
    <w:rsid w:val="0072037E"/>
    <w:rsid w:val="00720FA1"/>
    <w:rsid w:val="0072271D"/>
    <w:rsid w:val="00722E8A"/>
    <w:rsid w:val="00723F12"/>
    <w:rsid w:val="007249EF"/>
    <w:rsid w:val="007252B2"/>
    <w:rsid w:val="00726FC8"/>
    <w:rsid w:val="00727BCE"/>
    <w:rsid w:val="00727F61"/>
    <w:rsid w:val="0073017B"/>
    <w:rsid w:val="00730984"/>
    <w:rsid w:val="007320D1"/>
    <w:rsid w:val="007329F9"/>
    <w:rsid w:val="00732DEE"/>
    <w:rsid w:val="00733898"/>
    <w:rsid w:val="00733D83"/>
    <w:rsid w:val="00734804"/>
    <w:rsid w:val="007352F8"/>
    <w:rsid w:val="00737107"/>
    <w:rsid w:val="007371E9"/>
    <w:rsid w:val="007400CE"/>
    <w:rsid w:val="007400EF"/>
    <w:rsid w:val="0074043F"/>
    <w:rsid w:val="00740D15"/>
    <w:rsid w:val="00741747"/>
    <w:rsid w:val="0074178C"/>
    <w:rsid w:val="00743857"/>
    <w:rsid w:val="00744CFF"/>
    <w:rsid w:val="00744F19"/>
    <w:rsid w:val="0074515C"/>
    <w:rsid w:val="00745644"/>
    <w:rsid w:val="00745D29"/>
    <w:rsid w:val="00745E33"/>
    <w:rsid w:val="00746133"/>
    <w:rsid w:val="00746445"/>
    <w:rsid w:val="007468C8"/>
    <w:rsid w:val="00746922"/>
    <w:rsid w:val="00746949"/>
    <w:rsid w:val="00746B0D"/>
    <w:rsid w:val="00747359"/>
    <w:rsid w:val="0074754E"/>
    <w:rsid w:val="007476B0"/>
    <w:rsid w:val="00747B28"/>
    <w:rsid w:val="00750683"/>
    <w:rsid w:val="00751881"/>
    <w:rsid w:val="00752B0F"/>
    <w:rsid w:val="00752DCE"/>
    <w:rsid w:val="00753C66"/>
    <w:rsid w:val="0075452E"/>
    <w:rsid w:val="00754CFC"/>
    <w:rsid w:val="00755234"/>
    <w:rsid w:val="00756763"/>
    <w:rsid w:val="00760E64"/>
    <w:rsid w:val="0076147A"/>
    <w:rsid w:val="00765A8F"/>
    <w:rsid w:val="00767B98"/>
    <w:rsid w:val="0077107A"/>
    <w:rsid w:val="007717DA"/>
    <w:rsid w:val="00772C45"/>
    <w:rsid w:val="00772DCE"/>
    <w:rsid w:val="007736E5"/>
    <w:rsid w:val="0077414D"/>
    <w:rsid w:val="00774A04"/>
    <w:rsid w:val="007772C0"/>
    <w:rsid w:val="0078013A"/>
    <w:rsid w:val="0078111F"/>
    <w:rsid w:val="00782A5C"/>
    <w:rsid w:val="00783B26"/>
    <w:rsid w:val="007845E9"/>
    <w:rsid w:val="007859C0"/>
    <w:rsid w:val="00785B40"/>
    <w:rsid w:val="00786606"/>
    <w:rsid w:val="0079068D"/>
    <w:rsid w:val="0079154E"/>
    <w:rsid w:val="00792A49"/>
    <w:rsid w:val="00793072"/>
    <w:rsid w:val="00793D92"/>
    <w:rsid w:val="00794B1D"/>
    <w:rsid w:val="00794C0D"/>
    <w:rsid w:val="007954BD"/>
    <w:rsid w:val="0079590F"/>
    <w:rsid w:val="00795CD4"/>
    <w:rsid w:val="007971AD"/>
    <w:rsid w:val="00797AB4"/>
    <w:rsid w:val="007A1ABF"/>
    <w:rsid w:val="007A1F8A"/>
    <w:rsid w:val="007A210E"/>
    <w:rsid w:val="007A234A"/>
    <w:rsid w:val="007A4112"/>
    <w:rsid w:val="007A4E74"/>
    <w:rsid w:val="007A4FD8"/>
    <w:rsid w:val="007A5022"/>
    <w:rsid w:val="007A5F13"/>
    <w:rsid w:val="007A66CA"/>
    <w:rsid w:val="007A6D20"/>
    <w:rsid w:val="007A74FC"/>
    <w:rsid w:val="007B2C99"/>
    <w:rsid w:val="007B346B"/>
    <w:rsid w:val="007B43F2"/>
    <w:rsid w:val="007B461F"/>
    <w:rsid w:val="007B54F9"/>
    <w:rsid w:val="007B59D2"/>
    <w:rsid w:val="007B6F4C"/>
    <w:rsid w:val="007B7C20"/>
    <w:rsid w:val="007B7CCB"/>
    <w:rsid w:val="007C02D1"/>
    <w:rsid w:val="007C0B9A"/>
    <w:rsid w:val="007C1C3E"/>
    <w:rsid w:val="007C1FBB"/>
    <w:rsid w:val="007C22B5"/>
    <w:rsid w:val="007C2655"/>
    <w:rsid w:val="007C3549"/>
    <w:rsid w:val="007C3813"/>
    <w:rsid w:val="007C4280"/>
    <w:rsid w:val="007C5988"/>
    <w:rsid w:val="007C7CBB"/>
    <w:rsid w:val="007D0802"/>
    <w:rsid w:val="007D0821"/>
    <w:rsid w:val="007D0ABF"/>
    <w:rsid w:val="007D139B"/>
    <w:rsid w:val="007D1416"/>
    <w:rsid w:val="007D30F9"/>
    <w:rsid w:val="007D4700"/>
    <w:rsid w:val="007D5986"/>
    <w:rsid w:val="007D6BED"/>
    <w:rsid w:val="007D76C2"/>
    <w:rsid w:val="007E0679"/>
    <w:rsid w:val="007E0ADC"/>
    <w:rsid w:val="007E0FFE"/>
    <w:rsid w:val="007E142F"/>
    <w:rsid w:val="007E28AC"/>
    <w:rsid w:val="007E4DF6"/>
    <w:rsid w:val="007E52F4"/>
    <w:rsid w:val="007E63EA"/>
    <w:rsid w:val="007E65A7"/>
    <w:rsid w:val="007E6CA9"/>
    <w:rsid w:val="007E6EF9"/>
    <w:rsid w:val="007F01F7"/>
    <w:rsid w:val="007F0A22"/>
    <w:rsid w:val="007F3556"/>
    <w:rsid w:val="007F3600"/>
    <w:rsid w:val="007F52F5"/>
    <w:rsid w:val="00800C67"/>
    <w:rsid w:val="00801B3A"/>
    <w:rsid w:val="00801CC3"/>
    <w:rsid w:val="00803450"/>
    <w:rsid w:val="008037B4"/>
    <w:rsid w:val="00804D7A"/>
    <w:rsid w:val="00805E8D"/>
    <w:rsid w:val="00807E0B"/>
    <w:rsid w:val="00810E2E"/>
    <w:rsid w:val="00811446"/>
    <w:rsid w:val="00811BA4"/>
    <w:rsid w:val="00811D5C"/>
    <w:rsid w:val="008125EF"/>
    <w:rsid w:val="0081293B"/>
    <w:rsid w:val="008141FE"/>
    <w:rsid w:val="0081445B"/>
    <w:rsid w:val="00814A37"/>
    <w:rsid w:val="00815B4D"/>
    <w:rsid w:val="0081660B"/>
    <w:rsid w:val="00816886"/>
    <w:rsid w:val="00816924"/>
    <w:rsid w:val="00816C13"/>
    <w:rsid w:val="00821527"/>
    <w:rsid w:val="00821F40"/>
    <w:rsid w:val="00822142"/>
    <w:rsid w:val="00822207"/>
    <w:rsid w:val="00822D6D"/>
    <w:rsid w:val="008232F5"/>
    <w:rsid w:val="00824A50"/>
    <w:rsid w:val="00824BBD"/>
    <w:rsid w:val="008276E8"/>
    <w:rsid w:val="00830090"/>
    <w:rsid w:val="0083027F"/>
    <w:rsid w:val="00831347"/>
    <w:rsid w:val="00831A39"/>
    <w:rsid w:val="00832C13"/>
    <w:rsid w:val="00834021"/>
    <w:rsid w:val="00834715"/>
    <w:rsid w:val="00834746"/>
    <w:rsid w:val="0083537E"/>
    <w:rsid w:val="008364DD"/>
    <w:rsid w:val="00837AAE"/>
    <w:rsid w:val="00837FA7"/>
    <w:rsid w:val="0084021A"/>
    <w:rsid w:val="0084091D"/>
    <w:rsid w:val="00840F06"/>
    <w:rsid w:val="00840FB8"/>
    <w:rsid w:val="0084291E"/>
    <w:rsid w:val="008434D9"/>
    <w:rsid w:val="00845E44"/>
    <w:rsid w:val="00847577"/>
    <w:rsid w:val="00850729"/>
    <w:rsid w:val="00852327"/>
    <w:rsid w:val="008527A3"/>
    <w:rsid w:val="00853D10"/>
    <w:rsid w:val="00853F1D"/>
    <w:rsid w:val="008544A4"/>
    <w:rsid w:val="008552C3"/>
    <w:rsid w:val="0085552D"/>
    <w:rsid w:val="00855B5E"/>
    <w:rsid w:val="00855DFB"/>
    <w:rsid w:val="00856252"/>
    <w:rsid w:val="0085691E"/>
    <w:rsid w:val="008578FD"/>
    <w:rsid w:val="0086123A"/>
    <w:rsid w:val="00861B8F"/>
    <w:rsid w:val="00861FD0"/>
    <w:rsid w:val="0086236B"/>
    <w:rsid w:val="0086238C"/>
    <w:rsid w:val="0086266A"/>
    <w:rsid w:val="008633B9"/>
    <w:rsid w:val="0086359E"/>
    <w:rsid w:val="008635E7"/>
    <w:rsid w:val="00863954"/>
    <w:rsid w:val="00863D57"/>
    <w:rsid w:val="008667B7"/>
    <w:rsid w:val="0087008E"/>
    <w:rsid w:val="008706C2"/>
    <w:rsid w:val="008708A9"/>
    <w:rsid w:val="00872653"/>
    <w:rsid w:val="00873F41"/>
    <w:rsid w:val="0087574E"/>
    <w:rsid w:val="00875BDB"/>
    <w:rsid w:val="0087639A"/>
    <w:rsid w:val="00876687"/>
    <w:rsid w:val="0087697E"/>
    <w:rsid w:val="00881B32"/>
    <w:rsid w:val="0088277C"/>
    <w:rsid w:val="00882AB2"/>
    <w:rsid w:val="00884E01"/>
    <w:rsid w:val="008860FB"/>
    <w:rsid w:val="008866FC"/>
    <w:rsid w:val="00886D01"/>
    <w:rsid w:val="0088778C"/>
    <w:rsid w:val="00887FE3"/>
    <w:rsid w:val="00890408"/>
    <w:rsid w:val="008913A3"/>
    <w:rsid w:val="00891A8F"/>
    <w:rsid w:val="00891CDE"/>
    <w:rsid w:val="008922B6"/>
    <w:rsid w:val="008961D7"/>
    <w:rsid w:val="008968F1"/>
    <w:rsid w:val="00896925"/>
    <w:rsid w:val="008978F0"/>
    <w:rsid w:val="008A0149"/>
    <w:rsid w:val="008A015B"/>
    <w:rsid w:val="008A0AB1"/>
    <w:rsid w:val="008A11F9"/>
    <w:rsid w:val="008A2004"/>
    <w:rsid w:val="008A3F77"/>
    <w:rsid w:val="008A4D00"/>
    <w:rsid w:val="008A526C"/>
    <w:rsid w:val="008A5537"/>
    <w:rsid w:val="008A62D5"/>
    <w:rsid w:val="008A6C1E"/>
    <w:rsid w:val="008A7908"/>
    <w:rsid w:val="008B024C"/>
    <w:rsid w:val="008B6387"/>
    <w:rsid w:val="008B6504"/>
    <w:rsid w:val="008B7B0A"/>
    <w:rsid w:val="008C1265"/>
    <w:rsid w:val="008C1F83"/>
    <w:rsid w:val="008C25A2"/>
    <w:rsid w:val="008C2A97"/>
    <w:rsid w:val="008C377C"/>
    <w:rsid w:val="008C5072"/>
    <w:rsid w:val="008C51B3"/>
    <w:rsid w:val="008C6899"/>
    <w:rsid w:val="008C77A3"/>
    <w:rsid w:val="008D3522"/>
    <w:rsid w:val="008D37EE"/>
    <w:rsid w:val="008D409B"/>
    <w:rsid w:val="008D425D"/>
    <w:rsid w:val="008D4741"/>
    <w:rsid w:val="008D541D"/>
    <w:rsid w:val="008D5632"/>
    <w:rsid w:val="008D5FBB"/>
    <w:rsid w:val="008D65C5"/>
    <w:rsid w:val="008D662D"/>
    <w:rsid w:val="008D6EE5"/>
    <w:rsid w:val="008D767A"/>
    <w:rsid w:val="008D7C0C"/>
    <w:rsid w:val="008D7C9B"/>
    <w:rsid w:val="008E00E6"/>
    <w:rsid w:val="008E1463"/>
    <w:rsid w:val="008E2D98"/>
    <w:rsid w:val="008E3C4A"/>
    <w:rsid w:val="008E4329"/>
    <w:rsid w:val="008E4DDC"/>
    <w:rsid w:val="008E4E32"/>
    <w:rsid w:val="008E532B"/>
    <w:rsid w:val="008E540C"/>
    <w:rsid w:val="008E57FB"/>
    <w:rsid w:val="008E6A4C"/>
    <w:rsid w:val="008E7B5E"/>
    <w:rsid w:val="008F19CD"/>
    <w:rsid w:val="008F200B"/>
    <w:rsid w:val="008F3598"/>
    <w:rsid w:val="008F384A"/>
    <w:rsid w:val="008F3ED3"/>
    <w:rsid w:val="008F4190"/>
    <w:rsid w:val="008F522B"/>
    <w:rsid w:val="008F59A1"/>
    <w:rsid w:val="008F59CB"/>
    <w:rsid w:val="008F59CF"/>
    <w:rsid w:val="008F5BC6"/>
    <w:rsid w:val="008F65E6"/>
    <w:rsid w:val="008F7A75"/>
    <w:rsid w:val="00900E49"/>
    <w:rsid w:val="00900EF4"/>
    <w:rsid w:val="009011B6"/>
    <w:rsid w:val="00902F31"/>
    <w:rsid w:val="0090306B"/>
    <w:rsid w:val="009033E2"/>
    <w:rsid w:val="0090354F"/>
    <w:rsid w:val="00904084"/>
    <w:rsid w:val="0090419C"/>
    <w:rsid w:val="0090428B"/>
    <w:rsid w:val="00904B70"/>
    <w:rsid w:val="00906A39"/>
    <w:rsid w:val="00906AA8"/>
    <w:rsid w:val="00907E31"/>
    <w:rsid w:val="009142D6"/>
    <w:rsid w:val="009156DB"/>
    <w:rsid w:val="009214F2"/>
    <w:rsid w:val="00923636"/>
    <w:rsid w:val="0092425A"/>
    <w:rsid w:val="00924B70"/>
    <w:rsid w:val="00924EA5"/>
    <w:rsid w:val="009253B5"/>
    <w:rsid w:val="009264C0"/>
    <w:rsid w:val="00926A68"/>
    <w:rsid w:val="00926D32"/>
    <w:rsid w:val="00927A6E"/>
    <w:rsid w:val="00927DF3"/>
    <w:rsid w:val="0092DB57"/>
    <w:rsid w:val="0093077B"/>
    <w:rsid w:val="009307AE"/>
    <w:rsid w:val="00930885"/>
    <w:rsid w:val="00931A26"/>
    <w:rsid w:val="00931DBF"/>
    <w:rsid w:val="009339AF"/>
    <w:rsid w:val="00934BC9"/>
    <w:rsid w:val="00935762"/>
    <w:rsid w:val="00936CB2"/>
    <w:rsid w:val="00937E45"/>
    <w:rsid w:val="00940073"/>
    <w:rsid w:val="00940B49"/>
    <w:rsid w:val="00940D74"/>
    <w:rsid w:val="00941AB9"/>
    <w:rsid w:val="00942CA5"/>
    <w:rsid w:val="0094419D"/>
    <w:rsid w:val="00945089"/>
    <w:rsid w:val="009450CB"/>
    <w:rsid w:val="00946C49"/>
    <w:rsid w:val="00950750"/>
    <w:rsid w:val="00950A01"/>
    <w:rsid w:val="00951D53"/>
    <w:rsid w:val="00951F02"/>
    <w:rsid w:val="009535E3"/>
    <w:rsid w:val="009537DC"/>
    <w:rsid w:val="00953C5C"/>
    <w:rsid w:val="0095489C"/>
    <w:rsid w:val="009554F3"/>
    <w:rsid w:val="00955BFA"/>
    <w:rsid w:val="00955EBF"/>
    <w:rsid w:val="00956054"/>
    <w:rsid w:val="00956775"/>
    <w:rsid w:val="00956A9E"/>
    <w:rsid w:val="00957DC4"/>
    <w:rsid w:val="009618C1"/>
    <w:rsid w:val="00961DEE"/>
    <w:rsid w:val="009626EE"/>
    <w:rsid w:val="009641ED"/>
    <w:rsid w:val="00966CAD"/>
    <w:rsid w:val="00967712"/>
    <w:rsid w:val="00970489"/>
    <w:rsid w:val="00970F25"/>
    <w:rsid w:val="0097121A"/>
    <w:rsid w:val="00971EB4"/>
    <w:rsid w:val="00975D4E"/>
    <w:rsid w:val="00975F8C"/>
    <w:rsid w:val="00977197"/>
    <w:rsid w:val="009773B8"/>
    <w:rsid w:val="00981039"/>
    <w:rsid w:val="00981B2F"/>
    <w:rsid w:val="00981B6A"/>
    <w:rsid w:val="00982D44"/>
    <w:rsid w:val="00982DD1"/>
    <w:rsid w:val="0098370E"/>
    <w:rsid w:val="00983C9B"/>
    <w:rsid w:val="00983D5B"/>
    <w:rsid w:val="0098420A"/>
    <w:rsid w:val="00985895"/>
    <w:rsid w:val="00985B19"/>
    <w:rsid w:val="00985D9D"/>
    <w:rsid w:val="0098681A"/>
    <w:rsid w:val="0098728A"/>
    <w:rsid w:val="0098778E"/>
    <w:rsid w:val="009917A1"/>
    <w:rsid w:val="00992B82"/>
    <w:rsid w:val="009932FC"/>
    <w:rsid w:val="0099383A"/>
    <w:rsid w:val="0099460E"/>
    <w:rsid w:val="00996DDA"/>
    <w:rsid w:val="009A27A2"/>
    <w:rsid w:val="009A2891"/>
    <w:rsid w:val="009A310E"/>
    <w:rsid w:val="009A368A"/>
    <w:rsid w:val="009A4D83"/>
    <w:rsid w:val="009A6CF5"/>
    <w:rsid w:val="009A7751"/>
    <w:rsid w:val="009B009B"/>
    <w:rsid w:val="009B0E4F"/>
    <w:rsid w:val="009B0E68"/>
    <w:rsid w:val="009B31FB"/>
    <w:rsid w:val="009B37BC"/>
    <w:rsid w:val="009B4099"/>
    <w:rsid w:val="009B4858"/>
    <w:rsid w:val="009B49F7"/>
    <w:rsid w:val="009B4FF8"/>
    <w:rsid w:val="009B5681"/>
    <w:rsid w:val="009B63BC"/>
    <w:rsid w:val="009B69D9"/>
    <w:rsid w:val="009B69ED"/>
    <w:rsid w:val="009C0571"/>
    <w:rsid w:val="009C0682"/>
    <w:rsid w:val="009C0721"/>
    <w:rsid w:val="009C0A03"/>
    <w:rsid w:val="009C0D9D"/>
    <w:rsid w:val="009C1245"/>
    <w:rsid w:val="009C2FC6"/>
    <w:rsid w:val="009C39A2"/>
    <w:rsid w:val="009C3BAA"/>
    <w:rsid w:val="009C3EFB"/>
    <w:rsid w:val="009C6BE0"/>
    <w:rsid w:val="009C73D1"/>
    <w:rsid w:val="009D0BA7"/>
    <w:rsid w:val="009D20E4"/>
    <w:rsid w:val="009D2A1D"/>
    <w:rsid w:val="009D385F"/>
    <w:rsid w:val="009D4393"/>
    <w:rsid w:val="009D46A4"/>
    <w:rsid w:val="009D4B0B"/>
    <w:rsid w:val="009D58F7"/>
    <w:rsid w:val="009D6126"/>
    <w:rsid w:val="009D6621"/>
    <w:rsid w:val="009E0E43"/>
    <w:rsid w:val="009E3788"/>
    <w:rsid w:val="009E530D"/>
    <w:rsid w:val="009E5DA0"/>
    <w:rsid w:val="009E64B5"/>
    <w:rsid w:val="009E7B22"/>
    <w:rsid w:val="009F0098"/>
    <w:rsid w:val="009F0C3D"/>
    <w:rsid w:val="009F0D8B"/>
    <w:rsid w:val="009F12AE"/>
    <w:rsid w:val="009F1485"/>
    <w:rsid w:val="009F2D2C"/>
    <w:rsid w:val="009F3979"/>
    <w:rsid w:val="009F3ED2"/>
    <w:rsid w:val="009F46DB"/>
    <w:rsid w:val="009F5B7D"/>
    <w:rsid w:val="009F6680"/>
    <w:rsid w:val="009F669B"/>
    <w:rsid w:val="009F6BC3"/>
    <w:rsid w:val="009F6EC5"/>
    <w:rsid w:val="00A00956"/>
    <w:rsid w:val="00A070E2"/>
    <w:rsid w:val="00A075D6"/>
    <w:rsid w:val="00A0773D"/>
    <w:rsid w:val="00A078DF"/>
    <w:rsid w:val="00A10610"/>
    <w:rsid w:val="00A11006"/>
    <w:rsid w:val="00A11E61"/>
    <w:rsid w:val="00A13272"/>
    <w:rsid w:val="00A14EF1"/>
    <w:rsid w:val="00A17414"/>
    <w:rsid w:val="00A17BAB"/>
    <w:rsid w:val="00A17D6E"/>
    <w:rsid w:val="00A20ADD"/>
    <w:rsid w:val="00A20FFA"/>
    <w:rsid w:val="00A22DF2"/>
    <w:rsid w:val="00A25065"/>
    <w:rsid w:val="00A2596B"/>
    <w:rsid w:val="00A2697E"/>
    <w:rsid w:val="00A26D1B"/>
    <w:rsid w:val="00A2779F"/>
    <w:rsid w:val="00A30805"/>
    <w:rsid w:val="00A30E13"/>
    <w:rsid w:val="00A3198B"/>
    <w:rsid w:val="00A31D62"/>
    <w:rsid w:val="00A3203B"/>
    <w:rsid w:val="00A3241F"/>
    <w:rsid w:val="00A33F72"/>
    <w:rsid w:val="00A35B87"/>
    <w:rsid w:val="00A35FDD"/>
    <w:rsid w:val="00A363CD"/>
    <w:rsid w:val="00A36611"/>
    <w:rsid w:val="00A36AB1"/>
    <w:rsid w:val="00A37846"/>
    <w:rsid w:val="00A37C29"/>
    <w:rsid w:val="00A37EE8"/>
    <w:rsid w:val="00A407B7"/>
    <w:rsid w:val="00A42BF3"/>
    <w:rsid w:val="00A43441"/>
    <w:rsid w:val="00A43442"/>
    <w:rsid w:val="00A446FF"/>
    <w:rsid w:val="00A44BE1"/>
    <w:rsid w:val="00A45DA2"/>
    <w:rsid w:val="00A467D9"/>
    <w:rsid w:val="00A46CAF"/>
    <w:rsid w:val="00A46DED"/>
    <w:rsid w:val="00A47CC1"/>
    <w:rsid w:val="00A502BE"/>
    <w:rsid w:val="00A50D9A"/>
    <w:rsid w:val="00A52588"/>
    <w:rsid w:val="00A52B72"/>
    <w:rsid w:val="00A5310B"/>
    <w:rsid w:val="00A53A84"/>
    <w:rsid w:val="00A542AE"/>
    <w:rsid w:val="00A5593F"/>
    <w:rsid w:val="00A560FB"/>
    <w:rsid w:val="00A570C8"/>
    <w:rsid w:val="00A5788C"/>
    <w:rsid w:val="00A57DD1"/>
    <w:rsid w:val="00A60342"/>
    <w:rsid w:val="00A64270"/>
    <w:rsid w:val="00A650F7"/>
    <w:rsid w:val="00A65982"/>
    <w:rsid w:val="00A65C9F"/>
    <w:rsid w:val="00A66819"/>
    <w:rsid w:val="00A66E5A"/>
    <w:rsid w:val="00A70C8C"/>
    <w:rsid w:val="00A710C3"/>
    <w:rsid w:val="00A7207F"/>
    <w:rsid w:val="00A7369F"/>
    <w:rsid w:val="00A7377F"/>
    <w:rsid w:val="00A739AC"/>
    <w:rsid w:val="00A74C25"/>
    <w:rsid w:val="00A74F1E"/>
    <w:rsid w:val="00A760C5"/>
    <w:rsid w:val="00A769AE"/>
    <w:rsid w:val="00A80C9D"/>
    <w:rsid w:val="00A811AB"/>
    <w:rsid w:val="00A83678"/>
    <w:rsid w:val="00A856CD"/>
    <w:rsid w:val="00A85AC8"/>
    <w:rsid w:val="00A870A8"/>
    <w:rsid w:val="00A8748D"/>
    <w:rsid w:val="00A87883"/>
    <w:rsid w:val="00A902AD"/>
    <w:rsid w:val="00A9063C"/>
    <w:rsid w:val="00A9115B"/>
    <w:rsid w:val="00A92EA2"/>
    <w:rsid w:val="00A9396C"/>
    <w:rsid w:val="00A93A35"/>
    <w:rsid w:val="00A96DA2"/>
    <w:rsid w:val="00A977D1"/>
    <w:rsid w:val="00AA0187"/>
    <w:rsid w:val="00AA05B4"/>
    <w:rsid w:val="00AA3128"/>
    <w:rsid w:val="00AA334F"/>
    <w:rsid w:val="00AA356F"/>
    <w:rsid w:val="00AA35BA"/>
    <w:rsid w:val="00AA58E9"/>
    <w:rsid w:val="00AA5C4F"/>
    <w:rsid w:val="00AA618A"/>
    <w:rsid w:val="00AA6221"/>
    <w:rsid w:val="00AA72EC"/>
    <w:rsid w:val="00AA7420"/>
    <w:rsid w:val="00AA7988"/>
    <w:rsid w:val="00AB068D"/>
    <w:rsid w:val="00AB1127"/>
    <w:rsid w:val="00AB11D9"/>
    <w:rsid w:val="00AB24D4"/>
    <w:rsid w:val="00AB3FF0"/>
    <w:rsid w:val="00AB5495"/>
    <w:rsid w:val="00AC05D5"/>
    <w:rsid w:val="00AC0A41"/>
    <w:rsid w:val="00AC1976"/>
    <w:rsid w:val="00AC1AA0"/>
    <w:rsid w:val="00AC4D4E"/>
    <w:rsid w:val="00AC5CBD"/>
    <w:rsid w:val="00AC5E03"/>
    <w:rsid w:val="00AC613C"/>
    <w:rsid w:val="00AC63DB"/>
    <w:rsid w:val="00AD00C9"/>
    <w:rsid w:val="00AD08F9"/>
    <w:rsid w:val="00AD0F3F"/>
    <w:rsid w:val="00AD0F4C"/>
    <w:rsid w:val="00AD12FF"/>
    <w:rsid w:val="00AD19E4"/>
    <w:rsid w:val="00AD1CC5"/>
    <w:rsid w:val="00AD231F"/>
    <w:rsid w:val="00AD2431"/>
    <w:rsid w:val="00AD263E"/>
    <w:rsid w:val="00AD28B3"/>
    <w:rsid w:val="00AD3154"/>
    <w:rsid w:val="00AD3F4F"/>
    <w:rsid w:val="00AD46E2"/>
    <w:rsid w:val="00AD4A99"/>
    <w:rsid w:val="00AD5AB1"/>
    <w:rsid w:val="00AD5CC4"/>
    <w:rsid w:val="00AD6437"/>
    <w:rsid w:val="00AD68F8"/>
    <w:rsid w:val="00AD6D3B"/>
    <w:rsid w:val="00AE1478"/>
    <w:rsid w:val="00AE19D6"/>
    <w:rsid w:val="00AE4214"/>
    <w:rsid w:val="00AE5324"/>
    <w:rsid w:val="00AF0837"/>
    <w:rsid w:val="00AF1F69"/>
    <w:rsid w:val="00AF4C33"/>
    <w:rsid w:val="00AF5032"/>
    <w:rsid w:val="00AF5357"/>
    <w:rsid w:val="00AF5DA6"/>
    <w:rsid w:val="00AF5DA9"/>
    <w:rsid w:val="00AF5DC5"/>
    <w:rsid w:val="00AF695C"/>
    <w:rsid w:val="00AF7374"/>
    <w:rsid w:val="00AF78C2"/>
    <w:rsid w:val="00AF7A57"/>
    <w:rsid w:val="00B004AD"/>
    <w:rsid w:val="00B00893"/>
    <w:rsid w:val="00B02283"/>
    <w:rsid w:val="00B022E5"/>
    <w:rsid w:val="00B022F3"/>
    <w:rsid w:val="00B03531"/>
    <w:rsid w:val="00B0488A"/>
    <w:rsid w:val="00B05278"/>
    <w:rsid w:val="00B05315"/>
    <w:rsid w:val="00B061D2"/>
    <w:rsid w:val="00B06B12"/>
    <w:rsid w:val="00B07899"/>
    <w:rsid w:val="00B10F02"/>
    <w:rsid w:val="00B11446"/>
    <w:rsid w:val="00B13F20"/>
    <w:rsid w:val="00B14015"/>
    <w:rsid w:val="00B14B31"/>
    <w:rsid w:val="00B14B97"/>
    <w:rsid w:val="00B159E6"/>
    <w:rsid w:val="00B16A8A"/>
    <w:rsid w:val="00B16D4F"/>
    <w:rsid w:val="00B224E6"/>
    <w:rsid w:val="00B22B89"/>
    <w:rsid w:val="00B22DCC"/>
    <w:rsid w:val="00B24154"/>
    <w:rsid w:val="00B25D31"/>
    <w:rsid w:val="00B2658E"/>
    <w:rsid w:val="00B272BF"/>
    <w:rsid w:val="00B32F6B"/>
    <w:rsid w:val="00B341C3"/>
    <w:rsid w:val="00B352FE"/>
    <w:rsid w:val="00B3712F"/>
    <w:rsid w:val="00B409BB"/>
    <w:rsid w:val="00B40CF0"/>
    <w:rsid w:val="00B41B18"/>
    <w:rsid w:val="00B4296D"/>
    <w:rsid w:val="00B42F01"/>
    <w:rsid w:val="00B44FAC"/>
    <w:rsid w:val="00B45C09"/>
    <w:rsid w:val="00B461AA"/>
    <w:rsid w:val="00B5056C"/>
    <w:rsid w:val="00B506F9"/>
    <w:rsid w:val="00B513CC"/>
    <w:rsid w:val="00B54B39"/>
    <w:rsid w:val="00B57870"/>
    <w:rsid w:val="00B57B4B"/>
    <w:rsid w:val="00B65282"/>
    <w:rsid w:val="00B67AF8"/>
    <w:rsid w:val="00B67F04"/>
    <w:rsid w:val="00B705A8"/>
    <w:rsid w:val="00B7173A"/>
    <w:rsid w:val="00B7220C"/>
    <w:rsid w:val="00B73059"/>
    <w:rsid w:val="00B73999"/>
    <w:rsid w:val="00B74A40"/>
    <w:rsid w:val="00B75371"/>
    <w:rsid w:val="00B75B8A"/>
    <w:rsid w:val="00B75C14"/>
    <w:rsid w:val="00B76B38"/>
    <w:rsid w:val="00B76DCB"/>
    <w:rsid w:val="00B76FB4"/>
    <w:rsid w:val="00B77924"/>
    <w:rsid w:val="00B8096F"/>
    <w:rsid w:val="00B83D12"/>
    <w:rsid w:val="00B85804"/>
    <w:rsid w:val="00B8584A"/>
    <w:rsid w:val="00B85F07"/>
    <w:rsid w:val="00B874AF"/>
    <w:rsid w:val="00B90357"/>
    <w:rsid w:val="00B90C3C"/>
    <w:rsid w:val="00B90FEB"/>
    <w:rsid w:val="00B913D1"/>
    <w:rsid w:val="00B92321"/>
    <w:rsid w:val="00B938D1"/>
    <w:rsid w:val="00B93BBC"/>
    <w:rsid w:val="00B93D31"/>
    <w:rsid w:val="00B93E7F"/>
    <w:rsid w:val="00B94D31"/>
    <w:rsid w:val="00B9571A"/>
    <w:rsid w:val="00B974AC"/>
    <w:rsid w:val="00BA18C9"/>
    <w:rsid w:val="00BA29F7"/>
    <w:rsid w:val="00BA2A47"/>
    <w:rsid w:val="00BA4043"/>
    <w:rsid w:val="00BA4522"/>
    <w:rsid w:val="00BA4D0B"/>
    <w:rsid w:val="00BA5678"/>
    <w:rsid w:val="00BA5C17"/>
    <w:rsid w:val="00BA69E2"/>
    <w:rsid w:val="00BB0049"/>
    <w:rsid w:val="00BB1187"/>
    <w:rsid w:val="00BB1C6C"/>
    <w:rsid w:val="00BB2052"/>
    <w:rsid w:val="00BB2D66"/>
    <w:rsid w:val="00BB2E75"/>
    <w:rsid w:val="00BB2F6A"/>
    <w:rsid w:val="00BB2FEC"/>
    <w:rsid w:val="00BB325F"/>
    <w:rsid w:val="00BB39C2"/>
    <w:rsid w:val="00BB5812"/>
    <w:rsid w:val="00BB6437"/>
    <w:rsid w:val="00BB7D1E"/>
    <w:rsid w:val="00BC148A"/>
    <w:rsid w:val="00BC1803"/>
    <w:rsid w:val="00BC2581"/>
    <w:rsid w:val="00BC5914"/>
    <w:rsid w:val="00BC68E6"/>
    <w:rsid w:val="00BC6B2B"/>
    <w:rsid w:val="00BC6F66"/>
    <w:rsid w:val="00BC72AB"/>
    <w:rsid w:val="00BC72FD"/>
    <w:rsid w:val="00BC7338"/>
    <w:rsid w:val="00BD1C9D"/>
    <w:rsid w:val="00BD219E"/>
    <w:rsid w:val="00BD2479"/>
    <w:rsid w:val="00BD72F9"/>
    <w:rsid w:val="00BD753E"/>
    <w:rsid w:val="00BD7E7A"/>
    <w:rsid w:val="00BE0252"/>
    <w:rsid w:val="00BE0CFC"/>
    <w:rsid w:val="00BE1541"/>
    <w:rsid w:val="00BE1D40"/>
    <w:rsid w:val="00BE214C"/>
    <w:rsid w:val="00BE2A8E"/>
    <w:rsid w:val="00BE2AA0"/>
    <w:rsid w:val="00BE370F"/>
    <w:rsid w:val="00BE3FF6"/>
    <w:rsid w:val="00BE50A9"/>
    <w:rsid w:val="00BE5266"/>
    <w:rsid w:val="00BE5787"/>
    <w:rsid w:val="00BE6EFC"/>
    <w:rsid w:val="00BE7E48"/>
    <w:rsid w:val="00BF0315"/>
    <w:rsid w:val="00BF0AB8"/>
    <w:rsid w:val="00BF0C1C"/>
    <w:rsid w:val="00BF11E8"/>
    <w:rsid w:val="00BF2459"/>
    <w:rsid w:val="00BF3448"/>
    <w:rsid w:val="00BF4F2F"/>
    <w:rsid w:val="00BF4F45"/>
    <w:rsid w:val="00BF6C0A"/>
    <w:rsid w:val="00BF73BE"/>
    <w:rsid w:val="00BF7B87"/>
    <w:rsid w:val="00C0033E"/>
    <w:rsid w:val="00C00464"/>
    <w:rsid w:val="00C02D5D"/>
    <w:rsid w:val="00C02F88"/>
    <w:rsid w:val="00C0302C"/>
    <w:rsid w:val="00C03DAB"/>
    <w:rsid w:val="00C0512D"/>
    <w:rsid w:val="00C063CA"/>
    <w:rsid w:val="00C06EC4"/>
    <w:rsid w:val="00C07E85"/>
    <w:rsid w:val="00C1027D"/>
    <w:rsid w:val="00C111BD"/>
    <w:rsid w:val="00C11861"/>
    <w:rsid w:val="00C120A8"/>
    <w:rsid w:val="00C126EF"/>
    <w:rsid w:val="00C151F0"/>
    <w:rsid w:val="00C17149"/>
    <w:rsid w:val="00C21C6E"/>
    <w:rsid w:val="00C232DC"/>
    <w:rsid w:val="00C2330E"/>
    <w:rsid w:val="00C24EE1"/>
    <w:rsid w:val="00C2519D"/>
    <w:rsid w:val="00C261F7"/>
    <w:rsid w:val="00C26B90"/>
    <w:rsid w:val="00C26F4B"/>
    <w:rsid w:val="00C27541"/>
    <w:rsid w:val="00C3074A"/>
    <w:rsid w:val="00C31904"/>
    <w:rsid w:val="00C31D06"/>
    <w:rsid w:val="00C33821"/>
    <w:rsid w:val="00C35955"/>
    <w:rsid w:val="00C37DC0"/>
    <w:rsid w:val="00C403C7"/>
    <w:rsid w:val="00C411A6"/>
    <w:rsid w:val="00C412BF"/>
    <w:rsid w:val="00C413B4"/>
    <w:rsid w:val="00C421C5"/>
    <w:rsid w:val="00C43BA9"/>
    <w:rsid w:val="00C44780"/>
    <w:rsid w:val="00C450DB"/>
    <w:rsid w:val="00C501BF"/>
    <w:rsid w:val="00C5270E"/>
    <w:rsid w:val="00C52980"/>
    <w:rsid w:val="00C5308B"/>
    <w:rsid w:val="00C550C3"/>
    <w:rsid w:val="00C558CC"/>
    <w:rsid w:val="00C55A21"/>
    <w:rsid w:val="00C566E4"/>
    <w:rsid w:val="00C56A7F"/>
    <w:rsid w:val="00C57ABD"/>
    <w:rsid w:val="00C57C2F"/>
    <w:rsid w:val="00C6021F"/>
    <w:rsid w:val="00C60CDF"/>
    <w:rsid w:val="00C61257"/>
    <w:rsid w:val="00C61D9A"/>
    <w:rsid w:val="00C62233"/>
    <w:rsid w:val="00C634C4"/>
    <w:rsid w:val="00C6359B"/>
    <w:rsid w:val="00C63681"/>
    <w:rsid w:val="00C63A76"/>
    <w:rsid w:val="00C63D5D"/>
    <w:rsid w:val="00C668EA"/>
    <w:rsid w:val="00C679F6"/>
    <w:rsid w:val="00C705C0"/>
    <w:rsid w:val="00C7275B"/>
    <w:rsid w:val="00C72F5A"/>
    <w:rsid w:val="00C73F31"/>
    <w:rsid w:val="00C73F59"/>
    <w:rsid w:val="00C746E0"/>
    <w:rsid w:val="00C75D1A"/>
    <w:rsid w:val="00C75FB9"/>
    <w:rsid w:val="00C76768"/>
    <w:rsid w:val="00C768CA"/>
    <w:rsid w:val="00C77015"/>
    <w:rsid w:val="00C80264"/>
    <w:rsid w:val="00C80E9F"/>
    <w:rsid w:val="00C82354"/>
    <w:rsid w:val="00C83687"/>
    <w:rsid w:val="00C83A45"/>
    <w:rsid w:val="00C85502"/>
    <w:rsid w:val="00C86017"/>
    <w:rsid w:val="00C877D7"/>
    <w:rsid w:val="00C91928"/>
    <w:rsid w:val="00C92053"/>
    <w:rsid w:val="00C929B6"/>
    <w:rsid w:val="00C92D97"/>
    <w:rsid w:val="00C95DD1"/>
    <w:rsid w:val="00C96748"/>
    <w:rsid w:val="00C96933"/>
    <w:rsid w:val="00C97F3A"/>
    <w:rsid w:val="00CA0832"/>
    <w:rsid w:val="00CA087C"/>
    <w:rsid w:val="00CA1A5C"/>
    <w:rsid w:val="00CA1FC7"/>
    <w:rsid w:val="00CA3DAA"/>
    <w:rsid w:val="00CA3F30"/>
    <w:rsid w:val="00CA4CCB"/>
    <w:rsid w:val="00CA5E38"/>
    <w:rsid w:val="00CA65CA"/>
    <w:rsid w:val="00CA6CEC"/>
    <w:rsid w:val="00CA6E3A"/>
    <w:rsid w:val="00CA7466"/>
    <w:rsid w:val="00CA779C"/>
    <w:rsid w:val="00CA78A5"/>
    <w:rsid w:val="00CA7F76"/>
    <w:rsid w:val="00CB04C8"/>
    <w:rsid w:val="00CB232D"/>
    <w:rsid w:val="00CB237F"/>
    <w:rsid w:val="00CB5DF7"/>
    <w:rsid w:val="00CC01A3"/>
    <w:rsid w:val="00CC1F30"/>
    <w:rsid w:val="00CC3964"/>
    <w:rsid w:val="00CC471D"/>
    <w:rsid w:val="00CC65EB"/>
    <w:rsid w:val="00CC72F5"/>
    <w:rsid w:val="00CD1996"/>
    <w:rsid w:val="00CD2027"/>
    <w:rsid w:val="00CD5879"/>
    <w:rsid w:val="00CD6838"/>
    <w:rsid w:val="00CD7B9A"/>
    <w:rsid w:val="00CE0872"/>
    <w:rsid w:val="00CE0891"/>
    <w:rsid w:val="00CE133B"/>
    <w:rsid w:val="00CE25CF"/>
    <w:rsid w:val="00CE2B9C"/>
    <w:rsid w:val="00CE4AFF"/>
    <w:rsid w:val="00CE6537"/>
    <w:rsid w:val="00CE73F2"/>
    <w:rsid w:val="00CE7A76"/>
    <w:rsid w:val="00CF0305"/>
    <w:rsid w:val="00CF05B8"/>
    <w:rsid w:val="00CF1ED7"/>
    <w:rsid w:val="00CF1FD7"/>
    <w:rsid w:val="00CF26AF"/>
    <w:rsid w:val="00CF31E4"/>
    <w:rsid w:val="00CF3380"/>
    <w:rsid w:val="00CF3526"/>
    <w:rsid w:val="00CF3B10"/>
    <w:rsid w:val="00CF4186"/>
    <w:rsid w:val="00CF56B9"/>
    <w:rsid w:val="00CF636C"/>
    <w:rsid w:val="00D0023C"/>
    <w:rsid w:val="00D0052E"/>
    <w:rsid w:val="00D0103F"/>
    <w:rsid w:val="00D010A3"/>
    <w:rsid w:val="00D02CCB"/>
    <w:rsid w:val="00D03187"/>
    <w:rsid w:val="00D05251"/>
    <w:rsid w:val="00D0540E"/>
    <w:rsid w:val="00D05D77"/>
    <w:rsid w:val="00D06241"/>
    <w:rsid w:val="00D06874"/>
    <w:rsid w:val="00D06A32"/>
    <w:rsid w:val="00D06B9F"/>
    <w:rsid w:val="00D06DEE"/>
    <w:rsid w:val="00D10147"/>
    <w:rsid w:val="00D10828"/>
    <w:rsid w:val="00D10F06"/>
    <w:rsid w:val="00D119BF"/>
    <w:rsid w:val="00D121D9"/>
    <w:rsid w:val="00D1528C"/>
    <w:rsid w:val="00D158B3"/>
    <w:rsid w:val="00D15B3E"/>
    <w:rsid w:val="00D16699"/>
    <w:rsid w:val="00D16B72"/>
    <w:rsid w:val="00D16C72"/>
    <w:rsid w:val="00D17788"/>
    <w:rsid w:val="00D20398"/>
    <w:rsid w:val="00D21F94"/>
    <w:rsid w:val="00D22003"/>
    <w:rsid w:val="00D2201C"/>
    <w:rsid w:val="00D2240C"/>
    <w:rsid w:val="00D22421"/>
    <w:rsid w:val="00D22A77"/>
    <w:rsid w:val="00D23790"/>
    <w:rsid w:val="00D23A20"/>
    <w:rsid w:val="00D2492B"/>
    <w:rsid w:val="00D2552A"/>
    <w:rsid w:val="00D25BA3"/>
    <w:rsid w:val="00D25D64"/>
    <w:rsid w:val="00D25F85"/>
    <w:rsid w:val="00D26E38"/>
    <w:rsid w:val="00D276AD"/>
    <w:rsid w:val="00D30E84"/>
    <w:rsid w:val="00D315A9"/>
    <w:rsid w:val="00D31D5E"/>
    <w:rsid w:val="00D325F9"/>
    <w:rsid w:val="00D33104"/>
    <w:rsid w:val="00D33F7F"/>
    <w:rsid w:val="00D3420E"/>
    <w:rsid w:val="00D34533"/>
    <w:rsid w:val="00D345AF"/>
    <w:rsid w:val="00D346EE"/>
    <w:rsid w:val="00D34846"/>
    <w:rsid w:val="00D35214"/>
    <w:rsid w:val="00D35B63"/>
    <w:rsid w:val="00D36B9E"/>
    <w:rsid w:val="00D4105E"/>
    <w:rsid w:val="00D41605"/>
    <w:rsid w:val="00D41BD4"/>
    <w:rsid w:val="00D424BA"/>
    <w:rsid w:val="00D43385"/>
    <w:rsid w:val="00D454DC"/>
    <w:rsid w:val="00D45778"/>
    <w:rsid w:val="00D45D42"/>
    <w:rsid w:val="00D5093C"/>
    <w:rsid w:val="00D50944"/>
    <w:rsid w:val="00D5187D"/>
    <w:rsid w:val="00D51AC7"/>
    <w:rsid w:val="00D52EAD"/>
    <w:rsid w:val="00D53BDD"/>
    <w:rsid w:val="00D54201"/>
    <w:rsid w:val="00D54329"/>
    <w:rsid w:val="00D54D89"/>
    <w:rsid w:val="00D54DC1"/>
    <w:rsid w:val="00D557E9"/>
    <w:rsid w:val="00D568BF"/>
    <w:rsid w:val="00D57D0E"/>
    <w:rsid w:val="00D62E96"/>
    <w:rsid w:val="00D633AF"/>
    <w:rsid w:val="00D654A1"/>
    <w:rsid w:val="00D66311"/>
    <w:rsid w:val="00D67CAF"/>
    <w:rsid w:val="00D7000A"/>
    <w:rsid w:val="00D700C9"/>
    <w:rsid w:val="00D7032D"/>
    <w:rsid w:val="00D708B2"/>
    <w:rsid w:val="00D70FBB"/>
    <w:rsid w:val="00D715B1"/>
    <w:rsid w:val="00D7163F"/>
    <w:rsid w:val="00D72637"/>
    <w:rsid w:val="00D73262"/>
    <w:rsid w:val="00D73445"/>
    <w:rsid w:val="00D7499B"/>
    <w:rsid w:val="00D754B4"/>
    <w:rsid w:val="00D764C6"/>
    <w:rsid w:val="00D76B4C"/>
    <w:rsid w:val="00D80193"/>
    <w:rsid w:val="00D811FE"/>
    <w:rsid w:val="00D813C8"/>
    <w:rsid w:val="00D8337F"/>
    <w:rsid w:val="00D84D3E"/>
    <w:rsid w:val="00D85485"/>
    <w:rsid w:val="00D8623A"/>
    <w:rsid w:val="00D867FB"/>
    <w:rsid w:val="00D8699E"/>
    <w:rsid w:val="00D90FB3"/>
    <w:rsid w:val="00D91CF0"/>
    <w:rsid w:val="00D91D0F"/>
    <w:rsid w:val="00D9204F"/>
    <w:rsid w:val="00D93755"/>
    <w:rsid w:val="00D937BC"/>
    <w:rsid w:val="00D93A4B"/>
    <w:rsid w:val="00D93E16"/>
    <w:rsid w:val="00D942F2"/>
    <w:rsid w:val="00D97EA9"/>
    <w:rsid w:val="00DA0876"/>
    <w:rsid w:val="00DA1F80"/>
    <w:rsid w:val="00DA2140"/>
    <w:rsid w:val="00DA3652"/>
    <w:rsid w:val="00DA4353"/>
    <w:rsid w:val="00DA4DB6"/>
    <w:rsid w:val="00DA4E2A"/>
    <w:rsid w:val="00DA5191"/>
    <w:rsid w:val="00DA555C"/>
    <w:rsid w:val="00DA5BD2"/>
    <w:rsid w:val="00DA5E4B"/>
    <w:rsid w:val="00DA60F3"/>
    <w:rsid w:val="00DB0066"/>
    <w:rsid w:val="00DB14CB"/>
    <w:rsid w:val="00DB15D0"/>
    <w:rsid w:val="00DB23EC"/>
    <w:rsid w:val="00DB2437"/>
    <w:rsid w:val="00DB2990"/>
    <w:rsid w:val="00DB2A18"/>
    <w:rsid w:val="00DB3536"/>
    <w:rsid w:val="00DB3745"/>
    <w:rsid w:val="00DB4533"/>
    <w:rsid w:val="00DB7948"/>
    <w:rsid w:val="00DC09A0"/>
    <w:rsid w:val="00DC18F1"/>
    <w:rsid w:val="00DC24D3"/>
    <w:rsid w:val="00DC32D0"/>
    <w:rsid w:val="00DC6466"/>
    <w:rsid w:val="00DC7AA6"/>
    <w:rsid w:val="00DD0A55"/>
    <w:rsid w:val="00DD1A9E"/>
    <w:rsid w:val="00DD40FF"/>
    <w:rsid w:val="00DD44C5"/>
    <w:rsid w:val="00DD519E"/>
    <w:rsid w:val="00DD6F59"/>
    <w:rsid w:val="00DE0068"/>
    <w:rsid w:val="00DE05D0"/>
    <w:rsid w:val="00DE0D79"/>
    <w:rsid w:val="00DE17D7"/>
    <w:rsid w:val="00DE1D7A"/>
    <w:rsid w:val="00DE6C86"/>
    <w:rsid w:val="00DF1624"/>
    <w:rsid w:val="00DF1C98"/>
    <w:rsid w:val="00DF1F36"/>
    <w:rsid w:val="00DF300E"/>
    <w:rsid w:val="00DF50E4"/>
    <w:rsid w:val="00DF56BD"/>
    <w:rsid w:val="00E01897"/>
    <w:rsid w:val="00E02F2F"/>
    <w:rsid w:val="00E03372"/>
    <w:rsid w:val="00E04239"/>
    <w:rsid w:val="00E05E72"/>
    <w:rsid w:val="00E06F4C"/>
    <w:rsid w:val="00E06F8A"/>
    <w:rsid w:val="00E10E24"/>
    <w:rsid w:val="00E114A0"/>
    <w:rsid w:val="00E115D5"/>
    <w:rsid w:val="00E11D63"/>
    <w:rsid w:val="00E13286"/>
    <w:rsid w:val="00E132D6"/>
    <w:rsid w:val="00E13402"/>
    <w:rsid w:val="00E13B41"/>
    <w:rsid w:val="00E14621"/>
    <w:rsid w:val="00E14BDD"/>
    <w:rsid w:val="00E16E3C"/>
    <w:rsid w:val="00E208A3"/>
    <w:rsid w:val="00E21A54"/>
    <w:rsid w:val="00E21F5F"/>
    <w:rsid w:val="00E241FD"/>
    <w:rsid w:val="00E24748"/>
    <w:rsid w:val="00E24C3A"/>
    <w:rsid w:val="00E24E0A"/>
    <w:rsid w:val="00E25B1D"/>
    <w:rsid w:val="00E25D17"/>
    <w:rsid w:val="00E262C0"/>
    <w:rsid w:val="00E26A34"/>
    <w:rsid w:val="00E26AF4"/>
    <w:rsid w:val="00E274DE"/>
    <w:rsid w:val="00E278D9"/>
    <w:rsid w:val="00E27D02"/>
    <w:rsid w:val="00E3064A"/>
    <w:rsid w:val="00E320D7"/>
    <w:rsid w:val="00E32927"/>
    <w:rsid w:val="00E35609"/>
    <w:rsid w:val="00E36564"/>
    <w:rsid w:val="00E372CE"/>
    <w:rsid w:val="00E37409"/>
    <w:rsid w:val="00E405A6"/>
    <w:rsid w:val="00E40602"/>
    <w:rsid w:val="00E40B13"/>
    <w:rsid w:val="00E40F0C"/>
    <w:rsid w:val="00E41042"/>
    <w:rsid w:val="00E410B8"/>
    <w:rsid w:val="00E437AE"/>
    <w:rsid w:val="00E43AE7"/>
    <w:rsid w:val="00E43DD2"/>
    <w:rsid w:val="00E44A3F"/>
    <w:rsid w:val="00E45C73"/>
    <w:rsid w:val="00E47829"/>
    <w:rsid w:val="00E50465"/>
    <w:rsid w:val="00E508AC"/>
    <w:rsid w:val="00E524B0"/>
    <w:rsid w:val="00E544BC"/>
    <w:rsid w:val="00E55B02"/>
    <w:rsid w:val="00E55BAF"/>
    <w:rsid w:val="00E57A45"/>
    <w:rsid w:val="00E60B75"/>
    <w:rsid w:val="00E61678"/>
    <w:rsid w:val="00E6200F"/>
    <w:rsid w:val="00E62101"/>
    <w:rsid w:val="00E6241E"/>
    <w:rsid w:val="00E645E4"/>
    <w:rsid w:val="00E67FE8"/>
    <w:rsid w:val="00E71B18"/>
    <w:rsid w:val="00E72A6C"/>
    <w:rsid w:val="00E753EF"/>
    <w:rsid w:val="00E75F0A"/>
    <w:rsid w:val="00E75F7A"/>
    <w:rsid w:val="00E7749E"/>
    <w:rsid w:val="00E77587"/>
    <w:rsid w:val="00E80213"/>
    <w:rsid w:val="00E80472"/>
    <w:rsid w:val="00E8058E"/>
    <w:rsid w:val="00E809F7"/>
    <w:rsid w:val="00E80CC9"/>
    <w:rsid w:val="00E81D4E"/>
    <w:rsid w:val="00E82291"/>
    <w:rsid w:val="00E83796"/>
    <w:rsid w:val="00E84600"/>
    <w:rsid w:val="00E84A40"/>
    <w:rsid w:val="00E84AFC"/>
    <w:rsid w:val="00E86541"/>
    <w:rsid w:val="00E8756D"/>
    <w:rsid w:val="00E90C8D"/>
    <w:rsid w:val="00E90CCE"/>
    <w:rsid w:val="00E90E97"/>
    <w:rsid w:val="00E922B7"/>
    <w:rsid w:val="00E928BB"/>
    <w:rsid w:val="00E93820"/>
    <w:rsid w:val="00E93FCE"/>
    <w:rsid w:val="00E94160"/>
    <w:rsid w:val="00E94CDE"/>
    <w:rsid w:val="00E960D6"/>
    <w:rsid w:val="00E96DA7"/>
    <w:rsid w:val="00E97064"/>
    <w:rsid w:val="00EA0222"/>
    <w:rsid w:val="00EA071B"/>
    <w:rsid w:val="00EA087D"/>
    <w:rsid w:val="00EA0A39"/>
    <w:rsid w:val="00EA1B2E"/>
    <w:rsid w:val="00EA2E52"/>
    <w:rsid w:val="00EA4EE5"/>
    <w:rsid w:val="00EA61C5"/>
    <w:rsid w:val="00EA62AB"/>
    <w:rsid w:val="00EA6AA4"/>
    <w:rsid w:val="00EA6F55"/>
    <w:rsid w:val="00EA725B"/>
    <w:rsid w:val="00EA7E06"/>
    <w:rsid w:val="00EB053F"/>
    <w:rsid w:val="00EB0DF4"/>
    <w:rsid w:val="00EB1BB4"/>
    <w:rsid w:val="00EB1F83"/>
    <w:rsid w:val="00EB4372"/>
    <w:rsid w:val="00EB4A25"/>
    <w:rsid w:val="00EB57F5"/>
    <w:rsid w:val="00EB65C5"/>
    <w:rsid w:val="00EB7053"/>
    <w:rsid w:val="00EC1C3D"/>
    <w:rsid w:val="00EC1D35"/>
    <w:rsid w:val="00EC2C7E"/>
    <w:rsid w:val="00EC31CD"/>
    <w:rsid w:val="00EC3CD0"/>
    <w:rsid w:val="00EC479A"/>
    <w:rsid w:val="00EC4882"/>
    <w:rsid w:val="00EC4A5A"/>
    <w:rsid w:val="00EC4C77"/>
    <w:rsid w:val="00EC5979"/>
    <w:rsid w:val="00EC63C2"/>
    <w:rsid w:val="00EC6417"/>
    <w:rsid w:val="00EC6A9F"/>
    <w:rsid w:val="00EC7243"/>
    <w:rsid w:val="00ED12DC"/>
    <w:rsid w:val="00ED1A97"/>
    <w:rsid w:val="00ED1AB2"/>
    <w:rsid w:val="00ED33BE"/>
    <w:rsid w:val="00ED3EB1"/>
    <w:rsid w:val="00ED529E"/>
    <w:rsid w:val="00ED6C3C"/>
    <w:rsid w:val="00ED6E7E"/>
    <w:rsid w:val="00ED778C"/>
    <w:rsid w:val="00EE0945"/>
    <w:rsid w:val="00EE1A78"/>
    <w:rsid w:val="00EE1FC7"/>
    <w:rsid w:val="00EE293B"/>
    <w:rsid w:val="00EE29E3"/>
    <w:rsid w:val="00EE43A5"/>
    <w:rsid w:val="00EE44B3"/>
    <w:rsid w:val="00EE475F"/>
    <w:rsid w:val="00EE7875"/>
    <w:rsid w:val="00EE7BC5"/>
    <w:rsid w:val="00EF11E1"/>
    <w:rsid w:val="00EF17CA"/>
    <w:rsid w:val="00EF1AFB"/>
    <w:rsid w:val="00EF1EAD"/>
    <w:rsid w:val="00EF3CA7"/>
    <w:rsid w:val="00EF4514"/>
    <w:rsid w:val="00EF46B6"/>
    <w:rsid w:val="00EF4B16"/>
    <w:rsid w:val="00EF4D42"/>
    <w:rsid w:val="00EF5257"/>
    <w:rsid w:val="00EF543C"/>
    <w:rsid w:val="00EF5457"/>
    <w:rsid w:val="00EF62D2"/>
    <w:rsid w:val="00F03C13"/>
    <w:rsid w:val="00F05AEB"/>
    <w:rsid w:val="00F05B2F"/>
    <w:rsid w:val="00F06194"/>
    <w:rsid w:val="00F0667F"/>
    <w:rsid w:val="00F06F22"/>
    <w:rsid w:val="00F07907"/>
    <w:rsid w:val="00F07DDE"/>
    <w:rsid w:val="00F1052F"/>
    <w:rsid w:val="00F1231D"/>
    <w:rsid w:val="00F12A92"/>
    <w:rsid w:val="00F1301A"/>
    <w:rsid w:val="00F13A85"/>
    <w:rsid w:val="00F13F86"/>
    <w:rsid w:val="00F14EAA"/>
    <w:rsid w:val="00F15655"/>
    <w:rsid w:val="00F169DA"/>
    <w:rsid w:val="00F17031"/>
    <w:rsid w:val="00F17F73"/>
    <w:rsid w:val="00F20563"/>
    <w:rsid w:val="00F20F34"/>
    <w:rsid w:val="00F21947"/>
    <w:rsid w:val="00F21BB1"/>
    <w:rsid w:val="00F21FC7"/>
    <w:rsid w:val="00F232E0"/>
    <w:rsid w:val="00F247D6"/>
    <w:rsid w:val="00F30ADF"/>
    <w:rsid w:val="00F3296E"/>
    <w:rsid w:val="00F33616"/>
    <w:rsid w:val="00F33E81"/>
    <w:rsid w:val="00F35DA4"/>
    <w:rsid w:val="00F366C2"/>
    <w:rsid w:val="00F371F0"/>
    <w:rsid w:val="00F37B3B"/>
    <w:rsid w:val="00F40E2A"/>
    <w:rsid w:val="00F41FD8"/>
    <w:rsid w:val="00F42358"/>
    <w:rsid w:val="00F42650"/>
    <w:rsid w:val="00F42BA7"/>
    <w:rsid w:val="00F43E28"/>
    <w:rsid w:val="00F43E4B"/>
    <w:rsid w:val="00F4484E"/>
    <w:rsid w:val="00F44AE1"/>
    <w:rsid w:val="00F456D6"/>
    <w:rsid w:val="00F45A38"/>
    <w:rsid w:val="00F46572"/>
    <w:rsid w:val="00F46986"/>
    <w:rsid w:val="00F4750C"/>
    <w:rsid w:val="00F47AB8"/>
    <w:rsid w:val="00F47CAD"/>
    <w:rsid w:val="00F50155"/>
    <w:rsid w:val="00F518EB"/>
    <w:rsid w:val="00F52B53"/>
    <w:rsid w:val="00F52FC1"/>
    <w:rsid w:val="00F536B8"/>
    <w:rsid w:val="00F53CD1"/>
    <w:rsid w:val="00F5568B"/>
    <w:rsid w:val="00F55D32"/>
    <w:rsid w:val="00F56240"/>
    <w:rsid w:val="00F56DC9"/>
    <w:rsid w:val="00F61F62"/>
    <w:rsid w:val="00F62563"/>
    <w:rsid w:val="00F62BEF"/>
    <w:rsid w:val="00F638A6"/>
    <w:rsid w:val="00F63D00"/>
    <w:rsid w:val="00F6460F"/>
    <w:rsid w:val="00F6522C"/>
    <w:rsid w:val="00F66BEB"/>
    <w:rsid w:val="00F70831"/>
    <w:rsid w:val="00F70B2B"/>
    <w:rsid w:val="00F70B88"/>
    <w:rsid w:val="00F711B8"/>
    <w:rsid w:val="00F73A87"/>
    <w:rsid w:val="00F73B1F"/>
    <w:rsid w:val="00F77EAB"/>
    <w:rsid w:val="00F81A9D"/>
    <w:rsid w:val="00F833FE"/>
    <w:rsid w:val="00F83EE7"/>
    <w:rsid w:val="00F84F82"/>
    <w:rsid w:val="00F8503D"/>
    <w:rsid w:val="00F856B9"/>
    <w:rsid w:val="00F861DB"/>
    <w:rsid w:val="00F90B12"/>
    <w:rsid w:val="00F90B3A"/>
    <w:rsid w:val="00F921B9"/>
    <w:rsid w:val="00F924FF"/>
    <w:rsid w:val="00F92BB9"/>
    <w:rsid w:val="00F94A5E"/>
    <w:rsid w:val="00F95334"/>
    <w:rsid w:val="00F9565B"/>
    <w:rsid w:val="00F95A6D"/>
    <w:rsid w:val="00F96995"/>
    <w:rsid w:val="00F97396"/>
    <w:rsid w:val="00F9790C"/>
    <w:rsid w:val="00F97CCA"/>
    <w:rsid w:val="00FA15F4"/>
    <w:rsid w:val="00FA2148"/>
    <w:rsid w:val="00FA473F"/>
    <w:rsid w:val="00FA4978"/>
    <w:rsid w:val="00FA499C"/>
    <w:rsid w:val="00FA59E9"/>
    <w:rsid w:val="00FA60C4"/>
    <w:rsid w:val="00FB0548"/>
    <w:rsid w:val="00FB1812"/>
    <w:rsid w:val="00FB28E4"/>
    <w:rsid w:val="00FB2AE3"/>
    <w:rsid w:val="00FB2AF4"/>
    <w:rsid w:val="00FB2F34"/>
    <w:rsid w:val="00FB318E"/>
    <w:rsid w:val="00FB3428"/>
    <w:rsid w:val="00FB3997"/>
    <w:rsid w:val="00FB48C4"/>
    <w:rsid w:val="00FB543D"/>
    <w:rsid w:val="00FB5525"/>
    <w:rsid w:val="00FB6330"/>
    <w:rsid w:val="00FC10B0"/>
    <w:rsid w:val="00FC224A"/>
    <w:rsid w:val="00FC3ABD"/>
    <w:rsid w:val="00FC5532"/>
    <w:rsid w:val="00FC55E1"/>
    <w:rsid w:val="00FC5955"/>
    <w:rsid w:val="00FC5F2F"/>
    <w:rsid w:val="00FC6DD2"/>
    <w:rsid w:val="00FC7B87"/>
    <w:rsid w:val="00FD0439"/>
    <w:rsid w:val="00FD1E86"/>
    <w:rsid w:val="00FD1F8F"/>
    <w:rsid w:val="00FD2027"/>
    <w:rsid w:val="00FD322A"/>
    <w:rsid w:val="00FD4DD7"/>
    <w:rsid w:val="00FD4EA4"/>
    <w:rsid w:val="00FD5055"/>
    <w:rsid w:val="00FD60FB"/>
    <w:rsid w:val="00FD70EA"/>
    <w:rsid w:val="00FD7111"/>
    <w:rsid w:val="00FE23D3"/>
    <w:rsid w:val="00FE2BA7"/>
    <w:rsid w:val="00FE4F65"/>
    <w:rsid w:val="00FE6166"/>
    <w:rsid w:val="00FE68FE"/>
    <w:rsid w:val="00FE6AB2"/>
    <w:rsid w:val="00FF0C27"/>
    <w:rsid w:val="00FF0CBF"/>
    <w:rsid w:val="00FF25E1"/>
    <w:rsid w:val="00FF4504"/>
    <w:rsid w:val="00FF5525"/>
    <w:rsid w:val="00FF5767"/>
    <w:rsid w:val="00FF7746"/>
    <w:rsid w:val="00FF7E7B"/>
    <w:rsid w:val="0108B76F"/>
    <w:rsid w:val="01AE6E60"/>
    <w:rsid w:val="01FF09BC"/>
    <w:rsid w:val="022E2C76"/>
    <w:rsid w:val="0238EB68"/>
    <w:rsid w:val="02AD970E"/>
    <w:rsid w:val="0315B8E3"/>
    <w:rsid w:val="03A798A5"/>
    <w:rsid w:val="03E95CE5"/>
    <w:rsid w:val="052AFBEC"/>
    <w:rsid w:val="05783D90"/>
    <w:rsid w:val="057FB60A"/>
    <w:rsid w:val="06612227"/>
    <w:rsid w:val="067F8653"/>
    <w:rsid w:val="06ACE3B8"/>
    <w:rsid w:val="07139968"/>
    <w:rsid w:val="07403732"/>
    <w:rsid w:val="07E88B1A"/>
    <w:rsid w:val="085D5AD7"/>
    <w:rsid w:val="096886AF"/>
    <w:rsid w:val="09986A47"/>
    <w:rsid w:val="0A0537B2"/>
    <w:rsid w:val="0B1CA6DF"/>
    <w:rsid w:val="0B2735DE"/>
    <w:rsid w:val="0B7BD7B2"/>
    <w:rsid w:val="0BCD7EAF"/>
    <w:rsid w:val="0C1D3CC6"/>
    <w:rsid w:val="0C530753"/>
    <w:rsid w:val="0C5A81AC"/>
    <w:rsid w:val="0C9692B2"/>
    <w:rsid w:val="0C96B56C"/>
    <w:rsid w:val="0CFC827A"/>
    <w:rsid w:val="0D9FD455"/>
    <w:rsid w:val="0DA77FAF"/>
    <w:rsid w:val="0E250A66"/>
    <w:rsid w:val="0E5F0D7C"/>
    <w:rsid w:val="0E8C4F09"/>
    <w:rsid w:val="0ED18B5A"/>
    <w:rsid w:val="0ED24569"/>
    <w:rsid w:val="0F0695BF"/>
    <w:rsid w:val="0F6A9FB1"/>
    <w:rsid w:val="0F76033E"/>
    <w:rsid w:val="0FC0DC9B"/>
    <w:rsid w:val="0FCEBF74"/>
    <w:rsid w:val="0FE16924"/>
    <w:rsid w:val="0FF1D476"/>
    <w:rsid w:val="1080F558"/>
    <w:rsid w:val="10B02F99"/>
    <w:rsid w:val="10CD6028"/>
    <w:rsid w:val="111237E9"/>
    <w:rsid w:val="1187B0B2"/>
    <w:rsid w:val="130EC4AA"/>
    <w:rsid w:val="13327F25"/>
    <w:rsid w:val="13631DDF"/>
    <w:rsid w:val="13D83A93"/>
    <w:rsid w:val="14460431"/>
    <w:rsid w:val="14B0FB06"/>
    <w:rsid w:val="155E704A"/>
    <w:rsid w:val="16760E1A"/>
    <w:rsid w:val="16880810"/>
    <w:rsid w:val="18A23C8E"/>
    <w:rsid w:val="18B5F14D"/>
    <w:rsid w:val="1973D1D7"/>
    <w:rsid w:val="19E48563"/>
    <w:rsid w:val="1A6EFF35"/>
    <w:rsid w:val="1A774AA7"/>
    <w:rsid w:val="1B5BE38C"/>
    <w:rsid w:val="1B98EB5D"/>
    <w:rsid w:val="1BC0ED55"/>
    <w:rsid w:val="1C44D6BC"/>
    <w:rsid w:val="1D8077EF"/>
    <w:rsid w:val="1E1F0A82"/>
    <w:rsid w:val="1E266116"/>
    <w:rsid w:val="1E9601AA"/>
    <w:rsid w:val="1F1BD32C"/>
    <w:rsid w:val="201820A0"/>
    <w:rsid w:val="2041CFF0"/>
    <w:rsid w:val="2117E10A"/>
    <w:rsid w:val="2119E965"/>
    <w:rsid w:val="2132FD54"/>
    <w:rsid w:val="2173A9D1"/>
    <w:rsid w:val="21F915A6"/>
    <w:rsid w:val="21FF6C2E"/>
    <w:rsid w:val="2297464B"/>
    <w:rsid w:val="230D9AF5"/>
    <w:rsid w:val="2366DE2E"/>
    <w:rsid w:val="239816EB"/>
    <w:rsid w:val="242A1372"/>
    <w:rsid w:val="2472FE71"/>
    <w:rsid w:val="24767B3D"/>
    <w:rsid w:val="24913640"/>
    <w:rsid w:val="24AFE525"/>
    <w:rsid w:val="264027D6"/>
    <w:rsid w:val="26873AB0"/>
    <w:rsid w:val="273C6B8C"/>
    <w:rsid w:val="27DCC451"/>
    <w:rsid w:val="28E2200B"/>
    <w:rsid w:val="295D1F60"/>
    <w:rsid w:val="29664E4C"/>
    <w:rsid w:val="296D3739"/>
    <w:rsid w:val="2977FD0A"/>
    <w:rsid w:val="29D39360"/>
    <w:rsid w:val="2A0F542D"/>
    <w:rsid w:val="2ABA1214"/>
    <w:rsid w:val="2AD92A9F"/>
    <w:rsid w:val="2B1AF424"/>
    <w:rsid w:val="2B4EDCEC"/>
    <w:rsid w:val="2C2B9DF2"/>
    <w:rsid w:val="2C6D41E4"/>
    <w:rsid w:val="2CAD60C1"/>
    <w:rsid w:val="2CBDA807"/>
    <w:rsid w:val="2D881962"/>
    <w:rsid w:val="2D89C9AE"/>
    <w:rsid w:val="2E36C80B"/>
    <w:rsid w:val="2F144315"/>
    <w:rsid w:val="2F3CD819"/>
    <w:rsid w:val="2F8B9C12"/>
    <w:rsid w:val="302A9ED4"/>
    <w:rsid w:val="303DB946"/>
    <w:rsid w:val="30A78207"/>
    <w:rsid w:val="30C56A51"/>
    <w:rsid w:val="30EECF09"/>
    <w:rsid w:val="30F2E514"/>
    <w:rsid w:val="3124DA15"/>
    <w:rsid w:val="31CEB7FD"/>
    <w:rsid w:val="31D6BC45"/>
    <w:rsid w:val="31EAEE13"/>
    <w:rsid w:val="32325538"/>
    <w:rsid w:val="32352B23"/>
    <w:rsid w:val="32B8D4EF"/>
    <w:rsid w:val="32EBD46B"/>
    <w:rsid w:val="33A1FA9F"/>
    <w:rsid w:val="3423B9C1"/>
    <w:rsid w:val="344E6E43"/>
    <w:rsid w:val="348E0ED5"/>
    <w:rsid w:val="34BB5256"/>
    <w:rsid w:val="35980698"/>
    <w:rsid w:val="3647E066"/>
    <w:rsid w:val="36798867"/>
    <w:rsid w:val="37468B60"/>
    <w:rsid w:val="376C2F3B"/>
    <w:rsid w:val="38B49601"/>
    <w:rsid w:val="38BE4D56"/>
    <w:rsid w:val="3A0F8858"/>
    <w:rsid w:val="3AB9B8FE"/>
    <w:rsid w:val="3B016BDA"/>
    <w:rsid w:val="3C55AD89"/>
    <w:rsid w:val="3C5E8634"/>
    <w:rsid w:val="3C75CB3C"/>
    <w:rsid w:val="3D12E107"/>
    <w:rsid w:val="3E26C763"/>
    <w:rsid w:val="3E6144AE"/>
    <w:rsid w:val="3EB506FC"/>
    <w:rsid w:val="3F1CEA21"/>
    <w:rsid w:val="3FB88579"/>
    <w:rsid w:val="3FC159C0"/>
    <w:rsid w:val="40068E25"/>
    <w:rsid w:val="40DB7A89"/>
    <w:rsid w:val="41232D7D"/>
    <w:rsid w:val="41276B74"/>
    <w:rsid w:val="41901979"/>
    <w:rsid w:val="41B4B4A8"/>
    <w:rsid w:val="4253775C"/>
    <w:rsid w:val="42B3AA47"/>
    <w:rsid w:val="432492D5"/>
    <w:rsid w:val="43647579"/>
    <w:rsid w:val="44444075"/>
    <w:rsid w:val="449BBB1F"/>
    <w:rsid w:val="46848A98"/>
    <w:rsid w:val="46B9A9AF"/>
    <w:rsid w:val="46D3AA42"/>
    <w:rsid w:val="47023A60"/>
    <w:rsid w:val="47411F63"/>
    <w:rsid w:val="475B1EFE"/>
    <w:rsid w:val="4825405F"/>
    <w:rsid w:val="489ECBCC"/>
    <w:rsid w:val="48EB241C"/>
    <w:rsid w:val="4905C580"/>
    <w:rsid w:val="49B2F406"/>
    <w:rsid w:val="4A1177C0"/>
    <w:rsid w:val="4AEEBBE4"/>
    <w:rsid w:val="4B42AB52"/>
    <w:rsid w:val="4BE36295"/>
    <w:rsid w:val="4C7CF4E3"/>
    <w:rsid w:val="4D589573"/>
    <w:rsid w:val="4D6D24C4"/>
    <w:rsid w:val="4D74F20D"/>
    <w:rsid w:val="4DA4B887"/>
    <w:rsid w:val="4E6FCEB9"/>
    <w:rsid w:val="4EB83BD3"/>
    <w:rsid w:val="4ED217E3"/>
    <w:rsid w:val="4EF6AFCD"/>
    <w:rsid w:val="4F988716"/>
    <w:rsid w:val="51031130"/>
    <w:rsid w:val="512AE18C"/>
    <w:rsid w:val="51399439"/>
    <w:rsid w:val="516AAA21"/>
    <w:rsid w:val="5263563E"/>
    <w:rsid w:val="52E8B369"/>
    <w:rsid w:val="532934B6"/>
    <w:rsid w:val="53D24917"/>
    <w:rsid w:val="53EFD03F"/>
    <w:rsid w:val="53FB3B6D"/>
    <w:rsid w:val="54DD6277"/>
    <w:rsid w:val="563C6A7D"/>
    <w:rsid w:val="5716C914"/>
    <w:rsid w:val="57EC2DAA"/>
    <w:rsid w:val="57EE0BBF"/>
    <w:rsid w:val="57F2A5C9"/>
    <w:rsid w:val="58050B7B"/>
    <w:rsid w:val="582F3707"/>
    <w:rsid w:val="58955760"/>
    <w:rsid w:val="59129B97"/>
    <w:rsid w:val="591577F1"/>
    <w:rsid w:val="59A9EE6C"/>
    <w:rsid w:val="59F7BD25"/>
    <w:rsid w:val="5A5F91F7"/>
    <w:rsid w:val="5AB947AD"/>
    <w:rsid w:val="5B24B1D1"/>
    <w:rsid w:val="5B42364B"/>
    <w:rsid w:val="5C11E6C4"/>
    <w:rsid w:val="5C30375B"/>
    <w:rsid w:val="5C3CCD52"/>
    <w:rsid w:val="5C94D7DB"/>
    <w:rsid w:val="5C9872F7"/>
    <w:rsid w:val="5CB146E1"/>
    <w:rsid w:val="5CCCAC99"/>
    <w:rsid w:val="5CF5DB58"/>
    <w:rsid w:val="5D3B7C8A"/>
    <w:rsid w:val="5DBC9D39"/>
    <w:rsid w:val="5DD1FE92"/>
    <w:rsid w:val="5DD6CC98"/>
    <w:rsid w:val="5EB31DEB"/>
    <w:rsid w:val="5ED0B26B"/>
    <w:rsid w:val="5F23B2E5"/>
    <w:rsid w:val="5FCC3521"/>
    <w:rsid w:val="5FEF8A90"/>
    <w:rsid w:val="604B998D"/>
    <w:rsid w:val="60536B5A"/>
    <w:rsid w:val="60F3D5A6"/>
    <w:rsid w:val="60FDC0F0"/>
    <w:rsid w:val="6116994B"/>
    <w:rsid w:val="611D7143"/>
    <w:rsid w:val="61A06AF8"/>
    <w:rsid w:val="61CC9F49"/>
    <w:rsid w:val="62389382"/>
    <w:rsid w:val="62D9561E"/>
    <w:rsid w:val="62EBF5F9"/>
    <w:rsid w:val="62F2A4BF"/>
    <w:rsid w:val="6340D17D"/>
    <w:rsid w:val="636FB2C6"/>
    <w:rsid w:val="63708F29"/>
    <w:rsid w:val="63EF4E78"/>
    <w:rsid w:val="63F7FB7D"/>
    <w:rsid w:val="6485B9FA"/>
    <w:rsid w:val="64EFEA34"/>
    <w:rsid w:val="651C2BFB"/>
    <w:rsid w:val="65E84BDF"/>
    <w:rsid w:val="6672C59D"/>
    <w:rsid w:val="672E9303"/>
    <w:rsid w:val="67A76080"/>
    <w:rsid w:val="684FF47B"/>
    <w:rsid w:val="686D955F"/>
    <w:rsid w:val="68983007"/>
    <w:rsid w:val="68C4EACF"/>
    <w:rsid w:val="690FC863"/>
    <w:rsid w:val="6950A2AB"/>
    <w:rsid w:val="6967A06F"/>
    <w:rsid w:val="6972CFE0"/>
    <w:rsid w:val="69B81547"/>
    <w:rsid w:val="69C83A19"/>
    <w:rsid w:val="6A26D86A"/>
    <w:rsid w:val="6A699171"/>
    <w:rsid w:val="6AA683F2"/>
    <w:rsid w:val="6ADF140B"/>
    <w:rsid w:val="6B75A8E2"/>
    <w:rsid w:val="6C754502"/>
    <w:rsid w:val="6D267CEE"/>
    <w:rsid w:val="6D688B98"/>
    <w:rsid w:val="6D6FD31F"/>
    <w:rsid w:val="6E058399"/>
    <w:rsid w:val="6F253C8E"/>
    <w:rsid w:val="6FC48242"/>
    <w:rsid w:val="705A8FF1"/>
    <w:rsid w:val="715270D9"/>
    <w:rsid w:val="71587FF7"/>
    <w:rsid w:val="72E62165"/>
    <w:rsid w:val="737DC943"/>
    <w:rsid w:val="73C75477"/>
    <w:rsid w:val="73DF3A63"/>
    <w:rsid w:val="74158320"/>
    <w:rsid w:val="74623CE3"/>
    <w:rsid w:val="74852538"/>
    <w:rsid w:val="74F39A80"/>
    <w:rsid w:val="76BE0176"/>
    <w:rsid w:val="780CD979"/>
    <w:rsid w:val="795BE2FC"/>
    <w:rsid w:val="7979B033"/>
    <w:rsid w:val="7A3EAA98"/>
    <w:rsid w:val="7A8BBD8C"/>
    <w:rsid w:val="7AB6EA62"/>
    <w:rsid w:val="7ACB59A8"/>
    <w:rsid w:val="7B0FEE33"/>
    <w:rsid w:val="7B38074D"/>
    <w:rsid w:val="7B87EAB4"/>
    <w:rsid w:val="7B8C9FAB"/>
    <w:rsid w:val="7BB685D7"/>
    <w:rsid w:val="7C128541"/>
    <w:rsid w:val="7C7103B3"/>
    <w:rsid w:val="7D343751"/>
    <w:rsid w:val="7D7B87DE"/>
    <w:rsid w:val="7DD97E94"/>
    <w:rsid w:val="7DE4D11A"/>
    <w:rsid w:val="7E2E2673"/>
    <w:rsid w:val="7E391EA6"/>
    <w:rsid w:val="7EC3EAF2"/>
    <w:rsid w:val="7EE9632B"/>
    <w:rsid w:val="7FCB97E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E0710D"/>
  <w15:chartTrackingRefBased/>
  <w15:docId w15:val="{2DE2C0C6-876C-4B32-B8B7-FE2B25073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2053"/>
    <w:rPr>
      <w:rFonts w:ascii="Times New Roman" w:eastAsia="Times New Roman" w:hAnsi="Times New Roman"/>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1055CC"/>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s-PR"/>
    </w:rPr>
  </w:style>
  <w:style w:type="paragraph" w:customStyle="1" w:styleId="ColorfulList-Accent11">
    <w:name w:val="Colorful List - Accent 11"/>
    <w:basedOn w:val="Normal"/>
    <w:uiPriority w:val="34"/>
    <w:qFormat/>
    <w:rsid w:val="001055CC"/>
    <w:pPr>
      <w:ind w:left="720"/>
      <w:contextualSpacing/>
    </w:pPr>
  </w:style>
  <w:style w:type="paragraph" w:styleId="Header">
    <w:name w:val="header"/>
    <w:basedOn w:val="Normal"/>
    <w:link w:val="HeaderChar"/>
    <w:uiPriority w:val="99"/>
    <w:unhideWhenUsed/>
    <w:rsid w:val="001055CC"/>
    <w:pPr>
      <w:tabs>
        <w:tab w:val="center" w:pos="4680"/>
        <w:tab w:val="right" w:pos="9360"/>
      </w:tabs>
    </w:pPr>
  </w:style>
  <w:style w:type="character" w:customStyle="1" w:styleId="HeaderChar">
    <w:name w:val="Header Char"/>
    <w:link w:val="Header"/>
    <w:uiPriority w:val="99"/>
    <w:rsid w:val="001055CC"/>
    <w:rPr>
      <w:rFonts w:ascii="Times New Roman" w:eastAsia="Batang" w:hAnsi="Times New Roman" w:cs="Times New Roman"/>
      <w:szCs w:val="20"/>
    </w:rPr>
  </w:style>
  <w:style w:type="paragraph" w:styleId="Footer">
    <w:name w:val="footer"/>
    <w:basedOn w:val="Normal"/>
    <w:link w:val="FooterChar"/>
    <w:uiPriority w:val="99"/>
    <w:unhideWhenUsed/>
    <w:rsid w:val="00F46986"/>
    <w:pPr>
      <w:tabs>
        <w:tab w:val="center" w:pos="4680"/>
        <w:tab w:val="right" w:pos="9360"/>
      </w:tabs>
    </w:pPr>
  </w:style>
  <w:style w:type="character" w:customStyle="1" w:styleId="FooterChar">
    <w:name w:val="Footer Char"/>
    <w:link w:val="Footer"/>
    <w:uiPriority w:val="99"/>
    <w:rsid w:val="00F46986"/>
    <w:rPr>
      <w:rFonts w:ascii="Times New Roman" w:eastAsia="Batang" w:hAnsi="Times New Roman" w:cs="Times New Roman"/>
      <w:szCs w:val="20"/>
    </w:rPr>
  </w:style>
  <w:style w:type="paragraph" w:styleId="BalloonText">
    <w:name w:val="Balloon Text"/>
    <w:basedOn w:val="Normal"/>
    <w:link w:val="BalloonTextChar"/>
    <w:uiPriority w:val="99"/>
    <w:semiHidden/>
    <w:unhideWhenUsed/>
    <w:rsid w:val="00133808"/>
    <w:rPr>
      <w:rFonts w:ascii="Segoe UI" w:hAnsi="Segoe UI" w:cs="Segoe UI"/>
      <w:sz w:val="18"/>
      <w:szCs w:val="18"/>
    </w:rPr>
  </w:style>
  <w:style w:type="character" w:customStyle="1" w:styleId="BalloonTextChar">
    <w:name w:val="Balloon Text Char"/>
    <w:link w:val="BalloonText"/>
    <w:uiPriority w:val="99"/>
    <w:semiHidden/>
    <w:rsid w:val="00133808"/>
    <w:rPr>
      <w:rFonts w:ascii="Segoe UI" w:eastAsia="Batang" w:hAnsi="Segoe UI" w:cs="Segoe UI"/>
      <w:sz w:val="18"/>
      <w:szCs w:val="18"/>
    </w:rPr>
  </w:style>
  <w:style w:type="paragraph" w:styleId="FootnoteText">
    <w:name w:val="footnote text"/>
    <w:basedOn w:val="Normal"/>
    <w:link w:val="FootnoteTextChar"/>
    <w:uiPriority w:val="99"/>
    <w:unhideWhenUsed/>
    <w:rsid w:val="00D654A1"/>
    <w:rPr>
      <w:sz w:val="20"/>
    </w:rPr>
  </w:style>
  <w:style w:type="character" w:customStyle="1" w:styleId="FootnoteTextChar">
    <w:name w:val="Footnote Text Char"/>
    <w:link w:val="FootnoteText"/>
    <w:uiPriority w:val="99"/>
    <w:rsid w:val="00D654A1"/>
    <w:rPr>
      <w:rFonts w:ascii="Times New Roman" w:eastAsia="Batang" w:hAnsi="Times New Roman"/>
    </w:rPr>
  </w:style>
  <w:style w:type="character" w:styleId="FootnoteReference">
    <w:name w:val="footnote reference"/>
    <w:uiPriority w:val="99"/>
    <w:unhideWhenUsed/>
    <w:rsid w:val="00D654A1"/>
    <w:rPr>
      <w:vertAlign w:val="superscript"/>
    </w:rPr>
  </w:style>
  <w:style w:type="paragraph" w:styleId="NormalWeb">
    <w:name w:val="Normal (Web)"/>
    <w:basedOn w:val="Normal"/>
    <w:uiPriority w:val="99"/>
    <w:semiHidden/>
    <w:unhideWhenUsed/>
    <w:rsid w:val="005B2A54"/>
  </w:style>
  <w:style w:type="paragraph" w:styleId="NoSpacing">
    <w:name w:val="No Spacing"/>
    <w:uiPriority w:val="1"/>
    <w:qFormat/>
    <w:rsid w:val="008913A3"/>
    <w:rPr>
      <w:rFonts w:ascii="Times New Roman" w:eastAsia="Batang" w:hAnsi="Times New Roman"/>
      <w:sz w:val="24"/>
      <w:lang w:eastAsia="en-US"/>
    </w:rPr>
  </w:style>
  <w:style w:type="paragraph" w:styleId="EndnoteText">
    <w:name w:val="endnote text"/>
    <w:basedOn w:val="Normal"/>
    <w:link w:val="EndnoteTextChar"/>
    <w:uiPriority w:val="99"/>
    <w:semiHidden/>
    <w:unhideWhenUsed/>
    <w:rsid w:val="00942CA5"/>
    <w:rPr>
      <w:sz w:val="20"/>
    </w:rPr>
  </w:style>
  <w:style w:type="character" w:customStyle="1" w:styleId="EndnoteTextChar">
    <w:name w:val="Endnote Text Char"/>
    <w:link w:val="EndnoteText"/>
    <w:uiPriority w:val="99"/>
    <w:semiHidden/>
    <w:rsid w:val="00942CA5"/>
    <w:rPr>
      <w:rFonts w:ascii="Times New Roman" w:eastAsia="Batang" w:hAnsi="Times New Roman"/>
    </w:rPr>
  </w:style>
  <w:style w:type="character" w:styleId="EndnoteReference">
    <w:name w:val="endnote reference"/>
    <w:uiPriority w:val="99"/>
    <w:semiHidden/>
    <w:unhideWhenUsed/>
    <w:rsid w:val="00942CA5"/>
    <w:rPr>
      <w:vertAlign w:val="superscript"/>
    </w:rPr>
  </w:style>
  <w:style w:type="character" w:styleId="CommentReference">
    <w:name w:val="annotation reference"/>
    <w:rsid w:val="00FC55E1"/>
    <w:rPr>
      <w:sz w:val="16"/>
      <w:szCs w:val="16"/>
    </w:rPr>
  </w:style>
  <w:style w:type="paragraph" w:styleId="ListParagraph">
    <w:name w:val="List Paragraph"/>
    <w:basedOn w:val="Normal"/>
    <w:uiPriority w:val="34"/>
    <w:qFormat/>
    <w:rsid w:val="00E24E0A"/>
    <w:pPr>
      <w:spacing w:after="160" w:line="259" w:lineRule="auto"/>
      <w:ind w:left="720"/>
      <w:contextualSpacing/>
    </w:pPr>
    <w:rPr>
      <w:rFonts w:ascii="Calibri"/>
      <w:sz w:val="22"/>
      <w:szCs w:val="22"/>
      <w:lang w:val="es-US" w:eastAsia="es-US"/>
    </w:rPr>
  </w:style>
  <w:style w:type="paragraph" w:customStyle="1" w:styleId="normal-p">
    <w:name w:val="normal-p"/>
    <w:basedOn w:val="Normal"/>
    <w:rsid w:val="0031744A"/>
    <w:pPr>
      <w:spacing w:before="100" w:beforeAutospacing="1" w:after="100" w:afterAutospacing="1"/>
    </w:pPr>
  </w:style>
  <w:style w:type="character" w:customStyle="1" w:styleId="normal-h">
    <w:name w:val="normal-h"/>
    <w:basedOn w:val="DefaultParagraphFont"/>
    <w:rsid w:val="0031744A"/>
  </w:style>
  <w:style w:type="paragraph" w:customStyle="1" w:styleId="Default">
    <w:name w:val="Default"/>
    <w:rsid w:val="003F17DE"/>
    <w:pPr>
      <w:autoSpaceDE w:val="0"/>
      <w:autoSpaceDN w:val="0"/>
      <w:adjustRightInd w:val="0"/>
    </w:pPr>
    <w:rPr>
      <w:rFonts w:ascii="Book Antiqua" w:hAnsi="Book Antiqua" w:cs="Book Antiqua"/>
      <w:color w:val="000000"/>
      <w:sz w:val="24"/>
      <w:szCs w:val="24"/>
      <w:lang w:eastAsia="en-US"/>
    </w:rPr>
  </w:style>
  <w:style w:type="character" w:styleId="Hyperlink">
    <w:name w:val="Hyperlink"/>
    <w:uiPriority w:val="99"/>
    <w:unhideWhenUsed/>
    <w:rsid w:val="00A650F7"/>
    <w:rPr>
      <w:color w:val="0563C1"/>
      <w:u w:val="single"/>
    </w:rPr>
  </w:style>
  <w:style w:type="character" w:styleId="Strong">
    <w:name w:val="Strong"/>
    <w:uiPriority w:val="22"/>
    <w:qFormat/>
    <w:rsid w:val="00C92053"/>
    <w:rPr>
      <w:b/>
      <w:bCs/>
    </w:rPr>
  </w:style>
  <w:style w:type="paragraph" w:styleId="CommentText">
    <w:name w:val="annotation text"/>
    <w:basedOn w:val="Normal"/>
    <w:link w:val="CommentTextChar"/>
    <w:uiPriority w:val="99"/>
    <w:semiHidden/>
    <w:unhideWhenUsed/>
    <w:rsid w:val="00BF2459"/>
    <w:rPr>
      <w:sz w:val="20"/>
      <w:szCs w:val="20"/>
    </w:rPr>
  </w:style>
  <w:style w:type="character" w:customStyle="1" w:styleId="CommentTextChar">
    <w:name w:val="Comment Text Char"/>
    <w:link w:val="CommentText"/>
    <w:uiPriority w:val="99"/>
    <w:semiHidden/>
    <w:rsid w:val="00BF2459"/>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BF2459"/>
    <w:rPr>
      <w:b/>
      <w:bCs/>
    </w:rPr>
  </w:style>
  <w:style w:type="character" w:customStyle="1" w:styleId="CommentSubjectChar">
    <w:name w:val="Comment Subject Char"/>
    <w:link w:val="CommentSubject"/>
    <w:uiPriority w:val="99"/>
    <w:semiHidden/>
    <w:rsid w:val="00BF2459"/>
    <w:rPr>
      <w:rFonts w:ascii="Times New Roman" w:eastAsia="Times New Roman" w:hAnsi="Times New Roman"/>
      <w:b/>
      <w:bCs/>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563772">
      <w:bodyDiv w:val="1"/>
      <w:marLeft w:val="0"/>
      <w:marRight w:val="0"/>
      <w:marTop w:val="0"/>
      <w:marBottom w:val="0"/>
      <w:divBdr>
        <w:top w:val="none" w:sz="0" w:space="0" w:color="auto"/>
        <w:left w:val="none" w:sz="0" w:space="0" w:color="auto"/>
        <w:bottom w:val="none" w:sz="0" w:space="0" w:color="auto"/>
        <w:right w:val="none" w:sz="0" w:space="0" w:color="auto"/>
      </w:divBdr>
    </w:div>
    <w:div w:id="47926542">
      <w:bodyDiv w:val="1"/>
      <w:marLeft w:val="0"/>
      <w:marRight w:val="0"/>
      <w:marTop w:val="0"/>
      <w:marBottom w:val="0"/>
      <w:divBdr>
        <w:top w:val="none" w:sz="0" w:space="0" w:color="auto"/>
        <w:left w:val="none" w:sz="0" w:space="0" w:color="auto"/>
        <w:bottom w:val="none" w:sz="0" w:space="0" w:color="auto"/>
        <w:right w:val="none" w:sz="0" w:space="0" w:color="auto"/>
      </w:divBdr>
    </w:div>
    <w:div w:id="66542648">
      <w:bodyDiv w:val="1"/>
      <w:marLeft w:val="0"/>
      <w:marRight w:val="0"/>
      <w:marTop w:val="0"/>
      <w:marBottom w:val="0"/>
      <w:divBdr>
        <w:top w:val="none" w:sz="0" w:space="0" w:color="auto"/>
        <w:left w:val="none" w:sz="0" w:space="0" w:color="auto"/>
        <w:bottom w:val="none" w:sz="0" w:space="0" w:color="auto"/>
        <w:right w:val="none" w:sz="0" w:space="0" w:color="auto"/>
      </w:divBdr>
    </w:div>
    <w:div w:id="119347015">
      <w:bodyDiv w:val="1"/>
      <w:marLeft w:val="0"/>
      <w:marRight w:val="0"/>
      <w:marTop w:val="0"/>
      <w:marBottom w:val="0"/>
      <w:divBdr>
        <w:top w:val="none" w:sz="0" w:space="0" w:color="auto"/>
        <w:left w:val="none" w:sz="0" w:space="0" w:color="auto"/>
        <w:bottom w:val="none" w:sz="0" w:space="0" w:color="auto"/>
        <w:right w:val="none" w:sz="0" w:space="0" w:color="auto"/>
      </w:divBdr>
    </w:div>
    <w:div w:id="181406603">
      <w:bodyDiv w:val="1"/>
      <w:marLeft w:val="0"/>
      <w:marRight w:val="0"/>
      <w:marTop w:val="0"/>
      <w:marBottom w:val="0"/>
      <w:divBdr>
        <w:top w:val="none" w:sz="0" w:space="0" w:color="auto"/>
        <w:left w:val="none" w:sz="0" w:space="0" w:color="auto"/>
        <w:bottom w:val="none" w:sz="0" w:space="0" w:color="auto"/>
        <w:right w:val="none" w:sz="0" w:space="0" w:color="auto"/>
      </w:divBdr>
      <w:divsChild>
        <w:div w:id="1560090165">
          <w:marLeft w:val="0"/>
          <w:marRight w:val="0"/>
          <w:marTop w:val="0"/>
          <w:marBottom w:val="300"/>
          <w:divBdr>
            <w:top w:val="none" w:sz="0" w:space="0" w:color="auto"/>
            <w:left w:val="none" w:sz="0" w:space="0" w:color="auto"/>
            <w:bottom w:val="none" w:sz="0" w:space="0" w:color="auto"/>
            <w:right w:val="none" w:sz="0" w:space="0" w:color="auto"/>
          </w:divBdr>
          <w:divsChild>
            <w:div w:id="1229801780">
              <w:marLeft w:val="0"/>
              <w:marRight w:val="0"/>
              <w:marTop w:val="0"/>
              <w:marBottom w:val="0"/>
              <w:divBdr>
                <w:top w:val="none" w:sz="0" w:space="0" w:color="auto"/>
                <w:left w:val="none" w:sz="0" w:space="0" w:color="auto"/>
                <w:bottom w:val="none" w:sz="0" w:space="0" w:color="auto"/>
                <w:right w:val="none" w:sz="0" w:space="0" w:color="auto"/>
              </w:divBdr>
            </w:div>
          </w:divsChild>
        </w:div>
        <w:div w:id="1698509793">
          <w:marLeft w:val="0"/>
          <w:marRight w:val="0"/>
          <w:marTop w:val="100"/>
          <w:marBottom w:val="100"/>
          <w:divBdr>
            <w:top w:val="none" w:sz="0" w:space="0" w:color="auto"/>
            <w:left w:val="none" w:sz="0" w:space="0" w:color="auto"/>
            <w:bottom w:val="none" w:sz="0" w:space="0" w:color="auto"/>
            <w:right w:val="none" w:sz="0" w:space="0" w:color="auto"/>
          </w:divBdr>
          <w:divsChild>
            <w:div w:id="19286383">
              <w:marLeft w:val="0"/>
              <w:marRight w:val="0"/>
              <w:marTop w:val="0"/>
              <w:marBottom w:val="240"/>
              <w:divBdr>
                <w:top w:val="none" w:sz="0" w:space="0" w:color="auto"/>
                <w:left w:val="none" w:sz="0" w:space="0" w:color="auto"/>
                <w:bottom w:val="none" w:sz="0" w:space="0" w:color="auto"/>
                <w:right w:val="none" w:sz="0" w:space="0" w:color="auto"/>
              </w:divBdr>
              <w:divsChild>
                <w:div w:id="959530699">
                  <w:marLeft w:val="0"/>
                  <w:marRight w:val="0"/>
                  <w:marTop w:val="0"/>
                  <w:marBottom w:val="0"/>
                  <w:divBdr>
                    <w:top w:val="none" w:sz="0" w:space="0" w:color="auto"/>
                    <w:left w:val="none" w:sz="0" w:space="0" w:color="auto"/>
                    <w:bottom w:val="none" w:sz="0" w:space="0" w:color="auto"/>
                    <w:right w:val="none" w:sz="0" w:space="0" w:color="auto"/>
                  </w:divBdr>
                </w:div>
              </w:divsChild>
            </w:div>
            <w:div w:id="69667748">
              <w:marLeft w:val="0"/>
              <w:marRight w:val="0"/>
              <w:marTop w:val="0"/>
              <w:marBottom w:val="180"/>
              <w:divBdr>
                <w:top w:val="none" w:sz="0" w:space="0" w:color="auto"/>
                <w:left w:val="none" w:sz="0" w:space="0" w:color="auto"/>
                <w:bottom w:val="none" w:sz="0" w:space="0" w:color="auto"/>
                <w:right w:val="none" w:sz="0" w:space="0" w:color="auto"/>
              </w:divBdr>
              <w:divsChild>
                <w:div w:id="780994467">
                  <w:marLeft w:val="0"/>
                  <w:marRight w:val="0"/>
                  <w:marTop w:val="0"/>
                  <w:marBottom w:val="0"/>
                  <w:divBdr>
                    <w:top w:val="none" w:sz="0" w:space="0" w:color="auto"/>
                    <w:left w:val="none" w:sz="0" w:space="0" w:color="auto"/>
                    <w:bottom w:val="none" w:sz="0" w:space="0" w:color="auto"/>
                    <w:right w:val="none" w:sz="0" w:space="0" w:color="auto"/>
                  </w:divBdr>
                </w:div>
              </w:divsChild>
            </w:div>
            <w:div w:id="200674117">
              <w:marLeft w:val="0"/>
              <w:marRight w:val="0"/>
              <w:marTop w:val="0"/>
              <w:marBottom w:val="0"/>
              <w:divBdr>
                <w:top w:val="none" w:sz="0" w:space="0" w:color="auto"/>
                <w:left w:val="none" w:sz="0" w:space="0" w:color="auto"/>
                <w:bottom w:val="none" w:sz="0" w:space="0" w:color="auto"/>
                <w:right w:val="none" w:sz="0" w:space="0" w:color="auto"/>
              </w:divBdr>
              <w:divsChild>
                <w:div w:id="538131043">
                  <w:marLeft w:val="0"/>
                  <w:marRight w:val="0"/>
                  <w:marTop w:val="0"/>
                  <w:marBottom w:val="0"/>
                  <w:divBdr>
                    <w:top w:val="none" w:sz="0" w:space="0" w:color="auto"/>
                    <w:left w:val="none" w:sz="0" w:space="0" w:color="auto"/>
                    <w:bottom w:val="none" w:sz="0" w:space="0" w:color="auto"/>
                    <w:right w:val="none" w:sz="0" w:space="0" w:color="auto"/>
                  </w:divBdr>
                </w:div>
              </w:divsChild>
            </w:div>
            <w:div w:id="395780602">
              <w:marLeft w:val="0"/>
              <w:marRight w:val="0"/>
              <w:marTop w:val="0"/>
              <w:marBottom w:val="180"/>
              <w:divBdr>
                <w:top w:val="none" w:sz="0" w:space="0" w:color="auto"/>
                <w:left w:val="none" w:sz="0" w:space="0" w:color="auto"/>
                <w:bottom w:val="none" w:sz="0" w:space="0" w:color="auto"/>
                <w:right w:val="none" w:sz="0" w:space="0" w:color="auto"/>
              </w:divBdr>
              <w:divsChild>
                <w:div w:id="1309358198">
                  <w:marLeft w:val="0"/>
                  <w:marRight w:val="0"/>
                  <w:marTop w:val="0"/>
                  <w:marBottom w:val="0"/>
                  <w:divBdr>
                    <w:top w:val="none" w:sz="0" w:space="0" w:color="auto"/>
                    <w:left w:val="none" w:sz="0" w:space="0" w:color="auto"/>
                    <w:bottom w:val="none" w:sz="0" w:space="0" w:color="auto"/>
                    <w:right w:val="none" w:sz="0" w:space="0" w:color="auto"/>
                  </w:divBdr>
                  <w:divsChild>
                    <w:div w:id="1114134046">
                      <w:blockQuote w:val="1"/>
                      <w:marLeft w:val="0"/>
                      <w:marRight w:val="0"/>
                      <w:marTop w:val="0"/>
                      <w:marBottom w:val="0"/>
                      <w:divBdr>
                        <w:top w:val="none" w:sz="0" w:space="0" w:color="auto"/>
                        <w:left w:val="none" w:sz="0" w:space="0" w:color="auto"/>
                        <w:bottom w:val="none" w:sz="0" w:space="0" w:color="auto"/>
                        <w:right w:val="none" w:sz="0" w:space="0" w:color="auto"/>
                      </w:divBdr>
                    </w:div>
                    <w:div w:id="1704400863">
                      <w:blockQuote w:val="1"/>
                      <w:marLeft w:val="0"/>
                      <w:marRight w:val="0"/>
                      <w:marTop w:val="0"/>
                      <w:marBottom w:val="0"/>
                      <w:divBdr>
                        <w:top w:val="none" w:sz="0" w:space="0" w:color="auto"/>
                        <w:left w:val="none" w:sz="0" w:space="0" w:color="auto"/>
                        <w:bottom w:val="none" w:sz="0" w:space="0" w:color="auto"/>
                        <w:right w:val="none" w:sz="0" w:space="0" w:color="auto"/>
                      </w:divBdr>
                    </w:div>
                    <w:div w:id="2038774076">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4235858">
              <w:marLeft w:val="0"/>
              <w:marRight w:val="0"/>
              <w:marTop w:val="0"/>
              <w:marBottom w:val="240"/>
              <w:divBdr>
                <w:top w:val="none" w:sz="0" w:space="0" w:color="auto"/>
                <w:left w:val="none" w:sz="0" w:space="0" w:color="auto"/>
                <w:bottom w:val="none" w:sz="0" w:space="0" w:color="auto"/>
                <w:right w:val="none" w:sz="0" w:space="0" w:color="auto"/>
              </w:divBdr>
              <w:divsChild>
                <w:div w:id="186412347">
                  <w:marLeft w:val="0"/>
                  <w:marRight w:val="0"/>
                  <w:marTop w:val="0"/>
                  <w:marBottom w:val="0"/>
                  <w:divBdr>
                    <w:top w:val="none" w:sz="0" w:space="0" w:color="auto"/>
                    <w:left w:val="none" w:sz="0" w:space="0" w:color="auto"/>
                    <w:bottom w:val="none" w:sz="0" w:space="0" w:color="auto"/>
                    <w:right w:val="none" w:sz="0" w:space="0" w:color="auto"/>
                  </w:divBdr>
                </w:div>
              </w:divsChild>
            </w:div>
            <w:div w:id="986401507">
              <w:marLeft w:val="0"/>
              <w:marRight w:val="0"/>
              <w:marTop w:val="0"/>
              <w:marBottom w:val="240"/>
              <w:divBdr>
                <w:top w:val="none" w:sz="0" w:space="0" w:color="auto"/>
                <w:left w:val="none" w:sz="0" w:space="0" w:color="auto"/>
                <w:bottom w:val="none" w:sz="0" w:space="0" w:color="auto"/>
                <w:right w:val="none" w:sz="0" w:space="0" w:color="auto"/>
              </w:divBdr>
              <w:divsChild>
                <w:div w:id="974067131">
                  <w:marLeft w:val="0"/>
                  <w:marRight w:val="0"/>
                  <w:marTop w:val="0"/>
                  <w:marBottom w:val="0"/>
                  <w:divBdr>
                    <w:top w:val="none" w:sz="0" w:space="0" w:color="auto"/>
                    <w:left w:val="none" w:sz="0" w:space="0" w:color="auto"/>
                    <w:bottom w:val="none" w:sz="0" w:space="0" w:color="auto"/>
                    <w:right w:val="none" w:sz="0" w:space="0" w:color="auto"/>
                  </w:divBdr>
                </w:div>
              </w:divsChild>
            </w:div>
            <w:div w:id="993218635">
              <w:marLeft w:val="0"/>
              <w:marRight w:val="0"/>
              <w:marTop w:val="0"/>
              <w:marBottom w:val="180"/>
              <w:divBdr>
                <w:top w:val="none" w:sz="0" w:space="0" w:color="auto"/>
                <w:left w:val="none" w:sz="0" w:space="0" w:color="auto"/>
                <w:bottom w:val="none" w:sz="0" w:space="0" w:color="auto"/>
                <w:right w:val="none" w:sz="0" w:space="0" w:color="auto"/>
              </w:divBdr>
              <w:divsChild>
                <w:div w:id="57824303">
                  <w:marLeft w:val="0"/>
                  <w:marRight w:val="0"/>
                  <w:marTop w:val="0"/>
                  <w:marBottom w:val="0"/>
                  <w:divBdr>
                    <w:top w:val="none" w:sz="0" w:space="0" w:color="auto"/>
                    <w:left w:val="none" w:sz="0" w:space="0" w:color="auto"/>
                    <w:bottom w:val="none" w:sz="0" w:space="0" w:color="auto"/>
                    <w:right w:val="none" w:sz="0" w:space="0" w:color="auto"/>
                  </w:divBdr>
                </w:div>
              </w:divsChild>
            </w:div>
            <w:div w:id="1175994652">
              <w:marLeft w:val="0"/>
              <w:marRight w:val="0"/>
              <w:marTop w:val="0"/>
              <w:marBottom w:val="180"/>
              <w:divBdr>
                <w:top w:val="none" w:sz="0" w:space="0" w:color="auto"/>
                <w:left w:val="none" w:sz="0" w:space="0" w:color="auto"/>
                <w:bottom w:val="none" w:sz="0" w:space="0" w:color="auto"/>
                <w:right w:val="none" w:sz="0" w:space="0" w:color="auto"/>
              </w:divBdr>
              <w:divsChild>
                <w:div w:id="1742676879">
                  <w:marLeft w:val="0"/>
                  <w:marRight w:val="0"/>
                  <w:marTop w:val="0"/>
                  <w:marBottom w:val="0"/>
                  <w:divBdr>
                    <w:top w:val="none" w:sz="0" w:space="0" w:color="auto"/>
                    <w:left w:val="none" w:sz="0" w:space="0" w:color="auto"/>
                    <w:bottom w:val="none" w:sz="0" w:space="0" w:color="auto"/>
                    <w:right w:val="none" w:sz="0" w:space="0" w:color="auto"/>
                  </w:divBdr>
                </w:div>
              </w:divsChild>
            </w:div>
            <w:div w:id="1407916746">
              <w:marLeft w:val="0"/>
              <w:marRight w:val="0"/>
              <w:marTop w:val="0"/>
              <w:marBottom w:val="240"/>
              <w:divBdr>
                <w:top w:val="none" w:sz="0" w:space="0" w:color="auto"/>
                <w:left w:val="none" w:sz="0" w:space="0" w:color="auto"/>
                <w:bottom w:val="none" w:sz="0" w:space="0" w:color="auto"/>
                <w:right w:val="none" w:sz="0" w:space="0" w:color="auto"/>
              </w:divBdr>
              <w:divsChild>
                <w:div w:id="1602033057">
                  <w:marLeft w:val="0"/>
                  <w:marRight w:val="0"/>
                  <w:marTop w:val="0"/>
                  <w:marBottom w:val="0"/>
                  <w:divBdr>
                    <w:top w:val="none" w:sz="0" w:space="0" w:color="auto"/>
                    <w:left w:val="none" w:sz="0" w:space="0" w:color="auto"/>
                    <w:bottom w:val="none" w:sz="0" w:space="0" w:color="auto"/>
                    <w:right w:val="none" w:sz="0" w:space="0" w:color="auto"/>
                  </w:divBdr>
                </w:div>
              </w:divsChild>
            </w:div>
            <w:div w:id="1433360725">
              <w:marLeft w:val="0"/>
              <w:marRight w:val="0"/>
              <w:marTop w:val="0"/>
              <w:marBottom w:val="180"/>
              <w:divBdr>
                <w:top w:val="none" w:sz="0" w:space="0" w:color="auto"/>
                <w:left w:val="none" w:sz="0" w:space="0" w:color="auto"/>
                <w:bottom w:val="none" w:sz="0" w:space="0" w:color="auto"/>
                <w:right w:val="none" w:sz="0" w:space="0" w:color="auto"/>
              </w:divBdr>
              <w:divsChild>
                <w:div w:id="1174682263">
                  <w:marLeft w:val="0"/>
                  <w:marRight w:val="0"/>
                  <w:marTop w:val="0"/>
                  <w:marBottom w:val="0"/>
                  <w:divBdr>
                    <w:top w:val="none" w:sz="0" w:space="0" w:color="auto"/>
                    <w:left w:val="none" w:sz="0" w:space="0" w:color="auto"/>
                    <w:bottom w:val="none" w:sz="0" w:space="0" w:color="auto"/>
                    <w:right w:val="none" w:sz="0" w:space="0" w:color="auto"/>
                  </w:divBdr>
                </w:div>
              </w:divsChild>
            </w:div>
            <w:div w:id="1611667993">
              <w:marLeft w:val="0"/>
              <w:marRight w:val="0"/>
              <w:marTop w:val="0"/>
              <w:marBottom w:val="180"/>
              <w:divBdr>
                <w:top w:val="none" w:sz="0" w:space="0" w:color="auto"/>
                <w:left w:val="none" w:sz="0" w:space="0" w:color="auto"/>
                <w:bottom w:val="none" w:sz="0" w:space="0" w:color="auto"/>
                <w:right w:val="none" w:sz="0" w:space="0" w:color="auto"/>
              </w:divBdr>
              <w:divsChild>
                <w:div w:id="1072124606">
                  <w:marLeft w:val="0"/>
                  <w:marRight w:val="0"/>
                  <w:marTop w:val="0"/>
                  <w:marBottom w:val="0"/>
                  <w:divBdr>
                    <w:top w:val="none" w:sz="0" w:space="0" w:color="auto"/>
                    <w:left w:val="none" w:sz="0" w:space="0" w:color="auto"/>
                    <w:bottom w:val="none" w:sz="0" w:space="0" w:color="auto"/>
                    <w:right w:val="none" w:sz="0" w:space="0" w:color="auto"/>
                  </w:divBdr>
                </w:div>
              </w:divsChild>
            </w:div>
            <w:div w:id="1672292030">
              <w:marLeft w:val="0"/>
              <w:marRight w:val="0"/>
              <w:marTop w:val="0"/>
              <w:marBottom w:val="240"/>
              <w:divBdr>
                <w:top w:val="none" w:sz="0" w:space="0" w:color="auto"/>
                <w:left w:val="none" w:sz="0" w:space="0" w:color="auto"/>
                <w:bottom w:val="none" w:sz="0" w:space="0" w:color="auto"/>
                <w:right w:val="none" w:sz="0" w:space="0" w:color="auto"/>
              </w:divBdr>
              <w:divsChild>
                <w:div w:id="1798257454">
                  <w:marLeft w:val="0"/>
                  <w:marRight w:val="0"/>
                  <w:marTop w:val="0"/>
                  <w:marBottom w:val="0"/>
                  <w:divBdr>
                    <w:top w:val="none" w:sz="0" w:space="0" w:color="auto"/>
                    <w:left w:val="none" w:sz="0" w:space="0" w:color="auto"/>
                    <w:bottom w:val="none" w:sz="0" w:space="0" w:color="auto"/>
                    <w:right w:val="none" w:sz="0" w:space="0" w:color="auto"/>
                  </w:divBdr>
                </w:div>
              </w:divsChild>
            </w:div>
            <w:div w:id="1746340904">
              <w:marLeft w:val="0"/>
              <w:marRight w:val="0"/>
              <w:marTop w:val="0"/>
              <w:marBottom w:val="240"/>
              <w:divBdr>
                <w:top w:val="none" w:sz="0" w:space="0" w:color="auto"/>
                <w:left w:val="none" w:sz="0" w:space="0" w:color="auto"/>
                <w:bottom w:val="none" w:sz="0" w:space="0" w:color="auto"/>
                <w:right w:val="none" w:sz="0" w:space="0" w:color="auto"/>
              </w:divBdr>
              <w:divsChild>
                <w:div w:id="2019192826">
                  <w:marLeft w:val="0"/>
                  <w:marRight w:val="0"/>
                  <w:marTop w:val="0"/>
                  <w:marBottom w:val="0"/>
                  <w:divBdr>
                    <w:top w:val="none" w:sz="0" w:space="0" w:color="auto"/>
                    <w:left w:val="none" w:sz="0" w:space="0" w:color="auto"/>
                    <w:bottom w:val="none" w:sz="0" w:space="0" w:color="auto"/>
                    <w:right w:val="none" w:sz="0" w:space="0" w:color="auto"/>
                  </w:divBdr>
                </w:div>
              </w:divsChild>
            </w:div>
            <w:div w:id="1927182327">
              <w:marLeft w:val="0"/>
              <w:marRight w:val="0"/>
              <w:marTop w:val="0"/>
              <w:marBottom w:val="180"/>
              <w:divBdr>
                <w:top w:val="none" w:sz="0" w:space="0" w:color="auto"/>
                <w:left w:val="none" w:sz="0" w:space="0" w:color="auto"/>
                <w:bottom w:val="none" w:sz="0" w:space="0" w:color="auto"/>
                <w:right w:val="none" w:sz="0" w:space="0" w:color="auto"/>
              </w:divBdr>
              <w:divsChild>
                <w:div w:id="2058511070">
                  <w:marLeft w:val="0"/>
                  <w:marRight w:val="0"/>
                  <w:marTop w:val="0"/>
                  <w:marBottom w:val="0"/>
                  <w:divBdr>
                    <w:top w:val="none" w:sz="0" w:space="0" w:color="auto"/>
                    <w:left w:val="none" w:sz="0" w:space="0" w:color="auto"/>
                    <w:bottom w:val="none" w:sz="0" w:space="0" w:color="auto"/>
                    <w:right w:val="none" w:sz="0" w:space="0" w:color="auto"/>
                  </w:divBdr>
                </w:div>
              </w:divsChild>
            </w:div>
            <w:div w:id="2113937438">
              <w:marLeft w:val="0"/>
              <w:marRight w:val="0"/>
              <w:marTop w:val="0"/>
              <w:marBottom w:val="240"/>
              <w:divBdr>
                <w:top w:val="none" w:sz="0" w:space="0" w:color="auto"/>
                <w:left w:val="none" w:sz="0" w:space="0" w:color="auto"/>
                <w:bottom w:val="none" w:sz="0" w:space="0" w:color="auto"/>
                <w:right w:val="none" w:sz="0" w:space="0" w:color="auto"/>
              </w:divBdr>
              <w:divsChild>
                <w:div w:id="343677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4157672">
          <w:marLeft w:val="0"/>
          <w:marRight w:val="0"/>
          <w:marTop w:val="100"/>
          <w:marBottom w:val="0"/>
          <w:divBdr>
            <w:top w:val="none" w:sz="0" w:space="0" w:color="auto"/>
            <w:left w:val="none" w:sz="0" w:space="0" w:color="auto"/>
            <w:bottom w:val="none" w:sz="0" w:space="0" w:color="auto"/>
            <w:right w:val="none" w:sz="0" w:space="0" w:color="auto"/>
          </w:divBdr>
          <w:divsChild>
            <w:div w:id="1597327424">
              <w:marLeft w:val="0"/>
              <w:marRight w:val="0"/>
              <w:marTop w:val="0"/>
              <w:marBottom w:val="0"/>
              <w:divBdr>
                <w:top w:val="none" w:sz="0" w:space="0" w:color="auto"/>
                <w:left w:val="none" w:sz="0" w:space="0" w:color="auto"/>
                <w:bottom w:val="none" w:sz="0" w:space="0" w:color="auto"/>
                <w:right w:val="none" w:sz="0" w:space="0" w:color="auto"/>
              </w:divBdr>
              <w:divsChild>
                <w:div w:id="1658411257">
                  <w:marLeft w:val="0"/>
                  <w:marRight w:val="0"/>
                  <w:marTop w:val="0"/>
                  <w:marBottom w:val="0"/>
                  <w:divBdr>
                    <w:top w:val="none" w:sz="0" w:space="0" w:color="auto"/>
                    <w:left w:val="none" w:sz="0" w:space="0" w:color="auto"/>
                    <w:bottom w:val="none" w:sz="0" w:space="0" w:color="auto"/>
                    <w:right w:val="none" w:sz="0" w:space="0" w:color="auto"/>
                  </w:divBdr>
                  <w:divsChild>
                    <w:div w:id="135804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227117">
      <w:bodyDiv w:val="1"/>
      <w:marLeft w:val="0"/>
      <w:marRight w:val="0"/>
      <w:marTop w:val="0"/>
      <w:marBottom w:val="0"/>
      <w:divBdr>
        <w:top w:val="none" w:sz="0" w:space="0" w:color="auto"/>
        <w:left w:val="none" w:sz="0" w:space="0" w:color="auto"/>
        <w:bottom w:val="none" w:sz="0" w:space="0" w:color="auto"/>
        <w:right w:val="none" w:sz="0" w:space="0" w:color="auto"/>
      </w:divBdr>
    </w:div>
    <w:div w:id="195503439">
      <w:bodyDiv w:val="1"/>
      <w:marLeft w:val="0"/>
      <w:marRight w:val="0"/>
      <w:marTop w:val="0"/>
      <w:marBottom w:val="0"/>
      <w:divBdr>
        <w:top w:val="none" w:sz="0" w:space="0" w:color="auto"/>
        <w:left w:val="none" w:sz="0" w:space="0" w:color="auto"/>
        <w:bottom w:val="none" w:sz="0" w:space="0" w:color="auto"/>
        <w:right w:val="none" w:sz="0" w:space="0" w:color="auto"/>
      </w:divBdr>
    </w:div>
    <w:div w:id="225921837">
      <w:bodyDiv w:val="1"/>
      <w:marLeft w:val="0"/>
      <w:marRight w:val="0"/>
      <w:marTop w:val="0"/>
      <w:marBottom w:val="0"/>
      <w:divBdr>
        <w:top w:val="none" w:sz="0" w:space="0" w:color="auto"/>
        <w:left w:val="none" w:sz="0" w:space="0" w:color="auto"/>
        <w:bottom w:val="none" w:sz="0" w:space="0" w:color="auto"/>
        <w:right w:val="none" w:sz="0" w:space="0" w:color="auto"/>
      </w:divBdr>
    </w:div>
    <w:div w:id="304167511">
      <w:bodyDiv w:val="1"/>
      <w:marLeft w:val="0"/>
      <w:marRight w:val="0"/>
      <w:marTop w:val="0"/>
      <w:marBottom w:val="0"/>
      <w:divBdr>
        <w:top w:val="none" w:sz="0" w:space="0" w:color="auto"/>
        <w:left w:val="none" w:sz="0" w:space="0" w:color="auto"/>
        <w:bottom w:val="none" w:sz="0" w:space="0" w:color="auto"/>
        <w:right w:val="none" w:sz="0" w:space="0" w:color="auto"/>
      </w:divBdr>
    </w:div>
    <w:div w:id="312753755">
      <w:bodyDiv w:val="1"/>
      <w:marLeft w:val="0"/>
      <w:marRight w:val="0"/>
      <w:marTop w:val="0"/>
      <w:marBottom w:val="0"/>
      <w:divBdr>
        <w:top w:val="none" w:sz="0" w:space="0" w:color="auto"/>
        <w:left w:val="none" w:sz="0" w:space="0" w:color="auto"/>
        <w:bottom w:val="none" w:sz="0" w:space="0" w:color="auto"/>
        <w:right w:val="none" w:sz="0" w:space="0" w:color="auto"/>
      </w:divBdr>
    </w:div>
    <w:div w:id="342972487">
      <w:bodyDiv w:val="1"/>
      <w:marLeft w:val="0"/>
      <w:marRight w:val="0"/>
      <w:marTop w:val="0"/>
      <w:marBottom w:val="0"/>
      <w:divBdr>
        <w:top w:val="none" w:sz="0" w:space="0" w:color="auto"/>
        <w:left w:val="none" w:sz="0" w:space="0" w:color="auto"/>
        <w:bottom w:val="none" w:sz="0" w:space="0" w:color="auto"/>
        <w:right w:val="none" w:sz="0" w:space="0" w:color="auto"/>
      </w:divBdr>
      <w:divsChild>
        <w:div w:id="63456695">
          <w:marLeft w:val="0"/>
          <w:marRight w:val="0"/>
          <w:marTop w:val="100"/>
          <w:marBottom w:val="0"/>
          <w:divBdr>
            <w:top w:val="none" w:sz="0" w:space="0" w:color="auto"/>
            <w:left w:val="none" w:sz="0" w:space="0" w:color="auto"/>
            <w:bottom w:val="none" w:sz="0" w:space="0" w:color="auto"/>
            <w:right w:val="none" w:sz="0" w:space="0" w:color="auto"/>
          </w:divBdr>
          <w:divsChild>
            <w:div w:id="288635878">
              <w:marLeft w:val="0"/>
              <w:marRight w:val="0"/>
              <w:marTop w:val="0"/>
              <w:marBottom w:val="0"/>
              <w:divBdr>
                <w:top w:val="none" w:sz="0" w:space="0" w:color="auto"/>
                <w:left w:val="none" w:sz="0" w:space="0" w:color="auto"/>
                <w:bottom w:val="none" w:sz="0" w:space="0" w:color="auto"/>
                <w:right w:val="none" w:sz="0" w:space="0" w:color="auto"/>
              </w:divBdr>
              <w:divsChild>
                <w:div w:id="1502888665">
                  <w:marLeft w:val="0"/>
                  <w:marRight w:val="0"/>
                  <w:marTop w:val="0"/>
                  <w:marBottom w:val="0"/>
                  <w:divBdr>
                    <w:top w:val="none" w:sz="0" w:space="0" w:color="auto"/>
                    <w:left w:val="none" w:sz="0" w:space="0" w:color="auto"/>
                    <w:bottom w:val="none" w:sz="0" w:space="0" w:color="auto"/>
                    <w:right w:val="none" w:sz="0" w:space="0" w:color="auto"/>
                  </w:divBdr>
                  <w:divsChild>
                    <w:div w:id="80641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6318060">
          <w:marLeft w:val="0"/>
          <w:marRight w:val="0"/>
          <w:marTop w:val="100"/>
          <w:marBottom w:val="100"/>
          <w:divBdr>
            <w:top w:val="none" w:sz="0" w:space="0" w:color="auto"/>
            <w:left w:val="none" w:sz="0" w:space="0" w:color="auto"/>
            <w:bottom w:val="none" w:sz="0" w:space="0" w:color="auto"/>
            <w:right w:val="none" w:sz="0" w:space="0" w:color="auto"/>
          </w:divBdr>
          <w:divsChild>
            <w:div w:id="3095701">
              <w:marLeft w:val="0"/>
              <w:marRight w:val="0"/>
              <w:marTop w:val="0"/>
              <w:marBottom w:val="180"/>
              <w:divBdr>
                <w:top w:val="none" w:sz="0" w:space="0" w:color="auto"/>
                <w:left w:val="none" w:sz="0" w:space="0" w:color="auto"/>
                <w:bottom w:val="none" w:sz="0" w:space="0" w:color="auto"/>
                <w:right w:val="none" w:sz="0" w:space="0" w:color="auto"/>
              </w:divBdr>
              <w:divsChild>
                <w:div w:id="475806817">
                  <w:marLeft w:val="0"/>
                  <w:marRight w:val="0"/>
                  <w:marTop w:val="0"/>
                  <w:marBottom w:val="0"/>
                  <w:divBdr>
                    <w:top w:val="none" w:sz="0" w:space="0" w:color="auto"/>
                    <w:left w:val="none" w:sz="0" w:space="0" w:color="auto"/>
                    <w:bottom w:val="none" w:sz="0" w:space="0" w:color="auto"/>
                    <w:right w:val="none" w:sz="0" w:space="0" w:color="auto"/>
                  </w:divBdr>
                </w:div>
              </w:divsChild>
            </w:div>
            <w:div w:id="323752026">
              <w:marLeft w:val="0"/>
              <w:marRight w:val="0"/>
              <w:marTop w:val="0"/>
              <w:marBottom w:val="180"/>
              <w:divBdr>
                <w:top w:val="none" w:sz="0" w:space="0" w:color="auto"/>
                <w:left w:val="none" w:sz="0" w:space="0" w:color="auto"/>
                <w:bottom w:val="none" w:sz="0" w:space="0" w:color="auto"/>
                <w:right w:val="none" w:sz="0" w:space="0" w:color="auto"/>
              </w:divBdr>
              <w:divsChild>
                <w:div w:id="1619754574">
                  <w:marLeft w:val="0"/>
                  <w:marRight w:val="0"/>
                  <w:marTop w:val="0"/>
                  <w:marBottom w:val="0"/>
                  <w:divBdr>
                    <w:top w:val="none" w:sz="0" w:space="0" w:color="auto"/>
                    <w:left w:val="none" w:sz="0" w:space="0" w:color="auto"/>
                    <w:bottom w:val="none" w:sz="0" w:space="0" w:color="auto"/>
                    <w:right w:val="none" w:sz="0" w:space="0" w:color="auto"/>
                  </w:divBdr>
                </w:div>
              </w:divsChild>
            </w:div>
            <w:div w:id="344064493">
              <w:marLeft w:val="0"/>
              <w:marRight w:val="0"/>
              <w:marTop w:val="0"/>
              <w:marBottom w:val="180"/>
              <w:divBdr>
                <w:top w:val="none" w:sz="0" w:space="0" w:color="auto"/>
                <w:left w:val="none" w:sz="0" w:space="0" w:color="auto"/>
                <w:bottom w:val="none" w:sz="0" w:space="0" w:color="auto"/>
                <w:right w:val="none" w:sz="0" w:space="0" w:color="auto"/>
              </w:divBdr>
              <w:divsChild>
                <w:div w:id="472253514">
                  <w:marLeft w:val="0"/>
                  <w:marRight w:val="0"/>
                  <w:marTop w:val="0"/>
                  <w:marBottom w:val="0"/>
                  <w:divBdr>
                    <w:top w:val="none" w:sz="0" w:space="0" w:color="auto"/>
                    <w:left w:val="none" w:sz="0" w:space="0" w:color="auto"/>
                    <w:bottom w:val="none" w:sz="0" w:space="0" w:color="auto"/>
                    <w:right w:val="none" w:sz="0" w:space="0" w:color="auto"/>
                  </w:divBdr>
                </w:div>
              </w:divsChild>
            </w:div>
            <w:div w:id="473957746">
              <w:marLeft w:val="0"/>
              <w:marRight w:val="0"/>
              <w:marTop w:val="0"/>
              <w:marBottom w:val="240"/>
              <w:divBdr>
                <w:top w:val="none" w:sz="0" w:space="0" w:color="auto"/>
                <w:left w:val="none" w:sz="0" w:space="0" w:color="auto"/>
                <w:bottom w:val="none" w:sz="0" w:space="0" w:color="auto"/>
                <w:right w:val="none" w:sz="0" w:space="0" w:color="auto"/>
              </w:divBdr>
              <w:divsChild>
                <w:div w:id="688802622">
                  <w:marLeft w:val="0"/>
                  <w:marRight w:val="0"/>
                  <w:marTop w:val="0"/>
                  <w:marBottom w:val="0"/>
                  <w:divBdr>
                    <w:top w:val="none" w:sz="0" w:space="0" w:color="auto"/>
                    <w:left w:val="none" w:sz="0" w:space="0" w:color="auto"/>
                    <w:bottom w:val="none" w:sz="0" w:space="0" w:color="auto"/>
                    <w:right w:val="none" w:sz="0" w:space="0" w:color="auto"/>
                  </w:divBdr>
                </w:div>
              </w:divsChild>
            </w:div>
            <w:div w:id="603852006">
              <w:marLeft w:val="0"/>
              <w:marRight w:val="0"/>
              <w:marTop w:val="0"/>
              <w:marBottom w:val="180"/>
              <w:divBdr>
                <w:top w:val="none" w:sz="0" w:space="0" w:color="auto"/>
                <w:left w:val="none" w:sz="0" w:space="0" w:color="auto"/>
                <w:bottom w:val="none" w:sz="0" w:space="0" w:color="auto"/>
                <w:right w:val="none" w:sz="0" w:space="0" w:color="auto"/>
              </w:divBdr>
              <w:divsChild>
                <w:div w:id="1255240556">
                  <w:marLeft w:val="0"/>
                  <w:marRight w:val="0"/>
                  <w:marTop w:val="0"/>
                  <w:marBottom w:val="0"/>
                  <w:divBdr>
                    <w:top w:val="none" w:sz="0" w:space="0" w:color="auto"/>
                    <w:left w:val="none" w:sz="0" w:space="0" w:color="auto"/>
                    <w:bottom w:val="none" w:sz="0" w:space="0" w:color="auto"/>
                    <w:right w:val="none" w:sz="0" w:space="0" w:color="auto"/>
                  </w:divBdr>
                </w:div>
              </w:divsChild>
            </w:div>
            <w:div w:id="621305082">
              <w:marLeft w:val="0"/>
              <w:marRight w:val="0"/>
              <w:marTop w:val="0"/>
              <w:marBottom w:val="240"/>
              <w:divBdr>
                <w:top w:val="none" w:sz="0" w:space="0" w:color="auto"/>
                <w:left w:val="none" w:sz="0" w:space="0" w:color="auto"/>
                <w:bottom w:val="none" w:sz="0" w:space="0" w:color="auto"/>
                <w:right w:val="none" w:sz="0" w:space="0" w:color="auto"/>
              </w:divBdr>
              <w:divsChild>
                <w:div w:id="2012826260">
                  <w:marLeft w:val="0"/>
                  <w:marRight w:val="0"/>
                  <w:marTop w:val="0"/>
                  <w:marBottom w:val="0"/>
                  <w:divBdr>
                    <w:top w:val="none" w:sz="0" w:space="0" w:color="auto"/>
                    <w:left w:val="none" w:sz="0" w:space="0" w:color="auto"/>
                    <w:bottom w:val="none" w:sz="0" w:space="0" w:color="auto"/>
                    <w:right w:val="none" w:sz="0" w:space="0" w:color="auto"/>
                  </w:divBdr>
                </w:div>
              </w:divsChild>
            </w:div>
            <w:div w:id="646131281">
              <w:marLeft w:val="0"/>
              <w:marRight w:val="0"/>
              <w:marTop w:val="0"/>
              <w:marBottom w:val="180"/>
              <w:divBdr>
                <w:top w:val="none" w:sz="0" w:space="0" w:color="auto"/>
                <w:left w:val="none" w:sz="0" w:space="0" w:color="auto"/>
                <w:bottom w:val="none" w:sz="0" w:space="0" w:color="auto"/>
                <w:right w:val="none" w:sz="0" w:space="0" w:color="auto"/>
              </w:divBdr>
              <w:divsChild>
                <w:div w:id="1717074393">
                  <w:marLeft w:val="0"/>
                  <w:marRight w:val="0"/>
                  <w:marTop w:val="0"/>
                  <w:marBottom w:val="0"/>
                  <w:divBdr>
                    <w:top w:val="none" w:sz="0" w:space="0" w:color="auto"/>
                    <w:left w:val="none" w:sz="0" w:space="0" w:color="auto"/>
                    <w:bottom w:val="none" w:sz="0" w:space="0" w:color="auto"/>
                    <w:right w:val="none" w:sz="0" w:space="0" w:color="auto"/>
                  </w:divBdr>
                </w:div>
              </w:divsChild>
            </w:div>
            <w:div w:id="1247225050">
              <w:marLeft w:val="0"/>
              <w:marRight w:val="0"/>
              <w:marTop w:val="0"/>
              <w:marBottom w:val="240"/>
              <w:divBdr>
                <w:top w:val="none" w:sz="0" w:space="0" w:color="auto"/>
                <w:left w:val="none" w:sz="0" w:space="0" w:color="auto"/>
                <w:bottom w:val="none" w:sz="0" w:space="0" w:color="auto"/>
                <w:right w:val="none" w:sz="0" w:space="0" w:color="auto"/>
              </w:divBdr>
              <w:divsChild>
                <w:div w:id="1596403060">
                  <w:marLeft w:val="0"/>
                  <w:marRight w:val="0"/>
                  <w:marTop w:val="0"/>
                  <w:marBottom w:val="0"/>
                  <w:divBdr>
                    <w:top w:val="none" w:sz="0" w:space="0" w:color="auto"/>
                    <w:left w:val="none" w:sz="0" w:space="0" w:color="auto"/>
                    <w:bottom w:val="none" w:sz="0" w:space="0" w:color="auto"/>
                    <w:right w:val="none" w:sz="0" w:space="0" w:color="auto"/>
                  </w:divBdr>
                </w:div>
              </w:divsChild>
            </w:div>
            <w:div w:id="1371950440">
              <w:marLeft w:val="0"/>
              <w:marRight w:val="0"/>
              <w:marTop w:val="0"/>
              <w:marBottom w:val="240"/>
              <w:divBdr>
                <w:top w:val="none" w:sz="0" w:space="0" w:color="auto"/>
                <w:left w:val="none" w:sz="0" w:space="0" w:color="auto"/>
                <w:bottom w:val="none" w:sz="0" w:space="0" w:color="auto"/>
                <w:right w:val="none" w:sz="0" w:space="0" w:color="auto"/>
              </w:divBdr>
              <w:divsChild>
                <w:div w:id="1776173730">
                  <w:marLeft w:val="0"/>
                  <w:marRight w:val="0"/>
                  <w:marTop w:val="0"/>
                  <w:marBottom w:val="0"/>
                  <w:divBdr>
                    <w:top w:val="none" w:sz="0" w:space="0" w:color="auto"/>
                    <w:left w:val="none" w:sz="0" w:space="0" w:color="auto"/>
                    <w:bottom w:val="none" w:sz="0" w:space="0" w:color="auto"/>
                    <w:right w:val="none" w:sz="0" w:space="0" w:color="auto"/>
                  </w:divBdr>
                </w:div>
              </w:divsChild>
            </w:div>
            <w:div w:id="1680497015">
              <w:marLeft w:val="0"/>
              <w:marRight w:val="0"/>
              <w:marTop w:val="0"/>
              <w:marBottom w:val="240"/>
              <w:divBdr>
                <w:top w:val="none" w:sz="0" w:space="0" w:color="auto"/>
                <w:left w:val="none" w:sz="0" w:space="0" w:color="auto"/>
                <w:bottom w:val="none" w:sz="0" w:space="0" w:color="auto"/>
                <w:right w:val="none" w:sz="0" w:space="0" w:color="auto"/>
              </w:divBdr>
              <w:divsChild>
                <w:div w:id="1819954234">
                  <w:marLeft w:val="0"/>
                  <w:marRight w:val="0"/>
                  <w:marTop w:val="0"/>
                  <w:marBottom w:val="0"/>
                  <w:divBdr>
                    <w:top w:val="none" w:sz="0" w:space="0" w:color="auto"/>
                    <w:left w:val="none" w:sz="0" w:space="0" w:color="auto"/>
                    <w:bottom w:val="none" w:sz="0" w:space="0" w:color="auto"/>
                    <w:right w:val="none" w:sz="0" w:space="0" w:color="auto"/>
                  </w:divBdr>
                </w:div>
              </w:divsChild>
            </w:div>
            <w:div w:id="1954551740">
              <w:marLeft w:val="0"/>
              <w:marRight w:val="0"/>
              <w:marTop w:val="0"/>
              <w:marBottom w:val="0"/>
              <w:divBdr>
                <w:top w:val="none" w:sz="0" w:space="0" w:color="auto"/>
                <w:left w:val="none" w:sz="0" w:space="0" w:color="auto"/>
                <w:bottom w:val="none" w:sz="0" w:space="0" w:color="auto"/>
                <w:right w:val="none" w:sz="0" w:space="0" w:color="auto"/>
              </w:divBdr>
              <w:divsChild>
                <w:div w:id="445661662">
                  <w:marLeft w:val="0"/>
                  <w:marRight w:val="0"/>
                  <w:marTop w:val="0"/>
                  <w:marBottom w:val="0"/>
                  <w:divBdr>
                    <w:top w:val="none" w:sz="0" w:space="0" w:color="auto"/>
                    <w:left w:val="none" w:sz="0" w:space="0" w:color="auto"/>
                    <w:bottom w:val="none" w:sz="0" w:space="0" w:color="auto"/>
                    <w:right w:val="none" w:sz="0" w:space="0" w:color="auto"/>
                  </w:divBdr>
                </w:div>
              </w:divsChild>
            </w:div>
            <w:div w:id="1997804789">
              <w:marLeft w:val="0"/>
              <w:marRight w:val="0"/>
              <w:marTop w:val="0"/>
              <w:marBottom w:val="240"/>
              <w:divBdr>
                <w:top w:val="none" w:sz="0" w:space="0" w:color="auto"/>
                <w:left w:val="none" w:sz="0" w:space="0" w:color="auto"/>
                <w:bottom w:val="none" w:sz="0" w:space="0" w:color="auto"/>
                <w:right w:val="none" w:sz="0" w:space="0" w:color="auto"/>
              </w:divBdr>
              <w:divsChild>
                <w:div w:id="445270962">
                  <w:marLeft w:val="0"/>
                  <w:marRight w:val="0"/>
                  <w:marTop w:val="0"/>
                  <w:marBottom w:val="0"/>
                  <w:divBdr>
                    <w:top w:val="none" w:sz="0" w:space="0" w:color="auto"/>
                    <w:left w:val="none" w:sz="0" w:space="0" w:color="auto"/>
                    <w:bottom w:val="none" w:sz="0" w:space="0" w:color="auto"/>
                    <w:right w:val="none" w:sz="0" w:space="0" w:color="auto"/>
                  </w:divBdr>
                </w:div>
              </w:divsChild>
            </w:div>
            <w:div w:id="2043746430">
              <w:marLeft w:val="0"/>
              <w:marRight w:val="0"/>
              <w:marTop w:val="0"/>
              <w:marBottom w:val="180"/>
              <w:divBdr>
                <w:top w:val="none" w:sz="0" w:space="0" w:color="auto"/>
                <w:left w:val="none" w:sz="0" w:space="0" w:color="auto"/>
                <w:bottom w:val="none" w:sz="0" w:space="0" w:color="auto"/>
                <w:right w:val="none" w:sz="0" w:space="0" w:color="auto"/>
              </w:divBdr>
              <w:divsChild>
                <w:div w:id="2052458473">
                  <w:marLeft w:val="0"/>
                  <w:marRight w:val="0"/>
                  <w:marTop w:val="0"/>
                  <w:marBottom w:val="0"/>
                  <w:divBdr>
                    <w:top w:val="none" w:sz="0" w:space="0" w:color="auto"/>
                    <w:left w:val="none" w:sz="0" w:space="0" w:color="auto"/>
                    <w:bottom w:val="none" w:sz="0" w:space="0" w:color="auto"/>
                    <w:right w:val="none" w:sz="0" w:space="0" w:color="auto"/>
                  </w:divBdr>
                </w:div>
              </w:divsChild>
            </w:div>
            <w:div w:id="2122869681">
              <w:marLeft w:val="0"/>
              <w:marRight w:val="0"/>
              <w:marTop w:val="0"/>
              <w:marBottom w:val="240"/>
              <w:divBdr>
                <w:top w:val="none" w:sz="0" w:space="0" w:color="auto"/>
                <w:left w:val="none" w:sz="0" w:space="0" w:color="auto"/>
                <w:bottom w:val="none" w:sz="0" w:space="0" w:color="auto"/>
                <w:right w:val="none" w:sz="0" w:space="0" w:color="auto"/>
              </w:divBdr>
              <w:divsChild>
                <w:div w:id="1795176812">
                  <w:marLeft w:val="0"/>
                  <w:marRight w:val="0"/>
                  <w:marTop w:val="0"/>
                  <w:marBottom w:val="0"/>
                  <w:divBdr>
                    <w:top w:val="none" w:sz="0" w:space="0" w:color="auto"/>
                    <w:left w:val="none" w:sz="0" w:space="0" w:color="auto"/>
                    <w:bottom w:val="none" w:sz="0" w:space="0" w:color="auto"/>
                    <w:right w:val="none" w:sz="0" w:space="0" w:color="auto"/>
                  </w:divBdr>
                </w:div>
              </w:divsChild>
            </w:div>
            <w:div w:id="2146584420">
              <w:marLeft w:val="0"/>
              <w:marRight w:val="0"/>
              <w:marTop w:val="0"/>
              <w:marBottom w:val="180"/>
              <w:divBdr>
                <w:top w:val="none" w:sz="0" w:space="0" w:color="auto"/>
                <w:left w:val="none" w:sz="0" w:space="0" w:color="auto"/>
                <w:bottom w:val="none" w:sz="0" w:space="0" w:color="auto"/>
                <w:right w:val="none" w:sz="0" w:space="0" w:color="auto"/>
              </w:divBdr>
              <w:divsChild>
                <w:div w:id="1871186217">
                  <w:marLeft w:val="0"/>
                  <w:marRight w:val="0"/>
                  <w:marTop w:val="0"/>
                  <w:marBottom w:val="0"/>
                  <w:divBdr>
                    <w:top w:val="none" w:sz="0" w:space="0" w:color="auto"/>
                    <w:left w:val="none" w:sz="0" w:space="0" w:color="auto"/>
                    <w:bottom w:val="none" w:sz="0" w:space="0" w:color="auto"/>
                    <w:right w:val="none" w:sz="0" w:space="0" w:color="auto"/>
                  </w:divBdr>
                  <w:divsChild>
                    <w:div w:id="1384790566">
                      <w:blockQuote w:val="1"/>
                      <w:marLeft w:val="0"/>
                      <w:marRight w:val="0"/>
                      <w:marTop w:val="0"/>
                      <w:marBottom w:val="0"/>
                      <w:divBdr>
                        <w:top w:val="none" w:sz="0" w:space="0" w:color="auto"/>
                        <w:left w:val="none" w:sz="0" w:space="0" w:color="auto"/>
                        <w:bottom w:val="none" w:sz="0" w:space="0" w:color="auto"/>
                        <w:right w:val="none" w:sz="0" w:space="0" w:color="auto"/>
                      </w:divBdr>
                    </w:div>
                    <w:div w:id="1510019393">
                      <w:blockQuote w:val="1"/>
                      <w:marLeft w:val="0"/>
                      <w:marRight w:val="0"/>
                      <w:marTop w:val="0"/>
                      <w:marBottom w:val="0"/>
                      <w:divBdr>
                        <w:top w:val="none" w:sz="0" w:space="0" w:color="auto"/>
                        <w:left w:val="none" w:sz="0" w:space="0" w:color="auto"/>
                        <w:bottom w:val="none" w:sz="0" w:space="0" w:color="auto"/>
                        <w:right w:val="none" w:sz="0" w:space="0" w:color="auto"/>
                      </w:divBdr>
                    </w:div>
                    <w:div w:id="1812286495">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6599293">
          <w:marLeft w:val="0"/>
          <w:marRight w:val="0"/>
          <w:marTop w:val="0"/>
          <w:marBottom w:val="300"/>
          <w:divBdr>
            <w:top w:val="none" w:sz="0" w:space="0" w:color="auto"/>
            <w:left w:val="none" w:sz="0" w:space="0" w:color="auto"/>
            <w:bottom w:val="none" w:sz="0" w:space="0" w:color="auto"/>
            <w:right w:val="none" w:sz="0" w:space="0" w:color="auto"/>
          </w:divBdr>
          <w:divsChild>
            <w:div w:id="1993633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918904">
      <w:bodyDiv w:val="1"/>
      <w:marLeft w:val="0"/>
      <w:marRight w:val="0"/>
      <w:marTop w:val="0"/>
      <w:marBottom w:val="0"/>
      <w:divBdr>
        <w:top w:val="none" w:sz="0" w:space="0" w:color="auto"/>
        <w:left w:val="none" w:sz="0" w:space="0" w:color="auto"/>
        <w:bottom w:val="none" w:sz="0" w:space="0" w:color="auto"/>
        <w:right w:val="none" w:sz="0" w:space="0" w:color="auto"/>
      </w:divBdr>
    </w:div>
    <w:div w:id="435953794">
      <w:bodyDiv w:val="1"/>
      <w:marLeft w:val="0"/>
      <w:marRight w:val="0"/>
      <w:marTop w:val="0"/>
      <w:marBottom w:val="0"/>
      <w:divBdr>
        <w:top w:val="none" w:sz="0" w:space="0" w:color="auto"/>
        <w:left w:val="none" w:sz="0" w:space="0" w:color="auto"/>
        <w:bottom w:val="none" w:sz="0" w:space="0" w:color="auto"/>
        <w:right w:val="none" w:sz="0" w:space="0" w:color="auto"/>
      </w:divBdr>
    </w:div>
    <w:div w:id="439884282">
      <w:bodyDiv w:val="1"/>
      <w:marLeft w:val="0"/>
      <w:marRight w:val="0"/>
      <w:marTop w:val="0"/>
      <w:marBottom w:val="0"/>
      <w:divBdr>
        <w:top w:val="none" w:sz="0" w:space="0" w:color="auto"/>
        <w:left w:val="none" w:sz="0" w:space="0" w:color="auto"/>
        <w:bottom w:val="none" w:sz="0" w:space="0" w:color="auto"/>
        <w:right w:val="none" w:sz="0" w:space="0" w:color="auto"/>
      </w:divBdr>
      <w:divsChild>
        <w:div w:id="1105996874">
          <w:marLeft w:val="0"/>
          <w:marRight w:val="0"/>
          <w:marTop w:val="100"/>
          <w:marBottom w:val="100"/>
          <w:divBdr>
            <w:top w:val="none" w:sz="0" w:space="0" w:color="auto"/>
            <w:left w:val="none" w:sz="0" w:space="0" w:color="auto"/>
            <w:bottom w:val="none" w:sz="0" w:space="0" w:color="auto"/>
            <w:right w:val="none" w:sz="0" w:space="0" w:color="auto"/>
          </w:divBdr>
          <w:divsChild>
            <w:div w:id="719595201">
              <w:marLeft w:val="0"/>
              <w:marRight w:val="0"/>
              <w:marTop w:val="0"/>
              <w:marBottom w:val="0"/>
              <w:divBdr>
                <w:top w:val="none" w:sz="0" w:space="0" w:color="auto"/>
                <w:left w:val="none" w:sz="0" w:space="0" w:color="auto"/>
                <w:bottom w:val="none" w:sz="0" w:space="0" w:color="auto"/>
                <w:right w:val="none" w:sz="0" w:space="0" w:color="auto"/>
              </w:divBdr>
              <w:divsChild>
                <w:div w:id="2104449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9443299">
          <w:marLeft w:val="0"/>
          <w:marRight w:val="0"/>
          <w:marTop w:val="0"/>
          <w:marBottom w:val="300"/>
          <w:divBdr>
            <w:top w:val="none" w:sz="0" w:space="0" w:color="auto"/>
            <w:left w:val="none" w:sz="0" w:space="0" w:color="auto"/>
            <w:bottom w:val="none" w:sz="0" w:space="0" w:color="auto"/>
            <w:right w:val="none" w:sz="0" w:space="0" w:color="auto"/>
          </w:divBdr>
          <w:divsChild>
            <w:div w:id="354499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9024123">
      <w:bodyDiv w:val="1"/>
      <w:marLeft w:val="0"/>
      <w:marRight w:val="0"/>
      <w:marTop w:val="0"/>
      <w:marBottom w:val="0"/>
      <w:divBdr>
        <w:top w:val="none" w:sz="0" w:space="0" w:color="auto"/>
        <w:left w:val="none" w:sz="0" w:space="0" w:color="auto"/>
        <w:bottom w:val="none" w:sz="0" w:space="0" w:color="auto"/>
        <w:right w:val="none" w:sz="0" w:space="0" w:color="auto"/>
      </w:divBdr>
      <w:divsChild>
        <w:div w:id="418719457">
          <w:marLeft w:val="0"/>
          <w:marRight w:val="0"/>
          <w:marTop w:val="0"/>
          <w:marBottom w:val="0"/>
          <w:divBdr>
            <w:top w:val="none" w:sz="0" w:space="0" w:color="auto"/>
            <w:left w:val="none" w:sz="0" w:space="0" w:color="auto"/>
            <w:bottom w:val="none" w:sz="0" w:space="0" w:color="auto"/>
            <w:right w:val="none" w:sz="0" w:space="0" w:color="auto"/>
          </w:divBdr>
          <w:divsChild>
            <w:div w:id="698706125">
              <w:marLeft w:val="0"/>
              <w:marRight w:val="0"/>
              <w:marTop w:val="0"/>
              <w:marBottom w:val="0"/>
              <w:divBdr>
                <w:top w:val="none" w:sz="0" w:space="0" w:color="auto"/>
                <w:left w:val="none" w:sz="0" w:space="0" w:color="auto"/>
                <w:bottom w:val="none" w:sz="0" w:space="0" w:color="auto"/>
                <w:right w:val="none" w:sz="0" w:space="0" w:color="auto"/>
              </w:divBdr>
              <w:divsChild>
                <w:div w:id="1122263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3343499">
      <w:bodyDiv w:val="1"/>
      <w:marLeft w:val="0"/>
      <w:marRight w:val="0"/>
      <w:marTop w:val="0"/>
      <w:marBottom w:val="0"/>
      <w:divBdr>
        <w:top w:val="none" w:sz="0" w:space="0" w:color="auto"/>
        <w:left w:val="none" w:sz="0" w:space="0" w:color="auto"/>
        <w:bottom w:val="none" w:sz="0" w:space="0" w:color="auto"/>
        <w:right w:val="none" w:sz="0" w:space="0" w:color="auto"/>
      </w:divBdr>
    </w:div>
    <w:div w:id="608854061">
      <w:bodyDiv w:val="1"/>
      <w:marLeft w:val="0"/>
      <w:marRight w:val="0"/>
      <w:marTop w:val="0"/>
      <w:marBottom w:val="0"/>
      <w:divBdr>
        <w:top w:val="none" w:sz="0" w:space="0" w:color="auto"/>
        <w:left w:val="none" w:sz="0" w:space="0" w:color="auto"/>
        <w:bottom w:val="none" w:sz="0" w:space="0" w:color="auto"/>
        <w:right w:val="none" w:sz="0" w:space="0" w:color="auto"/>
      </w:divBdr>
    </w:div>
    <w:div w:id="634676605">
      <w:bodyDiv w:val="1"/>
      <w:marLeft w:val="0"/>
      <w:marRight w:val="0"/>
      <w:marTop w:val="0"/>
      <w:marBottom w:val="0"/>
      <w:divBdr>
        <w:top w:val="none" w:sz="0" w:space="0" w:color="auto"/>
        <w:left w:val="none" w:sz="0" w:space="0" w:color="auto"/>
        <w:bottom w:val="none" w:sz="0" w:space="0" w:color="auto"/>
        <w:right w:val="none" w:sz="0" w:space="0" w:color="auto"/>
      </w:divBdr>
    </w:div>
    <w:div w:id="675957813">
      <w:bodyDiv w:val="1"/>
      <w:marLeft w:val="0"/>
      <w:marRight w:val="0"/>
      <w:marTop w:val="0"/>
      <w:marBottom w:val="0"/>
      <w:divBdr>
        <w:top w:val="none" w:sz="0" w:space="0" w:color="auto"/>
        <w:left w:val="none" w:sz="0" w:space="0" w:color="auto"/>
        <w:bottom w:val="none" w:sz="0" w:space="0" w:color="auto"/>
        <w:right w:val="none" w:sz="0" w:space="0" w:color="auto"/>
      </w:divBdr>
    </w:div>
    <w:div w:id="681051354">
      <w:bodyDiv w:val="1"/>
      <w:marLeft w:val="0"/>
      <w:marRight w:val="0"/>
      <w:marTop w:val="0"/>
      <w:marBottom w:val="0"/>
      <w:divBdr>
        <w:top w:val="none" w:sz="0" w:space="0" w:color="auto"/>
        <w:left w:val="none" w:sz="0" w:space="0" w:color="auto"/>
        <w:bottom w:val="none" w:sz="0" w:space="0" w:color="auto"/>
        <w:right w:val="none" w:sz="0" w:space="0" w:color="auto"/>
      </w:divBdr>
    </w:div>
    <w:div w:id="690452819">
      <w:bodyDiv w:val="1"/>
      <w:marLeft w:val="0"/>
      <w:marRight w:val="0"/>
      <w:marTop w:val="0"/>
      <w:marBottom w:val="0"/>
      <w:divBdr>
        <w:top w:val="none" w:sz="0" w:space="0" w:color="auto"/>
        <w:left w:val="none" w:sz="0" w:space="0" w:color="auto"/>
        <w:bottom w:val="none" w:sz="0" w:space="0" w:color="auto"/>
        <w:right w:val="none" w:sz="0" w:space="0" w:color="auto"/>
      </w:divBdr>
      <w:divsChild>
        <w:div w:id="294599548">
          <w:marLeft w:val="0"/>
          <w:marRight w:val="0"/>
          <w:marTop w:val="0"/>
          <w:marBottom w:val="300"/>
          <w:divBdr>
            <w:top w:val="none" w:sz="0" w:space="0" w:color="auto"/>
            <w:left w:val="none" w:sz="0" w:space="0" w:color="auto"/>
            <w:bottom w:val="none" w:sz="0" w:space="0" w:color="auto"/>
            <w:right w:val="none" w:sz="0" w:space="0" w:color="auto"/>
          </w:divBdr>
          <w:divsChild>
            <w:div w:id="357897048">
              <w:marLeft w:val="0"/>
              <w:marRight w:val="0"/>
              <w:marTop w:val="0"/>
              <w:marBottom w:val="0"/>
              <w:divBdr>
                <w:top w:val="none" w:sz="0" w:space="0" w:color="auto"/>
                <w:left w:val="none" w:sz="0" w:space="0" w:color="auto"/>
                <w:bottom w:val="none" w:sz="0" w:space="0" w:color="auto"/>
                <w:right w:val="none" w:sz="0" w:space="0" w:color="auto"/>
              </w:divBdr>
            </w:div>
          </w:divsChild>
        </w:div>
        <w:div w:id="416905121">
          <w:marLeft w:val="0"/>
          <w:marRight w:val="0"/>
          <w:marTop w:val="100"/>
          <w:marBottom w:val="100"/>
          <w:divBdr>
            <w:top w:val="none" w:sz="0" w:space="0" w:color="auto"/>
            <w:left w:val="none" w:sz="0" w:space="0" w:color="auto"/>
            <w:bottom w:val="none" w:sz="0" w:space="0" w:color="auto"/>
            <w:right w:val="none" w:sz="0" w:space="0" w:color="auto"/>
          </w:divBdr>
          <w:divsChild>
            <w:div w:id="681511310">
              <w:marLeft w:val="0"/>
              <w:marRight w:val="0"/>
              <w:marTop w:val="0"/>
              <w:marBottom w:val="0"/>
              <w:divBdr>
                <w:top w:val="none" w:sz="0" w:space="0" w:color="auto"/>
                <w:left w:val="none" w:sz="0" w:space="0" w:color="auto"/>
                <w:bottom w:val="none" w:sz="0" w:space="0" w:color="auto"/>
                <w:right w:val="none" w:sz="0" w:space="0" w:color="auto"/>
              </w:divBdr>
              <w:divsChild>
                <w:div w:id="1304772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9357235">
      <w:bodyDiv w:val="1"/>
      <w:marLeft w:val="0"/>
      <w:marRight w:val="0"/>
      <w:marTop w:val="0"/>
      <w:marBottom w:val="0"/>
      <w:divBdr>
        <w:top w:val="none" w:sz="0" w:space="0" w:color="auto"/>
        <w:left w:val="none" w:sz="0" w:space="0" w:color="auto"/>
        <w:bottom w:val="none" w:sz="0" w:space="0" w:color="auto"/>
        <w:right w:val="none" w:sz="0" w:space="0" w:color="auto"/>
      </w:divBdr>
    </w:div>
    <w:div w:id="891773702">
      <w:bodyDiv w:val="1"/>
      <w:marLeft w:val="0"/>
      <w:marRight w:val="0"/>
      <w:marTop w:val="0"/>
      <w:marBottom w:val="0"/>
      <w:divBdr>
        <w:top w:val="none" w:sz="0" w:space="0" w:color="auto"/>
        <w:left w:val="none" w:sz="0" w:space="0" w:color="auto"/>
        <w:bottom w:val="none" w:sz="0" w:space="0" w:color="auto"/>
        <w:right w:val="none" w:sz="0" w:space="0" w:color="auto"/>
      </w:divBdr>
    </w:div>
    <w:div w:id="994603646">
      <w:bodyDiv w:val="1"/>
      <w:marLeft w:val="0"/>
      <w:marRight w:val="0"/>
      <w:marTop w:val="0"/>
      <w:marBottom w:val="0"/>
      <w:divBdr>
        <w:top w:val="none" w:sz="0" w:space="0" w:color="auto"/>
        <w:left w:val="none" w:sz="0" w:space="0" w:color="auto"/>
        <w:bottom w:val="none" w:sz="0" w:space="0" w:color="auto"/>
        <w:right w:val="none" w:sz="0" w:space="0" w:color="auto"/>
      </w:divBdr>
    </w:div>
    <w:div w:id="1129325189">
      <w:bodyDiv w:val="1"/>
      <w:marLeft w:val="0"/>
      <w:marRight w:val="0"/>
      <w:marTop w:val="0"/>
      <w:marBottom w:val="0"/>
      <w:divBdr>
        <w:top w:val="none" w:sz="0" w:space="0" w:color="auto"/>
        <w:left w:val="none" w:sz="0" w:space="0" w:color="auto"/>
        <w:bottom w:val="none" w:sz="0" w:space="0" w:color="auto"/>
        <w:right w:val="none" w:sz="0" w:space="0" w:color="auto"/>
      </w:divBdr>
    </w:div>
    <w:div w:id="1159691953">
      <w:bodyDiv w:val="1"/>
      <w:marLeft w:val="0"/>
      <w:marRight w:val="0"/>
      <w:marTop w:val="0"/>
      <w:marBottom w:val="0"/>
      <w:divBdr>
        <w:top w:val="none" w:sz="0" w:space="0" w:color="auto"/>
        <w:left w:val="none" w:sz="0" w:space="0" w:color="auto"/>
        <w:bottom w:val="none" w:sz="0" w:space="0" w:color="auto"/>
        <w:right w:val="none" w:sz="0" w:space="0" w:color="auto"/>
      </w:divBdr>
    </w:div>
    <w:div w:id="1276405565">
      <w:bodyDiv w:val="1"/>
      <w:marLeft w:val="0"/>
      <w:marRight w:val="0"/>
      <w:marTop w:val="0"/>
      <w:marBottom w:val="0"/>
      <w:divBdr>
        <w:top w:val="none" w:sz="0" w:space="0" w:color="auto"/>
        <w:left w:val="none" w:sz="0" w:space="0" w:color="auto"/>
        <w:bottom w:val="none" w:sz="0" w:space="0" w:color="auto"/>
        <w:right w:val="none" w:sz="0" w:space="0" w:color="auto"/>
      </w:divBdr>
    </w:div>
    <w:div w:id="1287586286">
      <w:bodyDiv w:val="1"/>
      <w:marLeft w:val="0"/>
      <w:marRight w:val="0"/>
      <w:marTop w:val="0"/>
      <w:marBottom w:val="0"/>
      <w:divBdr>
        <w:top w:val="none" w:sz="0" w:space="0" w:color="auto"/>
        <w:left w:val="none" w:sz="0" w:space="0" w:color="auto"/>
        <w:bottom w:val="none" w:sz="0" w:space="0" w:color="auto"/>
        <w:right w:val="none" w:sz="0" w:space="0" w:color="auto"/>
      </w:divBdr>
      <w:divsChild>
        <w:div w:id="1500075163">
          <w:marLeft w:val="0"/>
          <w:marRight w:val="0"/>
          <w:marTop w:val="0"/>
          <w:marBottom w:val="0"/>
          <w:divBdr>
            <w:top w:val="none" w:sz="0" w:space="0" w:color="auto"/>
            <w:left w:val="none" w:sz="0" w:space="0" w:color="auto"/>
            <w:bottom w:val="none" w:sz="0" w:space="0" w:color="auto"/>
            <w:right w:val="none" w:sz="0" w:space="0" w:color="auto"/>
          </w:divBdr>
          <w:divsChild>
            <w:div w:id="1696808636">
              <w:marLeft w:val="0"/>
              <w:marRight w:val="0"/>
              <w:marTop w:val="0"/>
              <w:marBottom w:val="0"/>
              <w:divBdr>
                <w:top w:val="none" w:sz="0" w:space="0" w:color="auto"/>
                <w:left w:val="none" w:sz="0" w:space="0" w:color="auto"/>
                <w:bottom w:val="none" w:sz="0" w:space="0" w:color="auto"/>
                <w:right w:val="none" w:sz="0" w:space="0" w:color="auto"/>
              </w:divBdr>
              <w:divsChild>
                <w:div w:id="2029332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790926">
      <w:bodyDiv w:val="1"/>
      <w:marLeft w:val="0"/>
      <w:marRight w:val="0"/>
      <w:marTop w:val="0"/>
      <w:marBottom w:val="0"/>
      <w:divBdr>
        <w:top w:val="none" w:sz="0" w:space="0" w:color="auto"/>
        <w:left w:val="none" w:sz="0" w:space="0" w:color="auto"/>
        <w:bottom w:val="none" w:sz="0" w:space="0" w:color="auto"/>
        <w:right w:val="none" w:sz="0" w:space="0" w:color="auto"/>
      </w:divBdr>
    </w:div>
    <w:div w:id="1298534827">
      <w:bodyDiv w:val="1"/>
      <w:marLeft w:val="0"/>
      <w:marRight w:val="0"/>
      <w:marTop w:val="0"/>
      <w:marBottom w:val="0"/>
      <w:divBdr>
        <w:top w:val="none" w:sz="0" w:space="0" w:color="auto"/>
        <w:left w:val="none" w:sz="0" w:space="0" w:color="auto"/>
        <w:bottom w:val="none" w:sz="0" w:space="0" w:color="auto"/>
        <w:right w:val="none" w:sz="0" w:space="0" w:color="auto"/>
      </w:divBdr>
    </w:div>
    <w:div w:id="1310207952">
      <w:bodyDiv w:val="1"/>
      <w:marLeft w:val="0"/>
      <w:marRight w:val="0"/>
      <w:marTop w:val="0"/>
      <w:marBottom w:val="0"/>
      <w:divBdr>
        <w:top w:val="none" w:sz="0" w:space="0" w:color="auto"/>
        <w:left w:val="none" w:sz="0" w:space="0" w:color="auto"/>
        <w:bottom w:val="none" w:sz="0" w:space="0" w:color="auto"/>
        <w:right w:val="none" w:sz="0" w:space="0" w:color="auto"/>
      </w:divBdr>
    </w:div>
    <w:div w:id="1316685744">
      <w:bodyDiv w:val="1"/>
      <w:marLeft w:val="0"/>
      <w:marRight w:val="0"/>
      <w:marTop w:val="0"/>
      <w:marBottom w:val="0"/>
      <w:divBdr>
        <w:top w:val="none" w:sz="0" w:space="0" w:color="auto"/>
        <w:left w:val="none" w:sz="0" w:space="0" w:color="auto"/>
        <w:bottom w:val="none" w:sz="0" w:space="0" w:color="auto"/>
        <w:right w:val="none" w:sz="0" w:space="0" w:color="auto"/>
      </w:divBdr>
    </w:div>
    <w:div w:id="1472287953">
      <w:bodyDiv w:val="1"/>
      <w:marLeft w:val="0"/>
      <w:marRight w:val="0"/>
      <w:marTop w:val="0"/>
      <w:marBottom w:val="0"/>
      <w:divBdr>
        <w:top w:val="none" w:sz="0" w:space="0" w:color="auto"/>
        <w:left w:val="none" w:sz="0" w:space="0" w:color="auto"/>
        <w:bottom w:val="none" w:sz="0" w:space="0" w:color="auto"/>
        <w:right w:val="none" w:sz="0" w:space="0" w:color="auto"/>
      </w:divBdr>
    </w:div>
    <w:div w:id="1481770814">
      <w:bodyDiv w:val="1"/>
      <w:marLeft w:val="0"/>
      <w:marRight w:val="0"/>
      <w:marTop w:val="0"/>
      <w:marBottom w:val="0"/>
      <w:divBdr>
        <w:top w:val="none" w:sz="0" w:space="0" w:color="auto"/>
        <w:left w:val="none" w:sz="0" w:space="0" w:color="auto"/>
        <w:bottom w:val="none" w:sz="0" w:space="0" w:color="auto"/>
        <w:right w:val="none" w:sz="0" w:space="0" w:color="auto"/>
      </w:divBdr>
    </w:div>
    <w:div w:id="1533494221">
      <w:bodyDiv w:val="1"/>
      <w:marLeft w:val="0"/>
      <w:marRight w:val="0"/>
      <w:marTop w:val="0"/>
      <w:marBottom w:val="0"/>
      <w:divBdr>
        <w:top w:val="none" w:sz="0" w:space="0" w:color="auto"/>
        <w:left w:val="none" w:sz="0" w:space="0" w:color="auto"/>
        <w:bottom w:val="none" w:sz="0" w:space="0" w:color="auto"/>
        <w:right w:val="none" w:sz="0" w:space="0" w:color="auto"/>
      </w:divBdr>
    </w:div>
    <w:div w:id="1622567592">
      <w:bodyDiv w:val="1"/>
      <w:marLeft w:val="0"/>
      <w:marRight w:val="0"/>
      <w:marTop w:val="0"/>
      <w:marBottom w:val="0"/>
      <w:divBdr>
        <w:top w:val="none" w:sz="0" w:space="0" w:color="auto"/>
        <w:left w:val="none" w:sz="0" w:space="0" w:color="auto"/>
        <w:bottom w:val="none" w:sz="0" w:space="0" w:color="auto"/>
        <w:right w:val="none" w:sz="0" w:space="0" w:color="auto"/>
      </w:divBdr>
    </w:div>
    <w:div w:id="1673727627">
      <w:bodyDiv w:val="1"/>
      <w:marLeft w:val="0"/>
      <w:marRight w:val="0"/>
      <w:marTop w:val="0"/>
      <w:marBottom w:val="0"/>
      <w:divBdr>
        <w:top w:val="none" w:sz="0" w:space="0" w:color="auto"/>
        <w:left w:val="none" w:sz="0" w:space="0" w:color="auto"/>
        <w:bottom w:val="none" w:sz="0" w:space="0" w:color="auto"/>
        <w:right w:val="none" w:sz="0" w:space="0" w:color="auto"/>
      </w:divBdr>
      <w:divsChild>
        <w:div w:id="665939091">
          <w:marLeft w:val="0"/>
          <w:marRight w:val="0"/>
          <w:marTop w:val="0"/>
          <w:marBottom w:val="0"/>
          <w:divBdr>
            <w:top w:val="none" w:sz="0" w:space="0" w:color="auto"/>
            <w:left w:val="none" w:sz="0" w:space="0" w:color="auto"/>
            <w:bottom w:val="none" w:sz="0" w:space="0" w:color="auto"/>
            <w:right w:val="none" w:sz="0" w:space="0" w:color="auto"/>
          </w:divBdr>
          <w:divsChild>
            <w:div w:id="673191952">
              <w:marLeft w:val="0"/>
              <w:marRight w:val="0"/>
              <w:marTop w:val="0"/>
              <w:marBottom w:val="0"/>
              <w:divBdr>
                <w:top w:val="none" w:sz="0" w:space="0" w:color="auto"/>
                <w:left w:val="none" w:sz="0" w:space="0" w:color="auto"/>
                <w:bottom w:val="none" w:sz="0" w:space="0" w:color="auto"/>
                <w:right w:val="none" w:sz="0" w:space="0" w:color="auto"/>
              </w:divBdr>
              <w:divsChild>
                <w:div w:id="793329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0635038">
      <w:bodyDiv w:val="1"/>
      <w:marLeft w:val="0"/>
      <w:marRight w:val="0"/>
      <w:marTop w:val="0"/>
      <w:marBottom w:val="0"/>
      <w:divBdr>
        <w:top w:val="none" w:sz="0" w:space="0" w:color="auto"/>
        <w:left w:val="none" w:sz="0" w:space="0" w:color="auto"/>
        <w:bottom w:val="none" w:sz="0" w:space="0" w:color="auto"/>
        <w:right w:val="none" w:sz="0" w:space="0" w:color="auto"/>
      </w:divBdr>
    </w:div>
    <w:div w:id="1802067730">
      <w:bodyDiv w:val="1"/>
      <w:marLeft w:val="0"/>
      <w:marRight w:val="0"/>
      <w:marTop w:val="0"/>
      <w:marBottom w:val="0"/>
      <w:divBdr>
        <w:top w:val="none" w:sz="0" w:space="0" w:color="auto"/>
        <w:left w:val="none" w:sz="0" w:space="0" w:color="auto"/>
        <w:bottom w:val="none" w:sz="0" w:space="0" w:color="auto"/>
        <w:right w:val="none" w:sz="0" w:space="0" w:color="auto"/>
      </w:divBdr>
    </w:div>
    <w:div w:id="1901942028">
      <w:bodyDiv w:val="1"/>
      <w:marLeft w:val="0"/>
      <w:marRight w:val="0"/>
      <w:marTop w:val="0"/>
      <w:marBottom w:val="0"/>
      <w:divBdr>
        <w:top w:val="none" w:sz="0" w:space="0" w:color="auto"/>
        <w:left w:val="none" w:sz="0" w:space="0" w:color="auto"/>
        <w:bottom w:val="none" w:sz="0" w:space="0" w:color="auto"/>
        <w:right w:val="none" w:sz="0" w:space="0" w:color="auto"/>
      </w:divBdr>
    </w:div>
    <w:div w:id="1959023997">
      <w:bodyDiv w:val="1"/>
      <w:marLeft w:val="0"/>
      <w:marRight w:val="0"/>
      <w:marTop w:val="0"/>
      <w:marBottom w:val="0"/>
      <w:divBdr>
        <w:top w:val="none" w:sz="0" w:space="0" w:color="auto"/>
        <w:left w:val="none" w:sz="0" w:space="0" w:color="auto"/>
        <w:bottom w:val="none" w:sz="0" w:space="0" w:color="auto"/>
        <w:right w:val="none" w:sz="0" w:space="0" w:color="auto"/>
      </w:divBdr>
    </w:div>
    <w:div w:id="1995328432">
      <w:bodyDiv w:val="1"/>
      <w:marLeft w:val="0"/>
      <w:marRight w:val="0"/>
      <w:marTop w:val="0"/>
      <w:marBottom w:val="0"/>
      <w:divBdr>
        <w:top w:val="none" w:sz="0" w:space="0" w:color="auto"/>
        <w:left w:val="none" w:sz="0" w:space="0" w:color="auto"/>
        <w:bottom w:val="none" w:sz="0" w:space="0" w:color="auto"/>
        <w:right w:val="none" w:sz="0" w:space="0" w:color="auto"/>
      </w:divBdr>
    </w:div>
    <w:div w:id="2024673093">
      <w:bodyDiv w:val="1"/>
      <w:marLeft w:val="0"/>
      <w:marRight w:val="0"/>
      <w:marTop w:val="0"/>
      <w:marBottom w:val="0"/>
      <w:divBdr>
        <w:top w:val="none" w:sz="0" w:space="0" w:color="auto"/>
        <w:left w:val="none" w:sz="0" w:space="0" w:color="auto"/>
        <w:bottom w:val="none" w:sz="0" w:space="0" w:color="auto"/>
        <w:right w:val="none" w:sz="0" w:space="0" w:color="auto"/>
      </w:divBdr>
    </w:div>
    <w:div w:id="2109036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4SQX5P7U7WPY-958212181-815355</_dlc_DocId>
    <_dlc_DocIdUrl xmlns="c890fddd-4e87-4e08-8b51-545f2a3f7b06">
      <Url>https://senpr.sharepoint.com/sites/obralegislativa/_layouts/15/DocIdRedir.aspx?ID=4SQX5P7U7WPY-958212181-815355</Url>
      <Description>4SQX5P7U7WPY-958212181-815355</Description>
    </_dlc_DocIdUrl>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21015F1-542E-47E7-98D8-A414255B13FE}"/>
</file>

<file path=customXml/itemProps2.xml><?xml version="1.0" encoding="utf-8"?>
<ds:datastoreItem xmlns:ds="http://schemas.openxmlformats.org/officeDocument/2006/customXml" ds:itemID="{54F68284-6A79-4E91-B0F5-3E68E8ED36C0}">
  <ds:schemaRefs>
    <ds:schemaRef ds:uri="http://schemas.microsoft.com/sharepoint/v3/contenttype/forms"/>
  </ds:schemaRefs>
</ds:datastoreItem>
</file>

<file path=customXml/itemProps3.xml><?xml version="1.0" encoding="utf-8"?>
<ds:datastoreItem xmlns:ds="http://schemas.openxmlformats.org/officeDocument/2006/customXml" ds:itemID="{121DCE16-A0F6-43FA-8C98-25446C9BA88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5188FDA-9F3E-4697-B675-1F2FE91CE453}">
  <ds:schemaRefs>
    <ds:schemaRef ds:uri="http://schemas.openxmlformats.org/officeDocument/2006/bibliography"/>
  </ds:schemaRefs>
</ds:datastoreItem>
</file>

<file path=customXml/itemProps5.xml><?xml version="1.0" encoding="utf-8"?>
<ds:datastoreItem xmlns:ds="http://schemas.openxmlformats.org/officeDocument/2006/customXml" ds:itemID="{8617E2C1-F92D-49E2-9260-BCAC590DBBB9}"/>
</file>

<file path=docProps/app.xml><?xml version="1.0" encoding="utf-8"?>
<Properties xmlns="http://schemas.openxmlformats.org/officeDocument/2006/extended-properties" xmlns:vt="http://schemas.openxmlformats.org/officeDocument/2006/docPropsVTypes">
  <Template>Normal</Template>
  <TotalTime>4</TotalTime>
  <Pages>5</Pages>
  <Words>1411</Words>
  <Characters>8043</Characters>
  <Application>Microsoft Office Word</Application>
  <DocSecurity>0</DocSecurity>
  <Lines>67</Lines>
  <Paragraphs>18</Paragraphs>
  <ScaleCrop>false</ScaleCrop>
  <Company/>
  <LinksUpToDate>false</LinksUpToDate>
  <CharactersWithSpaces>9436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Zaritza</dc:creator>
  <cp:keywords/>
  <dc:description/>
  <cp:lastModifiedBy>Jessica M. Caraballo Rivera (Trámites y Récords)</cp:lastModifiedBy>
  <cp:revision>2</cp:revision>
  <cp:lastPrinted>2021-03-03T06:31:00Z</cp:lastPrinted>
  <dcterms:created xsi:type="dcterms:W3CDTF">2025-06-11T19:24:00Z</dcterms:created>
  <dcterms:modified xsi:type="dcterms:W3CDTF">2025-06-11T19:24:00Z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21f672d0-0882-4f61-8a16-813af03819c8</vt:lpwstr>
  </property>
  <property fmtid="{D5CDD505-2E9C-101B-9397-08002B2CF9AE}" pid="4" name="MediaServiceImageTags">
    <vt:lpwstr/>
  </property>
</Properties>
</file>