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99EE1" w14:textId="15D428F6" w:rsidR="0085790D" w:rsidRDefault="0085790D" w:rsidP="00CF30BC">
      <w:pPr>
        <w:tabs>
          <w:tab w:val="center" w:pos="4680"/>
          <w:tab w:val="left" w:pos="7920"/>
        </w:tabs>
        <w:spacing w:before="120"/>
        <w:jc w:val="center"/>
        <w:rPr>
          <w:rFonts w:ascii="Book Antiqua" w:hAnsi="Book Antiqua"/>
          <w:sz w:val="36"/>
          <w:szCs w:val="36"/>
          <w:lang w:val="es-ES_tradnl"/>
        </w:rPr>
      </w:pPr>
      <w:bookmarkStart w:id="0" w:name="_Hlk183042642"/>
      <w:bookmarkStart w:id="1" w:name="_Hlk183037667"/>
      <w:bookmarkStart w:id="2" w:name="_Hlk183038391"/>
      <w:proofErr w:type="spellStart"/>
      <w:r>
        <w:rPr>
          <w:rFonts w:ascii="Book Antiqua" w:hAnsi="Book Antiqua"/>
          <w:sz w:val="36"/>
          <w:szCs w:val="36"/>
          <w:lang w:val="es-ES_tradnl"/>
        </w:rPr>
        <w:t>Entirillado</w:t>
      </w:r>
      <w:proofErr w:type="spellEnd"/>
      <w:r>
        <w:rPr>
          <w:rFonts w:ascii="Book Antiqua" w:hAnsi="Book Antiqua"/>
          <w:sz w:val="36"/>
          <w:szCs w:val="36"/>
          <w:lang w:val="es-ES_tradnl"/>
        </w:rPr>
        <w:t xml:space="preserve"> electrónico</w:t>
      </w:r>
    </w:p>
    <w:p w14:paraId="746ED07D" w14:textId="01147503" w:rsidR="009B5FB8" w:rsidRPr="00922CB2" w:rsidRDefault="009B5FB8" w:rsidP="009D5B89">
      <w:pPr>
        <w:tabs>
          <w:tab w:val="center" w:pos="4680"/>
          <w:tab w:val="left" w:pos="7920"/>
        </w:tabs>
        <w:jc w:val="center"/>
        <w:rPr>
          <w:rFonts w:ascii="Book Antiqua" w:hAnsi="Book Antiqua"/>
          <w:sz w:val="36"/>
          <w:szCs w:val="36"/>
          <w:lang w:val="es-ES_tradnl"/>
        </w:rPr>
      </w:pPr>
      <w:r w:rsidRPr="00922CB2">
        <w:rPr>
          <w:rFonts w:ascii="Book Antiqua" w:hAnsi="Book Antiqua"/>
          <w:sz w:val="36"/>
          <w:szCs w:val="36"/>
          <w:lang w:val="es-ES_tradnl"/>
        </w:rPr>
        <w:t>GOBIERNO DE PUERTO RICO</w:t>
      </w:r>
    </w:p>
    <w:p w14:paraId="5A4144DE" w14:textId="77777777" w:rsidR="009B5FB8" w:rsidRPr="00922CB2" w:rsidRDefault="009B5FB8" w:rsidP="009B5FB8">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9B5FB8" w:rsidRPr="00922CB2" w14:paraId="72B2C95B" w14:textId="77777777" w:rsidTr="00DC2CF7">
        <w:trPr>
          <w:trHeight w:val="900"/>
        </w:trPr>
        <w:tc>
          <w:tcPr>
            <w:tcW w:w="3170" w:type="dxa"/>
          </w:tcPr>
          <w:p w14:paraId="14FBE36D" w14:textId="77777777" w:rsidR="009B5FB8" w:rsidRPr="00922CB2" w:rsidRDefault="009B5FB8" w:rsidP="00DC2CF7">
            <w:pPr>
              <w:rPr>
                <w:rFonts w:ascii="Book Antiqua" w:hAnsi="Book Antiqua"/>
                <w:lang w:val="es-ES_tradnl"/>
              </w:rPr>
            </w:pPr>
            <w:r w:rsidRPr="00922CB2">
              <w:rPr>
                <w:rFonts w:ascii="Book Antiqua" w:hAnsi="Book Antiqua"/>
                <w:lang w:val="es-ES_tradnl"/>
              </w:rPr>
              <w:t>20</w:t>
            </w:r>
            <w:r w:rsidR="0082736B" w:rsidRPr="00922CB2">
              <w:rPr>
                <w:rFonts w:ascii="Book Antiqua" w:hAnsi="Book Antiqua"/>
                <w:lang w:val="es-ES_tradnl"/>
              </w:rPr>
              <w:t xml:space="preserve"> </w:t>
            </w:r>
            <w:r w:rsidRPr="00922CB2">
              <w:rPr>
                <w:rFonts w:ascii="Book Antiqua" w:hAnsi="Book Antiqua"/>
                <w:vertAlign w:val="superscript"/>
                <w:lang w:val="es-ES_tradnl"/>
              </w:rPr>
              <w:t>ma</w:t>
            </w:r>
            <w:r w:rsidR="006F5B4B" w:rsidRPr="00922CB2">
              <w:rPr>
                <w:rFonts w:ascii="Book Antiqua" w:hAnsi="Book Antiqua"/>
                <w:vertAlign w:val="superscript"/>
                <w:lang w:val="es-ES_tradnl"/>
              </w:rPr>
              <w:t>.</w:t>
            </w:r>
            <w:r w:rsidRPr="00922CB2">
              <w:rPr>
                <w:rFonts w:ascii="Book Antiqua" w:hAnsi="Book Antiqua"/>
                <w:lang w:val="es-ES_tradnl"/>
              </w:rPr>
              <w:tab/>
              <w:t>Asamblea</w:t>
            </w:r>
          </w:p>
          <w:p w14:paraId="1E5079DB" w14:textId="77777777" w:rsidR="009B5FB8" w:rsidRPr="00922CB2" w:rsidRDefault="009B5FB8" w:rsidP="00DC2CF7">
            <w:pPr>
              <w:rPr>
                <w:rFonts w:ascii="Book Antiqua" w:hAnsi="Book Antiqua"/>
                <w:sz w:val="36"/>
                <w:lang w:val="es-ES_tradnl"/>
              </w:rPr>
            </w:pPr>
            <w:r w:rsidRPr="00922CB2">
              <w:rPr>
                <w:rFonts w:ascii="Book Antiqua" w:hAnsi="Book Antiqua"/>
                <w:lang w:val="es-ES_tradnl"/>
              </w:rPr>
              <w:t xml:space="preserve">         </w:t>
            </w:r>
            <w:r w:rsidRPr="00922CB2">
              <w:rPr>
                <w:rFonts w:ascii="Book Antiqua" w:hAnsi="Book Antiqua"/>
                <w:lang w:val="es-ES_tradnl"/>
              </w:rPr>
              <w:tab/>
              <w:t xml:space="preserve">Legislativa                                                                                                          </w:t>
            </w:r>
          </w:p>
        </w:tc>
        <w:tc>
          <w:tcPr>
            <w:tcW w:w="3171" w:type="dxa"/>
          </w:tcPr>
          <w:p w14:paraId="105F9550" w14:textId="77777777" w:rsidR="009B5FB8" w:rsidRPr="00922CB2" w:rsidRDefault="009B5FB8" w:rsidP="00DC2CF7">
            <w:pPr>
              <w:jc w:val="center"/>
              <w:rPr>
                <w:rFonts w:ascii="Book Antiqua" w:hAnsi="Book Antiqua"/>
                <w:sz w:val="36"/>
                <w:lang w:val="es-ES_tradnl"/>
              </w:rPr>
            </w:pPr>
          </w:p>
        </w:tc>
        <w:tc>
          <w:tcPr>
            <w:tcW w:w="3268" w:type="dxa"/>
          </w:tcPr>
          <w:p w14:paraId="3DEFCDDE" w14:textId="77777777" w:rsidR="009B5FB8" w:rsidRPr="00922CB2" w:rsidRDefault="009B5FB8" w:rsidP="00DC2CF7">
            <w:pPr>
              <w:rPr>
                <w:rFonts w:ascii="Book Antiqua" w:hAnsi="Book Antiqua"/>
                <w:lang w:val="es-ES_tradnl"/>
              </w:rPr>
            </w:pPr>
            <w:r w:rsidRPr="00922CB2">
              <w:rPr>
                <w:rFonts w:ascii="Book Antiqua" w:hAnsi="Book Antiqua"/>
                <w:lang w:val="es-ES_tradnl"/>
              </w:rPr>
              <w:tab/>
            </w:r>
            <w:r w:rsidRPr="00922CB2">
              <w:rPr>
                <w:rFonts w:ascii="Book Antiqua" w:hAnsi="Book Antiqua"/>
                <w:lang w:val="es-ES_tradnl"/>
              </w:rPr>
              <w:tab/>
              <w:t>1</w:t>
            </w:r>
            <w:r w:rsidRPr="00922CB2">
              <w:rPr>
                <w:rFonts w:ascii="Book Antiqua" w:hAnsi="Book Antiqua"/>
                <w:vertAlign w:val="superscript"/>
                <w:lang w:val="es-ES_tradnl"/>
              </w:rPr>
              <w:t>ra.</w:t>
            </w:r>
            <w:r w:rsidRPr="00922CB2">
              <w:rPr>
                <w:rFonts w:ascii="Book Antiqua" w:hAnsi="Book Antiqua"/>
                <w:lang w:val="es-ES_tradnl"/>
              </w:rPr>
              <w:t xml:space="preserve"> Sesión</w:t>
            </w:r>
          </w:p>
          <w:p w14:paraId="33B99325" w14:textId="77777777" w:rsidR="009B5FB8" w:rsidRPr="00922CB2" w:rsidRDefault="009B5FB8" w:rsidP="00DC2CF7">
            <w:pPr>
              <w:rPr>
                <w:rFonts w:ascii="Book Antiqua" w:hAnsi="Book Antiqua"/>
                <w:lang w:val="es-ES_tradnl"/>
              </w:rPr>
            </w:pPr>
            <w:r w:rsidRPr="00922CB2">
              <w:rPr>
                <w:rFonts w:ascii="Book Antiqua" w:hAnsi="Book Antiqua"/>
                <w:lang w:val="es-ES_tradnl"/>
              </w:rPr>
              <w:tab/>
              <w:t xml:space="preserve">       </w:t>
            </w:r>
            <w:r w:rsidRPr="00922CB2">
              <w:rPr>
                <w:rFonts w:ascii="Book Antiqua" w:hAnsi="Book Antiqua"/>
                <w:lang w:val="es-ES_tradnl"/>
              </w:rPr>
              <w:tab/>
              <w:t xml:space="preserve">      Ordinaria</w:t>
            </w:r>
          </w:p>
          <w:p w14:paraId="714EAF95" w14:textId="77777777" w:rsidR="009B5FB8" w:rsidRPr="00922CB2" w:rsidRDefault="009B5FB8" w:rsidP="00DC2CF7">
            <w:pPr>
              <w:jc w:val="center"/>
              <w:rPr>
                <w:rFonts w:ascii="Book Antiqua" w:hAnsi="Book Antiqua"/>
                <w:sz w:val="36"/>
                <w:lang w:val="es-ES_tradnl"/>
              </w:rPr>
            </w:pPr>
          </w:p>
        </w:tc>
      </w:tr>
    </w:tbl>
    <w:bookmarkEnd w:id="0"/>
    <w:p w14:paraId="4FE3AD5B" w14:textId="77777777" w:rsidR="009B5FB8" w:rsidRPr="00922CB2" w:rsidRDefault="009B5FB8" w:rsidP="00CF30BC">
      <w:pPr>
        <w:spacing w:line="360" w:lineRule="auto"/>
        <w:jc w:val="center"/>
        <w:rPr>
          <w:rFonts w:ascii="Book Antiqua" w:hAnsi="Book Antiqua"/>
          <w:b/>
          <w:sz w:val="36"/>
          <w:lang w:val="es-ES_tradnl"/>
        </w:rPr>
      </w:pPr>
      <w:r w:rsidRPr="00922CB2">
        <w:rPr>
          <w:rFonts w:ascii="Book Antiqua" w:hAnsi="Book Antiqua"/>
          <w:b/>
          <w:sz w:val="36"/>
          <w:lang w:val="es-ES_tradnl"/>
        </w:rPr>
        <w:t>SENADO DE PUERTO RICO</w:t>
      </w:r>
      <w:bookmarkEnd w:id="1"/>
    </w:p>
    <w:p w14:paraId="6C7E5B4A" w14:textId="77777777" w:rsidR="009B5FB8" w:rsidRPr="00922CB2" w:rsidRDefault="009B5FB8" w:rsidP="00CF30BC">
      <w:pPr>
        <w:spacing w:line="360" w:lineRule="auto"/>
        <w:jc w:val="center"/>
        <w:rPr>
          <w:rFonts w:ascii="Book Antiqua" w:hAnsi="Book Antiqua"/>
          <w:b/>
          <w:sz w:val="52"/>
          <w:lang w:val="es-ES_tradnl"/>
        </w:rPr>
      </w:pPr>
      <w:r w:rsidRPr="00922CB2">
        <w:rPr>
          <w:rFonts w:ascii="Book Antiqua" w:hAnsi="Book Antiqua"/>
          <w:b/>
          <w:sz w:val="52"/>
          <w:lang w:val="es-ES_tradnl"/>
        </w:rPr>
        <w:t xml:space="preserve">P. del S. </w:t>
      </w:r>
      <w:r w:rsidR="004410CE">
        <w:rPr>
          <w:rFonts w:ascii="Book Antiqua" w:hAnsi="Book Antiqua"/>
          <w:b/>
          <w:sz w:val="52"/>
          <w:lang w:val="es-ES_tradnl"/>
        </w:rPr>
        <w:t>60</w:t>
      </w:r>
    </w:p>
    <w:p w14:paraId="468120EA" w14:textId="77777777" w:rsidR="009B5FB8" w:rsidRPr="00922CB2" w:rsidRDefault="009B5FB8" w:rsidP="00CF30BC">
      <w:pPr>
        <w:spacing w:line="360" w:lineRule="auto"/>
        <w:jc w:val="center"/>
        <w:rPr>
          <w:rFonts w:ascii="Book Antiqua" w:hAnsi="Book Antiqua"/>
          <w:sz w:val="24"/>
          <w:szCs w:val="24"/>
          <w:lang w:val="es-ES_tradnl"/>
        </w:rPr>
      </w:pPr>
      <w:r w:rsidRPr="00922CB2">
        <w:rPr>
          <w:rFonts w:ascii="Book Antiqua" w:hAnsi="Book Antiqua"/>
          <w:sz w:val="24"/>
          <w:szCs w:val="24"/>
          <w:lang w:val="es-ES_tradnl"/>
        </w:rPr>
        <w:t xml:space="preserve"> </w:t>
      </w:r>
      <w:bookmarkStart w:id="3" w:name="_Hlk183037684"/>
      <w:r w:rsidRPr="00922CB2">
        <w:rPr>
          <w:rFonts w:ascii="Book Antiqua" w:hAnsi="Book Antiqua"/>
          <w:sz w:val="24"/>
          <w:szCs w:val="24"/>
          <w:lang w:val="es-ES_tradnl"/>
        </w:rPr>
        <w:t>2 de enero de 2025</w:t>
      </w:r>
    </w:p>
    <w:p w14:paraId="62D894BC" w14:textId="77777777" w:rsidR="009B5FB8" w:rsidRPr="00922CB2" w:rsidRDefault="009B5FB8" w:rsidP="00CF30BC">
      <w:pPr>
        <w:spacing w:line="360" w:lineRule="auto"/>
        <w:jc w:val="center"/>
        <w:rPr>
          <w:rFonts w:ascii="Book Antiqua" w:hAnsi="Book Antiqua"/>
          <w:sz w:val="24"/>
          <w:szCs w:val="24"/>
          <w:lang w:val="es-ES_tradnl"/>
        </w:rPr>
      </w:pPr>
      <w:r w:rsidRPr="00922CB2">
        <w:rPr>
          <w:rFonts w:ascii="Book Antiqua" w:hAnsi="Book Antiqua"/>
          <w:sz w:val="24"/>
          <w:szCs w:val="24"/>
          <w:lang w:val="es-ES_tradnl"/>
        </w:rPr>
        <w:t>Presentado por el señor</w:t>
      </w:r>
      <w:r w:rsidRPr="00922CB2">
        <w:rPr>
          <w:rFonts w:ascii="Book Antiqua" w:hAnsi="Book Antiqua"/>
          <w:i/>
          <w:sz w:val="24"/>
          <w:szCs w:val="24"/>
          <w:lang w:val="es-ES_tradnl"/>
        </w:rPr>
        <w:t xml:space="preserve"> </w:t>
      </w:r>
      <w:r w:rsidR="0082736B" w:rsidRPr="00922CB2">
        <w:rPr>
          <w:rFonts w:ascii="Book Antiqua" w:hAnsi="Book Antiqua"/>
          <w:i/>
          <w:sz w:val="24"/>
          <w:szCs w:val="24"/>
          <w:lang w:val="es-ES_tradnl"/>
        </w:rPr>
        <w:t>Rivera Schatz</w:t>
      </w:r>
    </w:p>
    <w:p w14:paraId="29CEE76F" w14:textId="77777777" w:rsidR="009B5FB8" w:rsidRDefault="00153A92" w:rsidP="00CF30BC">
      <w:pPr>
        <w:spacing w:line="360" w:lineRule="auto"/>
        <w:jc w:val="center"/>
        <w:rPr>
          <w:rFonts w:ascii="Book Antiqua" w:hAnsi="Book Antiqua"/>
          <w:i/>
          <w:sz w:val="24"/>
          <w:szCs w:val="24"/>
        </w:rPr>
      </w:pPr>
      <w:r w:rsidRPr="00153A92">
        <w:rPr>
          <w:rFonts w:ascii="Book Antiqua" w:hAnsi="Book Antiqua"/>
          <w:i/>
          <w:sz w:val="24"/>
          <w:szCs w:val="24"/>
        </w:rPr>
        <w:t>Referido a la Comisión de Innovación, Reforma y Nombramientos</w:t>
      </w:r>
    </w:p>
    <w:p w14:paraId="01915FD3" w14:textId="77777777" w:rsidR="00153A92" w:rsidRPr="00922CB2" w:rsidRDefault="00153A92" w:rsidP="00153A92">
      <w:pPr>
        <w:jc w:val="center"/>
        <w:rPr>
          <w:rFonts w:ascii="Book Antiqua" w:hAnsi="Book Antiqua"/>
          <w:sz w:val="24"/>
          <w:szCs w:val="24"/>
          <w:lang w:val="es-ES_tradnl"/>
        </w:rPr>
      </w:pPr>
    </w:p>
    <w:p w14:paraId="4115D49B" w14:textId="77777777" w:rsidR="006F2FCB" w:rsidRPr="00922CB2" w:rsidRDefault="009B5FB8" w:rsidP="009B5FB8">
      <w:pPr>
        <w:pStyle w:val="MediumShading1-Accent11"/>
        <w:jc w:val="center"/>
        <w:rPr>
          <w:rFonts w:ascii="Book Antiqua" w:hAnsi="Book Antiqua"/>
          <w:b/>
          <w:sz w:val="26"/>
          <w:szCs w:val="26"/>
          <w:lang w:val="es-ES_tradnl"/>
        </w:rPr>
      </w:pPr>
      <w:r w:rsidRPr="00922CB2">
        <w:rPr>
          <w:rFonts w:ascii="Book Antiqua" w:hAnsi="Book Antiqua"/>
          <w:b/>
          <w:sz w:val="26"/>
          <w:szCs w:val="26"/>
          <w:lang w:val="es-ES_tradnl"/>
        </w:rPr>
        <w:t>LEY</w:t>
      </w:r>
      <w:bookmarkEnd w:id="2"/>
      <w:bookmarkEnd w:id="3"/>
    </w:p>
    <w:p w14:paraId="7D8A0590" w14:textId="77777777" w:rsidR="00AB1E5B" w:rsidRPr="00CF30BC" w:rsidRDefault="00AB1E5B" w:rsidP="006F2FCB">
      <w:pPr>
        <w:pStyle w:val="MediumShading1-Accent11"/>
        <w:jc w:val="center"/>
        <w:rPr>
          <w:rFonts w:ascii="Book Antiqua" w:hAnsi="Book Antiqua"/>
          <w:b/>
          <w:sz w:val="16"/>
          <w:szCs w:val="16"/>
          <w:lang w:val="es-ES"/>
        </w:rPr>
      </w:pPr>
    </w:p>
    <w:p w14:paraId="33046704" w14:textId="33C1459B" w:rsidR="00AB1E5B" w:rsidRPr="00CF30BC" w:rsidRDefault="00AB1E5B" w:rsidP="00E556F8">
      <w:pPr>
        <w:pStyle w:val="NormalWeb"/>
        <w:spacing w:before="0" w:beforeAutospacing="0" w:after="0" w:afterAutospacing="0"/>
        <w:ind w:left="540" w:hanging="540"/>
        <w:jc w:val="both"/>
        <w:rPr>
          <w:rFonts w:ascii="Book Antiqua" w:hAnsi="Book Antiqua"/>
          <w:lang w:val="es-ES"/>
        </w:rPr>
      </w:pPr>
      <w:r w:rsidRPr="00CF30BC">
        <w:rPr>
          <w:rFonts w:ascii="Book Antiqua" w:hAnsi="Book Antiqua"/>
          <w:lang w:val="es-ES"/>
        </w:rPr>
        <w:t>Para</w:t>
      </w:r>
      <w:r w:rsidR="00010415">
        <w:rPr>
          <w:rFonts w:ascii="Book Antiqua" w:hAnsi="Book Antiqua"/>
          <w:lang w:val="es-ES"/>
        </w:rPr>
        <w:t xml:space="preserve"> </w:t>
      </w:r>
      <w:r w:rsidR="00010415">
        <w:rPr>
          <w:rFonts w:ascii="Book Antiqua" w:hAnsi="Book Antiqua"/>
          <w:i/>
          <w:iCs/>
          <w:u w:val="single"/>
          <w:lang w:val="es-ES"/>
        </w:rPr>
        <w:t xml:space="preserve">eliminar los incisos </w:t>
      </w:r>
      <w:r w:rsidR="00BC05F4">
        <w:rPr>
          <w:rFonts w:ascii="Book Antiqua" w:hAnsi="Book Antiqua"/>
          <w:i/>
          <w:iCs/>
          <w:u w:val="single"/>
          <w:lang w:val="es-ES"/>
        </w:rPr>
        <w:t>8</w:t>
      </w:r>
      <w:r w:rsidR="00010415">
        <w:rPr>
          <w:rFonts w:ascii="Book Antiqua" w:hAnsi="Book Antiqua"/>
          <w:i/>
          <w:iCs/>
          <w:u w:val="single"/>
          <w:lang w:val="es-ES"/>
        </w:rPr>
        <w:t xml:space="preserve"> y </w:t>
      </w:r>
      <w:r w:rsidR="00BC05F4">
        <w:rPr>
          <w:rFonts w:ascii="Book Antiqua" w:hAnsi="Book Antiqua"/>
          <w:i/>
          <w:iCs/>
          <w:u w:val="single"/>
          <w:lang w:val="es-ES"/>
        </w:rPr>
        <w:t>9</w:t>
      </w:r>
      <w:r w:rsidR="002058C8">
        <w:rPr>
          <w:rFonts w:ascii="Book Antiqua" w:hAnsi="Book Antiqua"/>
          <w:i/>
          <w:iCs/>
          <w:u w:val="single"/>
          <w:lang w:val="es-ES"/>
        </w:rPr>
        <w:t>, y</w:t>
      </w:r>
      <w:r w:rsidR="002058C8" w:rsidRPr="002058C8">
        <w:rPr>
          <w:rFonts w:ascii="Book Antiqua" w:hAnsi="Book Antiqua"/>
          <w:i/>
          <w:iCs/>
          <w:lang w:val="es-ES"/>
        </w:rPr>
        <w:t xml:space="preserve"> </w:t>
      </w:r>
      <w:r w:rsidR="005263E7" w:rsidRPr="00CF30BC">
        <w:rPr>
          <w:rFonts w:ascii="Book Antiqua" w:hAnsi="Book Antiqua"/>
          <w:lang w:val="es-PR"/>
        </w:rPr>
        <w:t>enmendar el</w:t>
      </w:r>
      <w:r w:rsidR="00E07D77">
        <w:rPr>
          <w:rFonts w:ascii="Book Antiqua" w:hAnsi="Book Antiqua"/>
          <w:lang w:val="es-PR"/>
        </w:rPr>
        <w:t xml:space="preserve"> </w:t>
      </w:r>
      <w:r w:rsidR="00E07D77">
        <w:rPr>
          <w:rFonts w:ascii="Book Antiqua" w:hAnsi="Book Antiqua"/>
          <w:i/>
          <w:iCs/>
          <w:u w:val="single"/>
          <w:lang w:val="es-PR"/>
        </w:rPr>
        <w:t>inciso 5 del</w:t>
      </w:r>
      <w:r w:rsidR="005263E7" w:rsidRPr="00CF30BC">
        <w:rPr>
          <w:rFonts w:ascii="Book Antiqua" w:hAnsi="Book Antiqua"/>
          <w:bCs/>
          <w:lang w:val="es-PR"/>
        </w:rPr>
        <w:t xml:space="preserve"> </w:t>
      </w:r>
      <w:r w:rsidR="005263E7" w:rsidRPr="001214E9">
        <w:rPr>
          <w:rFonts w:ascii="Book Antiqua" w:hAnsi="Book Antiqua"/>
          <w:bCs/>
          <w:lang w:val="es-PR"/>
        </w:rPr>
        <w:t>Artículo</w:t>
      </w:r>
      <w:r w:rsidR="005263E7" w:rsidRPr="00CF30BC">
        <w:rPr>
          <w:rFonts w:ascii="Book Antiqua" w:hAnsi="Book Antiqua"/>
          <w:bCs/>
          <w:lang w:val="es-PR"/>
        </w:rPr>
        <w:t xml:space="preserve"> 11 de la Ley Núm. 75</w:t>
      </w:r>
      <w:r w:rsidR="00284227" w:rsidRPr="00CF30BC">
        <w:rPr>
          <w:rFonts w:ascii="Book Antiqua" w:hAnsi="Book Antiqua"/>
          <w:bCs/>
          <w:lang w:val="es-PR"/>
        </w:rPr>
        <w:t xml:space="preserve"> de 2 de julio de 1987</w:t>
      </w:r>
      <w:r w:rsidR="005263E7" w:rsidRPr="00CF30BC">
        <w:rPr>
          <w:rFonts w:ascii="Book Antiqua" w:hAnsi="Book Antiqua"/>
          <w:bCs/>
          <w:lang w:val="es-PR"/>
        </w:rPr>
        <w:t>, según enmendada, conocida como “Ley Notarial de Puerto Rico,” a los fines de rectificar la información que debe contener la</w:t>
      </w:r>
      <w:r w:rsidR="005263E7" w:rsidRPr="00CF30BC">
        <w:rPr>
          <w:rFonts w:ascii="Book Antiqua" w:hAnsi="Book Antiqua"/>
          <w:lang w:val="es-PR"/>
        </w:rPr>
        <w:t xml:space="preserve"> Planilla Informativa sobre Segregación, Agrupación o Traslado de Bienes Inmuebles;</w:t>
      </w:r>
      <w:r w:rsidR="00DB6E13">
        <w:rPr>
          <w:rFonts w:ascii="Book Antiqua" w:hAnsi="Book Antiqua"/>
          <w:lang w:val="es-PR"/>
        </w:rPr>
        <w:t xml:space="preserve"> </w:t>
      </w:r>
      <w:r w:rsidR="00DB6E13">
        <w:rPr>
          <w:rFonts w:ascii="Book Antiqua" w:hAnsi="Book Antiqua"/>
          <w:i/>
          <w:iCs/>
          <w:u w:val="single"/>
          <w:lang w:val="es-PR"/>
        </w:rPr>
        <w:t>hacer enmiendas técnicas</w:t>
      </w:r>
      <w:r w:rsidR="00DD4819">
        <w:rPr>
          <w:rFonts w:ascii="Book Antiqua" w:hAnsi="Book Antiqua"/>
          <w:i/>
          <w:iCs/>
          <w:u w:val="single"/>
          <w:lang w:val="es-PR"/>
        </w:rPr>
        <w:t xml:space="preserve"> al Artículo 11</w:t>
      </w:r>
      <w:r w:rsidR="00DB6E13">
        <w:rPr>
          <w:rFonts w:ascii="Book Antiqua" w:hAnsi="Book Antiqua"/>
          <w:i/>
          <w:iCs/>
          <w:u w:val="single"/>
          <w:lang w:val="es-PR"/>
        </w:rPr>
        <w:t>;</w:t>
      </w:r>
      <w:r w:rsidR="005263E7" w:rsidRPr="00CF30BC">
        <w:rPr>
          <w:rFonts w:ascii="Book Antiqua" w:hAnsi="Book Antiqua"/>
          <w:lang w:val="es-PR"/>
        </w:rPr>
        <w:t xml:space="preserve"> y para otros fines relacionados</w:t>
      </w:r>
      <w:r w:rsidR="00922CB2" w:rsidRPr="00CF30BC">
        <w:rPr>
          <w:rFonts w:ascii="Book Antiqua" w:hAnsi="Book Antiqua"/>
          <w:lang w:val="es-PR"/>
        </w:rPr>
        <w:t>.</w:t>
      </w:r>
    </w:p>
    <w:p w14:paraId="4AF0C81D" w14:textId="77777777" w:rsidR="006F2FCB" w:rsidRPr="00922CB2" w:rsidRDefault="006F2FCB" w:rsidP="006F2FCB">
      <w:pPr>
        <w:ind w:left="600" w:hanging="600"/>
        <w:rPr>
          <w:rFonts w:ascii="Book Antiqua" w:hAnsi="Book Antiqua"/>
          <w:sz w:val="24"/>
          <w:szCs w:val="24"/>
        </w:rPr>
      </w:pPr>
    </w:p>
    <w:p w14:paraId="1239DB34" w14:textId="77777777" w:rsidR="006F2FCB" w:rsidRPr="00922CB2" w:rsidRDefault="006F2FCB" w:rsidP="0004665F">
      <w:pPr>
        <w:jc w:val="center"/>
        <w:rPr>
          <w:rFonts w:ascii="Book Antiqua" w:hAnsi="Book Antiqua"/>
          <w:b/>
          <w:bCs/>
          <w:sz w:val="24"/>
          <w:szCs w:val="24"/>
          <w:lang w:val="es-CR"/>
        </w:rPr>
      </w:pPr>
      <w:r w:rsidRPr="00922CB2">
        <w:rPr>
          <w:rFonts w:ascii="Book Antiqua" w:hAnsi="Book Antiqua"/>
          <w:b/>
          <w:bCs/>
          <w:sz w:val="24"/>
          <w:szCs w:val="24"/>
          <w:lang w:val="es-CR"/>
        </w:rPr>
        <w:t>EXPOSICIÓN DE MOTIVOS</w:t>
      </w:r>
    </w:p>
    <w:p w14:paraId="509B0520" w14:textId="77777777" w:rsidR="00B5507E" w:rsidRPr="004410CE" w:rsidRDefault="00B5507E" w:rsidP="00B5507E">
      <w:pPr>
        <w:rPr>
          <w:rFonts w:ascii="Book Antiqua" w:hAnsi="Book Antiqua"/>
          <w:sz w:val="8"/>
          <w:szCs w:val="8"/>
          <w:lang w:val="es-CR"/>
        </w:rPr>
      </w:pPr>
    </w:p>
    <w:p w14:paraId="66206F0B" w14:textId="77777777" w:rsidR="005263E7" w:rsidRPr="00CF30BC" w:rsidRDefault="005263E7" w:rsidP="004410CE">
      <w:pPr>
        <w:pStyle w:val="BodyText"/>
        <w:spacing w:before="120" w:line="360" w:lineRule="auto"/>
        <w:ind w:right="-61" w:firstLine="274"/>
        <w:rPr>
          <w:rFonts w:ascii="Book Antiqua" w:hAnsi="Book Antiqua"/>
          <w:sz w:val="24"/>
          <w:szCs w:val="24"/>
        </w:rPr>
      </w:pPr>
      <w:r w:rsidRPr="00CF30BC">
        <w:rPr>
          <w:rFonts w:ascii="Book Antiqua" w:hAnsi="Book Antiqua"/>
          <w:sz w:val="24"/>
          <w:szCs w:val="24"/>
        </w:rPr>
        <w:t xml:space="preserve">De acuerdo con lo establecido en la Sección 17 del Artículo III de la Constitución de Puerto Rico, ningún proyecto de ley puede abordar más de un asunto y este debe estar claramente reflejado en su título. Esta disposición constitucional busca evitar que se incluyan en las leyes asuntos irrelevantes o no relacionados con el propósito principal de la legislación. </w:t>
      </w:r>
    </w:p>
    <w:p w14:paraId="0550F1B6" w14:textId="3CD44282" w:rsidR="005263E7" w:rsidRDefault="005263E7" w:rsidP="004410CE">
      <w:pPr>
        <w:pStyle w:val="BodyText"/>
        <w:spacing w:before="120" w:line="360" w:lineRule="auto"/>
        <w:ind w:right="-61" w:firstLine="274"/>
        <w:rPr>
          <w:rFonts w:ascii="Book Antiqua" w:hAnsi="Book Antiqua"/>
          <w:sz w:val="24"/>
          <w:szCs w:val="24"/>
        </w:rPr>
      </w:pPr>
      <w:r w:rsidRPr="00CF30BC">
        <w:rPr>
          <w:rFonts w:ascii="Book Antiqua" w:hAnsi="Book Antiqua"/>
          <w:sz w:val="24"/>
          <w:szCs w:val="24"/>
        </w:rPr>
        <w:t xml:space="preserve">La Ley </w:t>
      </w:r>
      <w:r w:rsidR="001214E9" w:rsidRPr="001214E9">
        <w:rPr>
          <w:rFonts w:ascii="Book Antiqua" w:hAnsi="Book Antiqua"/>
          <w:i/>
          <w:iCs/>
          <w:sz w:val="24"/>
          <w:szCs w:val="24"/>
          <w:u w:val="single"/>
        </w:rPr>
        <w:t>Núm.</w:t>
      </w:r>
      <w:r w:rsidR="001214E9">
        <w:rPr>
          <w:rFonts w:ascii="Book Antiqua" w:hAnsi="Book Antiqua"/>
          <w:sz w:val="24"/>
          <w:szCs w:val="24"/>
        </w:rPr>
        <w:t xml:space="preserve"> </w:t>
      </w:r>
      <w:r w:rsidRPr="00CF30BC">
        <w:rPr>
          <w:rFonts w:ascii="Book Antiqua" w:hAnsi="Book Antiqua"/>
          <w:sz w:val="24"/>
          <w:szCs w:val="24"/>
        </w:rPr>
        <w:t>52-2022, conocida como la “Ley para la Estabilización de las Finanzas Públicas de Puerto Rico,”</w:t>
      </w:r>
      <w:r w:rsidR="00CF30BC" w:rsidRPr="00CF30BC">
        <w:rPr>
          <w:rFonts w:ascii="Book Antiqua" w:hAnsi="Book Antiqua"/>
          <w:sz w:val="24"/>
          <w:szCs w:val="24"/>
        </w:rPr>
        <w:t xml:space="preserve"> </w:t>
      </w:r>
      <w:r w:rsidRPr="00CF30BC">
        <w:rPr>
          <w:rFonts w:ascii="Book Antiqua" w:hAnsi="Book Antiqua"/>
          <w:sz w:val="24"/>
          <w:szCs w:val="24"/>
        </w:rPr>
        <w:t xml:space="preserve">entre otros asuntos, </w:t>
      </w:r>
      <w:r w:rsidR="00A0134D" w:rsidRPr="00CF30BC">
        <w:rPr>
          <w:rFonts w:ascii="Book Antiqua" w:hAnsi="Book Antiqua"/>
          <w:sz w:val="24"/>
          <w:szCs w:val="24"/>
        </w:rPr>
        <w:t xml:space="preserve">dispuso </w:t>
      </w:r>
      <w:r w:rsidRPr="00CF30BC">
        <w:rPr>
          <w:rFonts w:ascii="Book Antiqua" w:hAnsi="Book Antiqua"/>
          <w:sz w:val="24"/>
          <w:szCs w:val="24"/>
        </w:rPr>
        <w:t xml:space="preserve">un nuevo marco regulatorio en nuestro sistema contributivo para las empresas multinacionales reguladas por la Ley </w:t>
      </w:r>
      <w:r w:rsidR="001214E9" w:rsidRPr="001214E9">
        <w:rPr>
          <w:rFonts w:ascii="Book Antiqua" w:hAnsi="Book Antiqua"/>
          <w:i/>
          <w:iCs/>
          <w:sz w:val="24"/>
          <w:szCs w:val="24"/>
          <w:u w:val="single"/>
        </w:rPr>
        <w:t>Núm.</w:t>
      </w:r>
      <w:r w:rsidR="001214E9">
        <w:rPr>
          <w:rFonts w:ascii="Book Antiqua" w:hAnsi="Book Antiqua"/>
          <w:sz w:val="24"/>
          <w:szCs w:val="24"/>
        </w:rPr>
        <w:t xml:space="preserve"> </w:t>
      </w:r>
      <w:r w:rsidRPr="00CF30BC">
        <w:rPr>
          <w:rFonts w:ascii="Book Antiqua" w:hAnsi="Book Antiqua"/>
          <w:sz w:val="24"/>
          <w:szCs w:val="24"/>
        </w:rPr>
        <w:t>154-2010, las cuales son clave para el desarrollo económico del país. No obstante, dicha legislación incluyó enmiendas a la Ley Núm. 75</w:t>
      </w:r>
      <w:r w:rsidR="00284227" w:rsidRPr="00CF30BC">
        <w:rPr>
          <w:rFonts w:ascii="Book Antiqua" w:hAnsi="Book Antiqua"/>
          <w:sz w:val="24"/>
          <w:szCs w:val="24"/>
        </w:rPr>
        <w:t xml:space="preserve"> de 2 de julio de 1987</w:t>
      </w:r>
      <w:r w:rsidRPr="00916CC4">
        <w:rPr>
          <w:rFonts w:ascii="Book Antiqua" w:hAnsi="Book Antiqua"/>
          <w:strike/>
          <w:sz w:val="24"/>
          <w:szCs w:val="24"/>
        </w:rPr>
        <w:t xml:space="preserve">, conocida como la </w:t>
      </w:r>
      <w:r w:rsidRPr="00916CC4">
        <w:rPr>
          <w:rFonts w:ascii="Book Antiqua" w:hAnsi="Book Antiqua"/>
          <w:strike/>
          <w:sz w:val="24"/>
          <w:szCs w:val="24"/>
        </w:rPr>
        <w:lastRenderedPageBreak/>
        <w:t>“Ley Notarial de Puerto Rico,”</w:t>
      </w:r>
      <w:r w:rsidRPr="00CF30BC">
        <w:rPr>
          <w:rFonts w:ascii="Book Antiqua" w:hAnsi="Book Antiqua"/>
          <w:sz w:val="24"/>
          <w:szCs w:val="24"/>
        </w:rPr>
        <w:t xml:space="preserve"> las cuales no guardan relación con las reformas esenciales realizados al sistema contributivo local, en lo referente a las empresas foráneas.</w:t>
      </w:r>
    </w:p>
    <w:p w14:paraId="4EB61C7D" w14:textId="736C764D" w:rsidR="00AD27DE" w:rsidRPr="00B86EB3" w:rsidRDefault="00B86EB3" w:rsidP="004410CE">
      <w:pPr>
        <w:pStyle w:val="BodyText"/>
        <w:spacing w:before="120" w:line="360" w:lineRule="auto"/>
        <w:ind w:right="-61" w:firstLine="274"/>
        <w:rPr>
          <w:rFonts w:ascii="Book Antiqua" w:hAnsi="Book Antiqua"/>
          <w:i/>
          <w:iCs/>
          <w:sz w:val="24"/>
          <w:szCs w:val="24"/>
          <w:u w:val="single"/>
        </w:rPr>
      </w:pPr>
      <w:r w:rsidRPr="00B86EB3">
        <w:rPr>
          <w:rFonts w:ascii="Book Antiqua" w:hAnsi="Book Antiqua"/>
          <w:i/>
          <w:iCs/>
          <w:sz w:val="24"/>
          <w:szCs w:val="24"/>
          <w:u w:val="single"/>
        </w:rPr>
        <w:t xml:space="preserve">Se enmendó el </w:t>
      </w:r>
      <w:r>
        <w:rPr>
          <w:rFonts w:ascii="Book Antiqua" w:hAnsi="Book Antiqua"/>
          <w:i/>
          <w:iCs/>
          <w:sz w:val="24"/>
          <w:szCs w:val="24"/>
          <w:u w:val="single"/>
        </w:rPr>
        <w:t>A</w:t>
      </w:r>
      <w:r w:rsidRPr="00B86EB3">
        <w:rPr>
          <w:rFonts w:ascii="Book Antiqua" w:hAnsi="Book Antiqua"/>
          <w:i/>
          <w:iCs/>
          <w:sz w:val="24"/>
          <w:szCs w:val="24"/>
          <w:u w:val="single"/>
        </w:rPr>
        <w:t>rtículo 11 de la Ley Núm. 75 de 2 de julio de 1987 para requerirle a los notarios que, en la planilla informativa sobre segregación, agrupación o traslado de bienes inmuebles, incluy</w:t>
      </w:r>
      <w:r w:rsidR="00926F3E">
        <w:rPr>
          <w:rFonts w:ascii="Book Antiqua" w:hAnsi="Book Antiqua"/>
          <w:i/>
          <w:iCs/>
          <w:sz w:val="24"/>
          <w:szCs w:val="24"/>
          <w:u w:val="single"/>
        </w:rPr>
        <w:t>er</w:t>
      </w:r>
      <w:r w:rsidRPr="00B86EB3">
        <w:rPr>
          <w:rFonts w:ascii="Book Antiqua" w:hAnsi="Book Antiqua"/>
          <w:i/>
          <w:iCs/>
          <w:sz w:val="24"/>
          <w:szCs w:val="24"/>
          <w:u w:val="single"/>
        </w:rPr>
        <w:t>an: 1) una tasación realizada por un Evaluador Profesional Autorizado con licencia vigente en Puerto Rico, 2) un plano de mensura y 3) un estudio de título.</w:t>
      </w:r>
    </w:p>
    <w:p w14:paraId="0D557823" w14:textId="748D906C" w:rsidR="005263E7" w:rsidRPr="005263E7" w:rsidRDefault="005263E7" w:rsidP="004410CE">
      <w:pPr>
        <w:pStyle w:val="BodyText"/>
        <w:spacing w:before="120" w:line="360" w:lineRule="auto"/>
        <w:ind w:right="-61" w:firstLine="274"/>
        <w:rPr>
          <w:rFonts w:ascii="Book Antiqua" w:hAnsi="Book Antiqua"/>
          <w:sz w:val="24"/>
          <w:szCs w:val="24"/>
        </w:rPr>
      </w:pPr>
      <w:r w:rsidRPr="005263E7">
        <w:rPr>
          <w:rFonts w:ascii="Book Antiqua" w:hAnsi="Book Antiqua"/>
          <w:sz w:val="24"/>
          <w:szCs w:val="24"/>
        </w:rPr>
        <w:t xml:space="preserve">En este contexto, </w:t>
      </w:r>
      <w:r w:rsidR="00A0134D" w:rsidRPr="00CF30BC">
        <w:rPr>
          <w:rFonts w:ascii="Book Antiqua" w:hAnsi="Book Antiqua"/>
          <w:sz w:val="24"/>
          <w:szCs w:val="24"/>
        </w:rPr>
        <w:t>el tribunal de Primera Instancia de San Juan en el caso</w:t>
      </w:r>
      <w:r w:rsidR="00A0134D" w:rsidRPr="00CF30BC">
        <w:rPr>
          <w:rFonts w:ascii="Book Antiqua" w:hAnsi="Book Antiqua"/>
          <w:i/>
          <w:iCs/>
          <w:sz w:val="24"/>
          <w:szCs w:val="24"/>
        </w:rPr>
        <w:t xml:space="preserve"> Asociación de Abogados de Puerto Rico v. el </w:t>
      </w:r>
      <w:r w:rsidR="00A41892" w:rsidRPr="00CF30BC">
        <w:rPr>
          <w:rFonts w:ascii="Book Antiqua" w:hAnsi="Book Antiqua"/>
          <w:i/>
          <w:iCs/>
          <w:sz w:val="24"/>
          <w:szCs w:val="24"/>
        </w:rPr>
        <w:t>G</w:t>
      </w:r>
      <w:r w:rsidR="00A0134D" w:rsidRPr="00CF30BC">
        <w:rPr>
          <w:rFonts w:ascii="Book Antiqua" w:hAnsi="Book Antiqua"/>
          <w:i/>
          <w:iCs/>
          <w:sz w:val="24"/>
          <w:szCs w:val="24"/>
        </w:rPr>
        <w:t>obierno de Puerto Rico,</w:t>
      </w:r>
      <w:r w:rsidR="002B181E" w:rsidRPr="00CF30BC">
        <w:rPr>
          <w:rFonts w:ascii="Book Antiqua" w:hAnsi="Book Antiqua"/>
          <w:i/>
          <w:iCs/>
          <w:sz w:val="24"/>
          <w:szCs w:val="24"/>
        </w:rPr>
        <w:t xml:space="preserve"> Civil Núm. SJ2022CV05905</w:t>
      </w:r>
      <w:r w:rsidR="002B181E" w:rsidRPr="00CF30BC">
        <w:rPr>
          <w:rFonts w:ascii="Book Antiqua" w:hAnsi="Book Antiqua"/>
          <w:sz w:val="24"/>
          <w:szCs w:val="24"/>
        </w:rPr>
        <w:t xml:space="preserve"> </w:t>
      </w:r>
      <w:r w:rsidRPr="00CF30BC">
        <w:rPr>
          <w:rFonts w:ascii="Book Antiqua" w:hAnsi="Book Antiqua"/>
          <w:sz w:val="24"/>
          <w:szCs w:val="24"/>
        </w:rPr>
        <w:t>interpretó</w:t>
      </w:r>
      <w:r w:rsidRPr="005263E7">
        <w:rPr>
          <w:rFonts w:ascii="Book Antiqua" w:hAnsi="Book Antiqua"/>
          <w:sz w:val="24"/>
          <w:szCs w:val="24"/>
        </w:rPr>
        <w:t xml:space="preserve"> la Ley</w:t>
      </w:r>
      <w:r w:rsidR="00916CC4">
        <w:rPr>
          <w:rFonts w:ascii="Book Antiqua" w:hAnsi="Book Antiqua"/>
          <w:sz w:val="24"/>
          <w:szCs w:val="24"/>
        </w:rPr>
        <w:t xml:space="preserve"> </w:t>
      </w:r>
      <w:r w:rsidR="00916CC4" w:rsidRPr="00916CC4">
        <w:rPr>
          <w:rFonts w:ascii="Book Antiqua" w:hAnsi="Book Antiqua"/>
          <w:i/>
          <w:iCs/>
          <w:sz w:val="24"/>
          <w:szCs w:val="24"/>
          <w:u w:val="single"/>
        </w:rPr>
        <w:t>N</w:t>
      </w:r>
      <w:r w:rsidR="00B113A1">
        <w:rPr>
          <w:rFonts w:ascii="Book Antiqua" w:hAnsi="Book Antiqua"/>
          <w:i/>
          <w:iCs/>
          <w:sz w:val="24"/>
          <w:szCs w:val="24"/>
          <w:u w:val="single"/>
        </w:rPr>
        <w:t>ú</w:t>
      </w:r>
      <w:r w:rsidR="00916CC4" w:rsidRPr="00916CC4">
        <w:rPr>
          <w:rFonts w:ascii="Book Antiqua" w:hAnsi="Book Antiqua"/>
          <w:i/>
          <w:iCs/>
          <w:sz w:val="24"/>
          <w:szCs w:val="24"/>
          <w:u w:val="single"/>
        </w:rPr>
        <w:t>m.</w:t>
      </w:r>
      <w:r w:rsidRPr="005263E7">
        <w:rPr>
          <w:rFonts w:ascii="Book Antiqua" w:hAnsi="Book Antiqua"/>
          <w:sz w:val="24"/>
          <w:szCs w:val="24"/>
        </w:rPr>
        <w:t xml:space="preserve"> 52-2022 y, como resultado, declaró nulo el Artículo 86 </w:t>
      </w:r>
      <w:r w:rsidRPr="00916CC4">
        <w:rPr>
          <w:rFonts w:ascii="Book Antiqua" w:hAnsi="Book Antiqua"/>
          <w:strike/>
          <w:sz w:val="24"/>
          <w:szCs w:val="24"/>
        </w:rPr>
        <w:t>de dicha ley</w:t>
      </w:r>
      <w:r w:rsidRPr="005263E7">
        <w:rPr>
          <w:rFonts w:ascii="Book Antiqua" w:hAnsi="Book Antiqua"/>
          <w:sz w:val="24"/>
          <w:szCs w:val="24"/>
        </w:rPr>
        <w:t xml:space="preserve">, el cual intentaba modificar la </w:t>
      </w:r>
      <w:r w:rsidRPr="005263E7">
        <w:rPr>
          <w:rFonts w:ascii="Book Antiqua" w:hAnsi="Book Antiqua"/>
          <w:bCs/>
          <w:sz w:val="24"/>
          <w:szCs w:val="24"/>
          <w:lang w:val="es-PR"/>
        </w:rPr>
        <w:t>Ley Núm. 75</w:t>
      </w:r>
      <w:r w:rsidR="00284227" w:rsidRPr="00CF30BC">
        <w:rPr>
          <w:rFonts w:ascii="Book Antiqua" w:hAnsi="Book Antiqua"/>
          <w:sz w:val="24"/>
          <w:szCs w:val="24"/>
        </w:rPr>
        <w:t xml:space="preserve"> </w:t>
      </w:r>
      <w:r w:rsidR="00284227" w:rsidRPr="004F785E">
        <w:rPr>
          <w:rFonts w:ascii="Book Antiqua" w:hAnsi="Book Antiqua"/>
          <w:sz w:val="24"/>
          <w:szCs w:val="24"/>
        </w:rPr>
        <w:t>de 2 de julio de 1987</w:t>
      </w:r>
      <w:r w:rsidRPr="00916CC4">
        <w:rPr>
          <w:rFonts w:ascii="Book Antiqua" w:hAnsi="Book Antiqua"/>
          <w:bCs/>
          <w:strike/>
          <w:sz w:val="24"/>
          <w:szCs w:val="24"/>
          <w:lang w:val="es-PR"/>
        </w:rPr>
        <w:t>, según enmendada, conocida como “Ley Notarial de Puerto Rico</w:t>
      </w:r>
      <w:r w:rsidRPr="00916CC4">
        <w:rPr>
          <w:rFonts w:ascii="Book Antiqua" w:hAnsi="Book Antiqua"/>
          <w:strike/>
          <w:sz w:val="24"/>
          <w:szCs w:val="24"/>
        </w:rPr>
        <w:t>.”</w:t>
      </w:r>
      <w:r w:rsidRPr="005263E7">
        <w:rPr>
          <w:rFonts w:ascii="Book Antiqua" w:hAnsi="Book Antiqua"/>
          <w:sz w:val="24"/>
          <w:szCs w:val="24"/>
        </w:rPr>
        <w:t>.</w:t>
      </w:r>
    </w:p>
    <w:p w14:paraId="22EE7FDA" w14:textId="3C76080F" w:rsidR="00ED58BC" w:rsidRDefault="005263E7" w:rsidP="004410CE">
      <w:pPr>
        <w:widowControl w:val="0"/>
        <w:suppressLineNumbers/>
        <w:spacing w:before="120" w:after="120" w:line="360" w:lineRule="auto"/>
        <w:ind w:firstLine="274"/>
        <w:rPr>
          <w:rFonts w:ascii="Book Antiqua" w:hAnsi="Book Antiqua" w:cs="AppleSystemUIFont"/>
          <w:sz w:val="24"/>
          <w:szCs w:val="24"/>
          <w:lang w:val="es-ES_tradnl"/>
        </w:rPr>
      </w:pPr>
      <w:r w:rsidRPr="005263E7">
        <w:rPr>
          <w:rFonts w:ascii="Book Antiqua" w:hAnsi="Book Antiqua"/>
          <w:sz w:val="24"/>
          <w:szCs w:val="24"/>
        </w:rPr>
        <w:t>En atención a este hecho, esta pieza legislativa rectifica la información que debe contener la planilla informativa sobre segregación, agrupación o traslado de bienes inmuebles contenida en el Artículo 11 de la Ley Núm. 75</w:t>
      </w:r>
      <w:r w:rsidR="00284227" w:rsidRPr="00CF30BC">
        <w:rPr>
          <w:rFonts w:ascii="Book Antiqua" w:hAnsi="Book Antiqua"/>
          <w:sz w:val="24"/>
          <w:szCs w:val="24"/>
        </w:rPr>
        <w:t xml:space="preserve"> de 2 de julio de 1987</w:t>
      </w:r>
      <w:r w:rsidRPr="002D3357">
        <w:rPr>
          <w:rFonts w:ascii="Book Antiqua" w:hAnsi="Book Antiqua"/>
          <w:strike/>
          <w:sz w:val="24"/>
          <w:szCs w:val="24"/>
        </w:rPr>
        <w:t>, restituyéndose</w:t>
      </w:r>
      <w:r w:rsidR="006176A8">
        <w:rPr>
          <w:rFonts w:ascii="Book Antiqua" w:hAnsi="Book Antiqua"/>
          <w:i/>
          <w:iCs/>
          <w:sz w:val="24"/>
          <w:szCs w:val="24"/>
          <w:u w:val="single"/>
        </w:rPr>
        <w:t>. Así, se restituye</w:t>
      </w:r>
      <w:r w:rsidRPr="005263E7">
        <w:rPr>
          <w:rFonts w:ascii="Book Antiqua" w:hAnsi="Book Antiqua"/>
          <w:sz w:val="24"/>
          <w:szCs w:val="24"/>
        </w:rPr>
        <w:t xml:space="preserve"> al lenguaje vigente previo a la aprobación de la Ley </w:t>
      </w:r>
      <w:r w:rsidR="00BD7E3C" w:rsidRPr="0085790D">
        <w:rPr>
          <w:rFonts w:ascii="Book Antiqua" w:hAnsi="Book Antiqua"/>
          <w:i/>
          <w:iCs/>
          <w:sz w:val="24"/>
          <w:szCs w:val="24"/>
          <w:u w:val="single"/>
          <w:lang w:val="es-PR"/>
        </w:rPr>
        <w:t>N</w:t>
      </w:r>
      <w:r w:rsidR="00B113A1">
        <w:rPr>
          <w:rFonts w:ascii="Book Antiqua" w:hAnsi="Book Antiqua"/>
          <w:i/>
          <w:iCs/>
          <w:sz w:val="24"/>
          <w:szCs w:val="24"/>
          <w:u w:val="single"/>
          <w:lang w:val="es-PR"/>
        </w:rPr>
        <w:t>ú</w:t>
      </w:r>
      <w:r w:rsidR="00BD7E3C" w:rsidRPr="0085790D">
        <w:rPr>
          <w:rFonts w:ascii="Book Antiqua" w:hAnsi="Book Antiqua"/>
          <w:i/>
          <w:iCs/>
          <w:sz w:val="24"/>
          <w:szCs w:val="24"/>
          <w:u w:val="single"/>
          <w:lang w:val="es-PR"/>
        </w:rPr>
        <w:t>m.</w:t>
      </w:r>
      <w:r w:rsidR="00BD7E3C" w:rsidRPr="0085790D">
        <w:rPr>
          <w:rFonts w:ascii="Book Antiqua" w:hAnsi="Book Antiqua"/>
          <w:sz w:val="24"/>
          <w:szCs w:val="24"/>
          <w:lang w:val="es-PR"/>
        </w:rPr>
        <w:t xml:space="preserve"> </w:t>
      </w:r>
      <w:r w:rsidRPr="005263E7">
        <w:rPr>
          <w:rFonts w:ascii="Book Antiqua" w:hAnsi="Book Antiqua"/>
          <w:sz w:val="24"/>
          <w:szCs w:val="24"/>
        </w:rPr>
        <w:t>52-2022</w:t>
      </w:r>
      <w:r w:rsidR="00922CB2" w:rsidRPr="005263E7">
        <w:rPr>
          <w:rFonts w:ascii="Book Antiqua" w:hAnsi="Book Antiqua" w:cs="AppleSystemUIFont"/>
          <w:sz w:val="24"/>
          <w:szCs w:val="24"/>
          <w:lang w:val="es-ES_tradnl"/>
        </w:rPr>
        <w:t>.</w:t>
      </w:r>
    </w:p>
    <w:p w14:paraId="5D00FB19" w14:textId="616ABEFA" w:rsidR="00D86FA9" w:rsidRDefault="00837816" w:rsidP="004410CE">
      <w:pPr>
        <w:widowControl w:val="0"/>
        <w:suppressLineNumbers/>
        <w:spacing w:before="120" w:after="120" w:line="360" w:lineRule="auto"/>
        <w:ind w:firstLine="274"/>
        <w:rPr>
          <w:rFonts w:ascii="Book Antiqua" w:hAnsi="Book Antiqua"/>
          <w:i/>
          <w:iCs/>
          <w:sz w:val="24"/>
          <w:szCs w:val="24"/>
          <w:u w:val="single"/>
        </w:rPr>
      </w:pPr>
      <w:r>
        <w:rPr>
          <w:rFonts w:ascii="Book Antiqua" w:hAnsi="Book Antiqua"/>
          <w:i/>
          <w:iCs/>
          <w:sz w:val="24"/>
          <w:szCs w:val="24"/>
          <w:u w:val="single"/>
        </w:rPr>
        <w:t xml:space="preserve">Específicamente, se eliminan los incisos </w:t>
      </w:r>
      <w:r w:rsidR="005519E2">
        <w:rPr>
          <w:rFonts w:ascii="Book Antiqua" w:hAnsi="Book Antiqua"/>
          <w:i/>
          <w:iCs/>
          <w:sz w:val="24"/>
          <w:szCs w:val="24"/>
          <w:u w:val="single"/>
        </w:rPr>
        <w:t>8</w:t>
      </w:r>
      <w:r>
        <w:rPr>
          <w:rFonts w:ascii="Book Antiqua" w:hAnsi="Book Antiqua"/>
          <w:i/>
          <w:iCs/>
          <w:sz w:val="24"/>
          <w:szCs w:val="24"/>
          <w:u w:val="single"/>
        </w:rPr>
        <w:t xml:space="preserve"> y </w:t>
      </w:r>
      <w:r w:rsidR="005519E2">
        <w:rPr>
          <w:rFonts w:ascii="Book Antiqua" w:hAnsi="Book Antiqua"/>
          <w:i/>
          <w:iCs/>
          <w:sz w:val="24"/>
          <w:szCs w:val="24"/>
          <w:u w:val="single"/>
        </w:rPr>
        <w:t>9</w:t>
      </w:r>
      <w:r>
        <w:rPr>
          <w:rFonts w:ascii="Book Antiqua" w:hAnsi="Book Antiqua"/>
          <w:i/>
          <w:iCs/>
          <w:sz w:val="24"/>
          <w:szCs w:val="24"/>
          <w:u w:val="single"/>
        </w:rPr>
        <w:t xml:space="preserve"> y se enmienda el inciso 5 del </w:t>
      </w:r>
      <w:r w:rsidR="00234794" w:rsidRPr="00234794">
        <w:rPr>
          <w:rFonts w:ascii="Book Antiqua" w:hAnsi="Book Antiqua"/>
          <w:i/>
          <w:iCs/>
          <w:sz w:val="24"/>
          <w:szCs w:val="24"/>
          <w:u w:val="single"/>
        </w:rPr>
        <w:t>Artículo 11 de la Ley Núm. 75 de 2 de julio de 1987</w:t>
      </w:r>
      <w:r w:rsidR="00234794">
        <w:rPr>
          <w:rFonts w:ascii="Book Antiqua" w:hAnsi="Book Antiqua"/>
          <w:i/>
          <w:iCs/>
          <w:sz w:val="24"/>
          <w:szCs w:val="24"/>
          <w:u w:val="single"/>
        </w:rPr>
        <w:t xml:space="preserve">. </w:t>
      </w:r>
      <w:r w:rsidR="00D86FA9">
        <w:rPr>
          <w:rFonts w:ascii="Book Antiqua" w:hAnsi="Book Antiqua"/>
          <w:i/>
          <w:iCs/>
          <w:sz w:val="24"/>
          <w:szCs w:val="24"/>
          <w:u w:val="single"/>
        </w:rPr>
        <w:t>La enmienda al inciso 5 añadi</w:t>
      </w:r>
      <w:r w:rsidR="00FA2450">
        <w:rPr>
          <w:rFonts w:ascii="Book Antiqua" w:hAnsi="Book Antiqua"/>
          <w:i/>
          <w:iCs/>
          <w:sz w:val="24"/>
          <w:szCs w:val="24"/>
          <w:u w:val="single"/>
        </w:rPr>
        <w:t>ó</w:t>
      </w:r>
      <w:r w:rsidR="00D86FA9">
        <w:rPr>
          <w:rFonts w:ascii="Book Antiqua" w:hAnsi="Book Antiqua"/>
          <w:i/>
          <w:iCs/>
          <w:sz w:val="24"/>
          <w:szCs w:val="24"/>
          <w:u w:val="single"/>
        </w:rPr>
        <w:t xml:space="preserve"> </w:t>
      </w:r>
      <w:r w:rsidR="00F45AE2">
        <w:rPr>
          <w:rFonts w:ascii="Book Antiqua" w:hAnsi="Book Antiqua"/>
          <w:i/>
          <w:iCs/>
          <w:sz w:val="24"/>
          <w:szCs w:val="24"/>
          <w:u w:val="single"/>
        </w:rPr>
        <w:t xml:space="preserve">“precio o valor de la transacción” en lugar de “precio de la tasación”. </w:t>
      </w:r>
      <w:r w:rsidR="00F56667">
        <w:rPr>
          <w:rFonts w:ascii="Book Antiqua" w:hAnsi="Book Antiqua"/>
          <w:i/>
          <w:iCs/>
          <w:sz w:val="24"/>
          <w:szCs w:val="24"/>
          <w:u w:val="single"/>
        </w:rPr>
        <w:t>U</w:t>
      </w:r>
      <w:r w:rsidR="00F56667" w:rsidRPr="00F56667">
        <w:rPr>
          <w:rFonts w:ascii="Book Antiqua" w:hAnsi="Book Antiqua"/>
          <w:i/>
          <w:iCs/>
          <w:sz w:val="24"/>
          <w:szCs w:val="24"/>
          <w:u w:val="single"/>
        </w:rPr>
        <w:t>na transacción no necesariamente está sujeta a financiamiento. Las partes, de manera libre y voluntaria, pueden convenir el valor de una propiedad haciendo innecesario llevar a cabo un proceso de tasación. En estos casos, se impondría una carga onerosa sobre l</w:t>
      </w:r>
      <w:r w:rsidR="00325ECE">
        <w:rPr>
          <w:rFonts w:ascii="Book Antiqua" w:hAnsi="Book Antiqua"/>
          <w:i/>
          <w:iCs/>
          <w:sz w:val="24"/>
          <w:szCs w:val="24"/>
          <w:u w:val="single"/>
        </w:rPr>
        <w:t>as personas al</w:t>
      </w:r>
      <w:r w:rsidR="00F56667" w:rsidRPr="00F56667">
        <w:rPr>
          <w:rFonts w:ascii="Book Antiqua" w:hAnsi="Book Antiqua"/>
          <w:i/>
          <w:iCs/>
          <w:sz w:val="24"/>
          <w:szCs w:val="24"/>
          <w:u w:val="single"/>
        </w:rPr>
        <w:t xml:space="preserve"> oblig</w:t>
      </w:r>
      <w:r w:rsidR="00325ECE">
        <w:rPr>
          <w:rFonts w:ascii="Book Antiqua" w:hAnsi="Book Antiqua"/>
          <w:i/>
          <w:iCs/>
          <w:sz w:val="24"/>
          <w:szCs w:val="24"/>
          <w:u w:val="single"/>
        </w:rPr>
        <w:t>arlas</w:t>
      </w:r>
      <w:r w:rsidR="00F56667" w:rsidRPr="00F56667">
        <w:rPr>
          <w:rFonts w:ascii="Book Antiqua" w:hAnsi="Book Antiqua"/>
          <w:i/>
          <w:iCs/>
          <w:sz w:val="24"/>
          <w:szCs w:val="24"/>
          <w:u w:val="single"/>
        </w:rPr>
        <w:t xml:space="preserve"> a incurrir en un gasto adicional.</w:t>
      </w:r>
      <w:r w:rsidR="00F56667">
        <w:rPr>
          <w:rFonts w:ascii="Book Antiqua" w:hAnsi="Book Antiqua"/>
          <w:i/>
          <w:iCs/>
          <w:sz w:val="24"/>
          <w:szCs w:val="24"/>
          <w:u w:val="single"/>
        </w:rPr>
        <w:t xml:space="preserve"> </w:t>
      </w:r>
      <w:r w:rsidR="00761596">
        <w:rPr>
          <w:rFonts w:ascii="Book Antiqua" w:hAnsi="Book Antiqua"/>
          <w:i/>
          <w:iCs/>
          <w:sz w:val="24"/>
          <w:szCs w:val="24"/>
          <w:u w:val="single"/>
        </w:rPr>
        <w:t>El uso de</w:t>
      </w:r>
      <w:r w:rsidR="0081645D">
        <w:rPr>
          <w:rFonts w:ascii="Book Antiqua" w:hAnsi="Book Antiqua"/>
          <w:i/>
          <w:iCs/>
          <w:sz w:val="24"/>
          <w:szCs w:val="24"/>
          <w:u w:val="single"/>
        </w:rPr>
        <w:t>l verbo</w:t>
      </w:r>
      <w:r w:rsidR="00761596">
        <w:rPr>
          <w:rFonts w:ascii="Book Antiqua" w:hAnsi="Book Antiqua"/>
          <w:i/>
          <w:iCs/>
          <w:sz w:val="24"/>
          <w:szCs w:val="24"/>
          <w:u w:val="single"/>
        </w:rPr>
        <w:t xml:space="preserve"> transacció</w:t>
      </w:r>
      <w:r w:rsidR="0081645D">
        <w:rPr>
          <w:rFonts w:ascii="Book Antiqua" w:hAnsi="Book Antiqua"/>
          <w:i/>
          <w:iCs/>
          <w:sz w:val="24"/>
          <w:szCs w:val="24"/>
          <w:u w:val="single"/>
        </w:rPr>
        <w:t>n en lugar de tasación</w:t>
      </w:r>
      <w:r w:rsidR="001D4B72">
        <w:rPr>
          <w:rFonts w:ascii="Book Antiqua" w:hAnsi="Book Antiqua"/>
          <w:i/>
          <w:iCs/>
          <w:sz w:val="24"/>
          <w:szCs w:val="24"/>
          <w:u w:val="single"/>
        </w:rPr>
        <w:t xml:space="preserve"> también</w:t>
      </w:r>
      <w:r w:rsidR="0081645D">
        <w:rPr>
          <w:rFonts w:ascii="Book Antiqua" w:hAnsi="Book Antiqua"/>
          <w:i/>
          <w:iCs/>
          <w:sz w:val="24"/>
          <w:szCs w:val="24"/>
          <w:u w:val="single"/>
        </w:rPr>
        <w:t xml:space="preserve"> </w:t>
      </w:r>
      <w:r w:rsidR="001D4B72" w:rsidRPr="001D4B72">
        <w:rPr>
          <w:rFonts w:ascii="Book Antiqua" w:hAnsi="Book Antiqua"/>
          <w:i/>
          <w:iCs/>
          <w:sz w:val="24"/>
          <w:szCs w:val="24"/>
          <w:u w:val="single"/>
        </w:rPr>
        <w:t>fortalece la seguridad jurídica, la transparencia y la eficiencia de l</w:t>
      </w:r>
      <w:r w:rsidR="001D4B72">
        <w:rPr>
          <w:rFonts w:ascii="Book Antiqua" w:hAnsi="Book Antiqua"/>
          <w:i/>
          <w:iCs/>
          <w:sz w:val="24"/>
          <w:szCs w:val="24"/>
          <w:u w:val="single"/>
        </w:rPr>
        <w:t>o</w:t>
      </w:r>
      <w:r w:rsidR="001D4B72" w:rsidRPr="001D4B72">
        <w:rPr>
          <w:rFonts w:ascii="Book Antiqua" w:hAnsi="Book Antiqua"/>
          <w:i/>
          <w:iCs/>
          <w:sz w:val="24"/>
          <w:szCs w:val="24"/>
          <w:u w:val="single"/>
        </w:rPr>
        <w:t xml:space="preserve">s </w:t>
      </w:r>
      <w:r w:rsidR="001D4B72">
        <w:rPr>
          <w:rFonts w:ascii="Book Antiqua" w:hAnsi="Book Antiqua"/>
          <w:i/>
          <w:iCs/>
          <w:sz w:val="24"/>
          <w:szCs w:val="24"/>
          <w:u w:val="single"/>
        </w:rPr>
        <w:t xml:space="preserve">negocios </w:t>
      </w:r>
      <w:r w:rsidR="001D4B72" w:rsidRPr="001D4B72">
        <w:rPr>
          <w:rFonts w:ascii="Book Antiqua" w:hAnsi="Book Antiqua"/>
          <w:i/>
          <w:iCs/>
          <w:sz w:val="24"/>
          <w:szCs w:val="24"/>
          <w:u w:val="single"/>
        </w:rPr>
        <w:t>notariales e inmobiliari</w:t>
      </w:r>
      <w:r w:rsidR="001D4B72">
        <w:rPr>
          <w:rFonts w:ascii="Book Antiqua" w:hAnsi="Book Antiqua"/>
          <w:i/>
          <w:iCs/>
          <w:sz w:val="24"/>
          <w:szCs w:val="24"/>
          <w:u w:val="single"/>
        </w:rPr>
        <w:t>o</w:t>
      </w:r>
      <w:r w:rsidR="001D4B72" w:rsidRPr="001D4B72">
        <w:rPr>
          <w:rFonts w:ascii="Book Antiqua" w:hAnsi="Book Antiqua"/>
          <w:i/>
          <w:iCs/>
          <w:sz w:val="24"/>
          <w:szCs w:val="24"/>
          <w:u w:val="single"/>
        </w:rPr>
        <w:t>s</w:t>
      </w:r>
      <w:r w:rsidR="001D4B72">
        <w:rPr>
          <w:rFonts w:ascii="Book Antiqua" w:hAnsi="Book Antiqua"/>
          <w:i/>
          <w:iCs/>
          <w:sz w:val="24"/>
          <w:szCs w:val="24"/>
          <w:u w:val="single"/>
        </w:rPr>
        <w:t>.</w:t>
      </w:r>
    </w:p>
    <w:p w14:paraId="247AB48C" w14:textId="37738099" w:rsidR="00502A23" w:rsidRPr="00837816" w:rsidRDefault="00233D32" w:rsidP="004410CE">
      <w:pPr>
        <w:widowControl w:val="0"/>
        <w:suppressLineNumbers/>
        <w:spacing w:before="120" w:after="120" w:line="360" w:lineRule="auto"/>
        <w:ind w:firstLine="274"/>
        <w:rPr>
          <w:rFonts w:ascii="Book Antiqua" w:hAnsi="Book Antiqua"/>
          <w:i/>
          <w:iCs/>
          <w:sz w:val="24"/>
          <w:szCs w:val="24"/>
          <w:u w:val="single"/>
        </w:rPr>
      </w:pPr>
      <w:r>
        <w:rPr>
          <w:rFonts w:ascii="Book Antiqua" w:hAnsi="Book Antiqua"/>
          <w:i/>
          <w:iCs/>
          <w:sz w:val="24"/>
          <w:szCs w:val="24"/>
          <w:u w:val="single"/>
        </w:rPr>
        <w:t>Por último</w:t>
      </w:r>
      <w:r w:rsidR="006A28EB" w:rsidRPr="006A28EB">
        <w:rPr>
          <w:rFonts w:ascii="Book Antiqua" w:hAnsi="Book Antiqua"/>
          <w:i/>
          <w:iCs/>
          <w:sz w:val="24"/>
          <w:szCs w:val="24"/>
          <w:u w:val="single"/>
        </w:rPr>
        <w:t xml:space="preserve">, se actualizaron algunas de las leyes que menciona el </w:t>
      </w:r>
      <w:r w:rsidR="006A28EB">
        <w:rPr>
          <w:rFonts w:ascii="Book Antiqua" w:hAnsi="Book Antiqua"/>
          <w:i/>
          <w:iCs/>
          <w:sz w:val="24"/>
          <w:szCs w:val="24"/>
          <w:u w:val="single"/>
        </w:rPr>
        <w:t>A</w:t>
      </w:r>
      <w:r w:rsidR="006A28EB" w:rsidRPr="006A28EB">
        <w:rPr>
          <w:rFonts w:ascii="Book Antiqua" w:hAnsi="Book Antiqua"/>
          <w:i/>
          <w:iCs/>
          <w:sz w:val="24"/>
          <w:szCs w:val="24"/>
          <w:u w:val="single"/>
        </w:rPr>
        <w:t>rtículo 11, y se rescribieron otras leyes mencionadas en tal artículo para que cumplan con las formalidades de técnica legislativa.</w:t>
      </w:r>
    </w:p>
    <w:p w14:paraId="32AB9D52" w14:textId="77777777" w:rsidR="00603740" w:rsidRPr="004410CE" w:rsidRDefault="00517134" w:rsidP="00D91F00">
      <w:pPr>
        <w:spacing w:line="480" w:lineRule="auto"/>
        <w:rPr>
          <w:rFonts w:ascii="Book Antiqua" w:eastAsia="Times New Roman" w:hAnsi="Book Antiqua"/>
          <w:b/>
          <w:bCs/>
          <w:iCs/>
          <w:sz w:val="24"/>
          <w:szCs w:val="24"/>
        </w:rPr>
        <w:sectPr w:rsidR="00603740" w:rsidRPr="004410CE" w:rsidSect="00D64815">
          <w:headerReference w:type="default" r:id="rId11"/>
          <w:headerReference w:type="first" r:id="rId12"/>
          <w:pgSz w:w="12240" w:h="15840" w:code="1"/>
          <w:pgMar w:top="1152" w:right="1260" w:bottom="1152" w:left="1440" w:header="576" w:footer="720" w:gutter="0"/>
          <w:cols w:space="720"/>
          <w:titlePg/>
          <w:docGrid w:linePitch="360"/>
        </w:sectPr>
      </w:pPr>
      <w:bookmarkStart w:id="5" w:name="_Hlk183040655"/>
      <w:r w:rsidRPr="004410CE">
        <w:rPr>
          <w:rFonts w:ascii="Book Antiqua" w:hAnsi="Book Antiqua"/>
          <w:b/>
          <w:bCs/>
          <w:iCs/>
          <w:sz w:val="24"/>
          <w:szCs w:val="24"/>
          <w:lang w:val="es-CR"/>
        </w:rPr>
        <w:t>DECR</w:t>
      </w:r>
      <w:r w:rsidR="00A80B49" w:rsidRPr="004410CE">
        <w:rPr>
          <w:rFonts w:ascii="Book Antiqua" w:hAnsi="Book Antiqua"/>
          <w:b/>
          <w:bCs/>
          <w:iCs/>
          <w:sz w:val="24"/>
          <w:szCs w:val="24"/>
          <w:lang w:val="es-CR"/>
        </w:rPr>
        <w:t>É</w:t>
      </w:r>
      <w:r w:rsidRPr="004410CE">
        <w:rPr>
          <w:rFonts w:ascii="Book Antiqua" w:hAnsi="Book Antiqua"/>
          <w:b/>
          <w:bCs/>
          <w:iCs/>
          <w:sz w:val="24"/>
          <w:szCs w:val="24"/>
          <w:lang w:val="es-CR"/>
        </w:rPr>
        <w:t>TASE POR LA ASAMBLEA LEGISLATIVA DE PUERTO RICO</w:t>
      </w:r>
      <w:bookmarkEnd w:id="5"/>
      <w:r w:rsidRPr="004410CE">
        <w:rPr>
          <w:rFonts w:ascii="Book Antiqua" w:hAnsi="Book Antiqua"/>
          <w:b/>
          <w:bCs/>
          <w:iCs/>
          <w:sz w:val="24"/>
          <w:szCs w:val="24"/>
          <w:lang w:val="es-CR"/>
        </w:rPr>
        <w:t>:</w:t>
      </w:r>
      <w:r w:rsidR="00E55A17" w:rsidRPr="004410CE">
        <w:rPr>
          <w:rFonts w:ascii="Book Antiqua" w:eastAsia="Times New Roman" w:hAnsi="Book Antiqua"/>
          <w:b/>
          <w:bCs/>
          <w:iCs/>
          <w:sz w:val="24"/>
          <w:szCs w:val="24"/>
        </w:rPr>
        <w:t> </w:t>
      </w:r>
      <w:r w:rsidR="00D91F00" w:rsidRPr="004410CE">
        <w:rPr>
          <w:rFonts w:ascii="Book Antiqua" w:eastAsia="Times New Roman" w:hAnsi="Book Antiqua"/>
          <w:b/>
          <w:bCs/>
          <w:iCs/>
          <w:sz w:val="24"/>
          <w:szCs w:val="24"/>
        </w:rPr>
        <w:tab/>
      </w:r>
    </w:p>
    <w:p w14:paraId="7CBF256E" w14:textId="77777777" w:rsidR="005263E7" w:rsidRPr="00CF30BC" w:rsidRDefault="00C87627" w:rsidP="005263E7">
      <w:pPr>
        <w:tabs>
          <w:tab w:val="left" w:pos="917"/>
          <w:tab w:val="left" w:pos="918"/>
        </w:tabs>
        <w:spacing w:before="58" w:line="480" w:lineRule="auto"/>
        <w:ind w:left="221"/>
        <w:rPr>
          <w:rFonts w:ascii="Book Antiqua" w:hAnsi="Book Antiqua"/>
          <w:iCs/>
          <w:spacing w:val="15"/>
          <w:sz w:val="24"/>
          <w:szCs w:val="24"/>
        </w:rPr>
      </w:pPr>
      <w:r>
        <w:rPr>
          <w:rFonts w:ascii="Book Antiqua" w:hAnsi="Book Antiqua"/>
          <w:sz w:val="24"/>
          <w:szCs w:val="24"/>
          <w:lang w:val="es-ES_tradnl"/>
        </w:rPr>
        <w:tab/>
      </w:r>
      <w:r w:rsidR="008F1F4A" w:rsidRPr="005263E7">
        <w:rPr>
          <w:rFonts w:ascii="Book Antiqua" w:hAnsi="Book Antiqua"/>
          <w:sz w:val="24"/>
          <w:szCs w:val="24"/>
          <w:lang w:val="es-ES_tradnl"/>
        </w:rPr>
        <w:t xml:space="preserve">Sección </w:t>
      </w:r>
      <w:r w:rsidR="001D5B22" w:rsidRPr="005263E7">
        <w:rPr>
          <w:rFonts w:ascii="Book Antiqua" w:hAnsi="Book Antiqua"/>
          <w:sz w:val="24"/>
          <w:szCs w:val="24"/>
          <w:lang w:val="es-ES_tradnl"/>
        </w:rPr>
        <w:t xml:space="preserve">1. </w:t>
      </w:r>
      <w:r w:rsidR="005263E7" w:rsidRPr="005263E7">
        <w:rPr>
          <w:rFonts w:ascii="Book Antiqua" w:hAnsi="Book Antiqua"/>
          <w:sz w:val="24"/>
          <w:szCs w:val="24"/>
          <w:lang w:val="es-ES_tradnl"/>
        </w:rPr>
        <w:t xml:space="preserve">– </w:t>
      </w:r>
      <w:r w:rsidR="005263E7" w:rsidRPr="005263E7">
        <w:rPr>
          <w:rFonts w:ascii="Book Antiqua" w:hAnsi="Book Antiqua"/>
          <w:bCs/>
          <w:iCs/>
          <w:sz w:val="24"/>
          <w:szCs w:val="24"/>
          <w:lang w:val="es-PR"/>
        </w:rPr>
        <w:t xml:space="preserve">Se </w:t>
      </w:r>
      <w:r w:rsidR="005263E7" w:rsidRPr="00CF30BC">
        <w:rPr>
          <w:rFonts w:ascii="Book Antiqua" w:hAnsi="Book Antiqua"/>
          <w:bCs/>
          <w:iCs/>
          <w:sz w:val="24"/>
          <w:szCs w:val="24"/>
          <w:lang w:val="es-PR"/>
        </w:rPr>
        <w:t>enmienda el Artículo 11 de la Ley</w:t>
      </w:r>
      <w:r w:rsidR="00284227" w:rsidRPr="00CF30BC">
        <w:rPr>
          <w:rFonts w:ascii="Book Antiqua" w:hAnsi="Book Antiqua"/>
          <w:bCs/>
          <w:iCs/>
          <w:sz w:val="24"/>
          <w:szCs w:val="24"/>
          <w:lang w:val="es-PR"/>
        </w:rPr>
        <w:t xml:space="preserve"> Núm. </w:t>
      </w:r>
      <w:r w:rsidR="005263E7" w:rsidRPr="00CF30BC">
        <w:rPr>
          <w:rFonts w:ascii="Book Antiqua" w:hAnsi="Book Antiqua"/>
          <w:bCs/>
          <w:iCs/>
          <w:sz w:val="24"/>
          <w:szCs w:val="24"/>
          <w:lang w:val="es-PR"/>
        </w:rPr>
        <w:t xml:space="preserve"> 75 de 2 de julio de 1987, según enmendada, para que </w:t>
      </w:r>
      <w:r w:rsidR="005263E7" w:rsidRPr="0085790D">
        <w:rPr>
          <w:rFonts w:ascii="Book Antiqua" w:hAnsi="Book Antiqua"/>
          <w:bCs/>
          <w:iCs/>
          <w:strike/>
          <w:sz w:val="24"/>
          <w:szCs w:val="24"/>
          <w:lang w:val="es-PR"/>
        </w:rPr>
        <w:t>se</w:t>
      </w:r>
      <w:r w:rsidR="005263E7" w:rsidRPr="00CF30BC">
        <w:rPr>
          <w:rFonts w:ascii="Book Antiqua" w:hAnsi="Book Antiqua"/>
          <w:bCs/>
          <w:iCs/>
          <w:sz w:val="24"/>
          <w:szCs w:val="24"/>
          <w:lang w:val="es-PR"/>
        </w:rPr>
        <w:t xml:space="preserve"> lea como sigue</w:t>
      </w:r>
      <w:r w:rsidR="005263E7" w:rsidRPr="00CF30BC">
        <w:rPr>
          <w:rFonts w:ascii="Book Antiqua" w:hAnsi="Book Antiqua"/>
          <w:iCs/>
          <w:spacing w:val="15"/>
          <w:sz w:val="24"/>
          <w:szCs w:val="24"/>
        </w:rPr>
        <w:t>:</w:t>
      </w:r>
    </w:p>
    <w:p w14:paraId="4C0BFA93" w14:textId="77777777" w:rsidR="005263E7" w:rsidRPr="00CF30BC" w:rsidRDefault="005263E7" w:rsidP="00193468">
      <w:pPr>
        <w:tabs>
          <w:tab w:val="left" w:pos="917"/>
          <w:tab w:val="left" w:pos="918"/>
        </w:tabs>
        <w:spacing w:before="58" w:line="480" w:lineRule="auto"/>
        <w:rPr>
          <w:rFonts w:ascii="Book Antiqua" w:hAnsi="Book Antiqua"/>
          <w:iCs/>
          <w:sz w:val="24"/>
          <w:szCs w:val="24"/>
          <w:lang w:val="es-PR"/>
        </w:rPr>
      </w:pPr>
      <w:r w:rsidRPr="00CF30BC">
        <w:rPr>
          <w:rFonts w:ascii="Book Antiqua" w:hAnsi="Book Antiqua"/>
          <w:bCs/>
          <w:iCs/>
          <w:sz w:val="24"/>
          <w:szCs w:val="24"/>
          <w:lang w:val="es-PR"/>
        </w:rPr>
        <w:lastRenderedPageBreak/>
        <w:t xml:space="preserve">“Artículo 11.- </w:t>
      </w:r>
      <w:r w:rsidRPr="00CF30BC">
        <w:rPr>
          <w:rFonts w:ascii="Book Antiqua" w:hAnsi="Book Antiqua"/>
          <w:iCs/>
          <w:sz w:val="24"/>
          <w:szCs w:val="24"/>
          <w:lang w:val="es-PR"/>
        </w:rPr>
        <w:t>Deberes del notario - Planilla informativa sobre segregación, agrupación o traslado de bienes inmuebles y solicitud de exención contributiva.</w:t>
      </w:r>
    </w:p>
    <w:p w14:paraId="0298BEEF" w14:textId="77777777" w:rsidR="005263E7" w:rsidRPr="00CF30BC" w:rsidRDefault="005263E7" w:rsidP="00B35BE5">
      <w:pPr>
        <w:pStyle w:val="default0"/>
        <w:spacing w:line="480" w:lineRule="auto"/>
        <w:jc w:val="both"/>
        <w:rPr>
          <w:rFonts w:ascii="Book Antiqua" w:hAnsi="Book Antiqua"/>
          <w:bCs/>
          <w:iCs/>
          <w:lang w:val="es-PR"/>
        </w:rPr>
      </w:pPr>
      <w:r w:rsidRPr="00CF30BC">
        <w:rPr>
          <w:rFonts w:ascii="Book Antiqua" w:hAnsi="Book Antiqua"/>
          <w:bCs/>
          <w:iCs/>
          <w:lang w:val="es-PR"/>
        </w:rPr>
        <w:t>En el otorgamiento de escrituras de segregación, agrupación o traslación de dominio será obligación del transmitente o de quien segregue o agrupe cumplimentar y depositar en la oficina del notario autorizante la planilla informativa sobre segregación, agrupación o traslado de bienes inmuebles.</w:t>
      </w:r>
    </w:p>
    <w:p w14:paraId="38E18F05" w14:textId="77777777" w:rsidR="005263E7" w:rsidRPr="00CF30BC" w:rsidRDefault="005263E7" w:rsidP="005263E7">
      <w:pPr>
        <w:pStyle w:val="default0"/>
        <w:spacing w:line="480" w:lineRule="auto"/>
        <w:ind w:firstLine="720"/>
        <w:jc w:val="both"/>
        <w:rPr>
          <w:rFonts w:ascii="Book Antiqua" w:hAnsi="Book Antiqua"/>
          <w:bCs/>
          <w:iCs/>
          <w:lang w:val="es-PR"/>
        </w:rPr>
      </w:pPr>
      <w:r w:rsidRPr="00CF30BC">
        <w:rPr>
          <w:rFonts w:ascii="Book Antiqua" w:hAnsi="Book Antiqua"/>
          <w:bCs/>
          <w:iCs/>
          <w:lang w:val="es-PR"/>
        </w:rPr>
        <w:t>Dicha planilla incluirá la siguiente información:</w:t>
      </w:r>
    </w:p>
    <w:p w14:paraId="40389580" w14:textId="77777777" w:rsidR="005263E7" w:rsidRPr="00CF30BC" w:rsidRDefault="005263E7" w:rsidP="00382121">
      <w:pPr>
        <w:pStyle w:val="default0"/>
        <w:numPr>
          <w:ilvl w:val="0"/>
          <w:numId w:val="36"/>
        </w:numPr>
        <w:spacing w:line="480" w:lineRule="auto"/>
        <w:ind w:left="1440"/>
        <w:jc w:val="both"/>
        <w:rPr>
          <w:rFonts w:ascii="Book Antiqua" w:hAnsi="Book Antiqua"/>
          <w:bCs/>
          <w:iCs/>
          <w:lang w:val="es-PR"/>
        </w:rPr>
      </w:pPr>
      <w:r w:rsidRPr="00CF30BC">
        <w:rPr>
          <w:rFonts w:ascii="Book Antiqua" w:hAnsi="Book Antiqua"/>
          <w:iCs/>
          <w:lang w:val="es-PR"/>
        </w:rPr>
        <w:t>Número, fecha de la escritura y negocio jurídico efectuado.</w:t>
      </w:r>
    </w:p>
    <w:p w14:paraId="55CC2272" w14:textId="77777777" w:rsidR="005263E7" w:rsidRPr="00CF30BC" w:rsidRDefault="005263E7" w:rsidP="00382121">
      <w:pPr>
        <w:pStyle w:val="default0"/>
        <w:numPr>
          <w:ilvl w:val="0"/>
          <w:numId w:val="36"/>
        </w:numPr>
        <w:spacing w:line="480" w:lineRule="auto"/>
        <w:ind w:left="1440"/>
        <w:jc w:val="both"/>
        <w:rPr>
          <w:rFonts w:ascii="Book Antiqua" w:hAnsi="Book Antiqua"/>
          <w:bCs/>
          <w:iCs/>
          <w:lang w:val="es-PR"/>
        </w:rPr>
      </w:pPr>
      <w:r w:rsidRPr="00CF30BC">
        <w:rPr>
          <w:rFonts w:ascii="Book Antiqua" w:hAnsi="Book Antiqua"/>
          <w:iCs/>
          <w:lang w:val="es-PR"/>
        </w:rPr>
        <w:t>Nombre de los comparecientes, con especificación del carácter de su</w:t>
      </w:r>
    </w:p>
    <w:p w14:paraId="13524C2E" w14:textId="77777777" w:rsidR="005263E7" w:rsidRPr="00CF30BC" w:rsidRDefault="005263E7" w:rsidP="00D255D8">
      <w:pPr>
        <w:pStyle w:val="default0"/>
        <w:spacing w:line="480" w:lineRule="auto"/>
        <w:ind w:left="708" w:firstLine="708"/>
        <w:jc w:val="both"/>
        <w:rPr>
          <w:rFonts w:ascii="Book Antiqua" w:hAnsi="Book Antiqua"/>
          <w:bCs/>
          <w:iCs/>
          <w:lang w:val="es-PR"/>
        </w:rPr>
      </w:pPr>
      <w:r w:rsidRPr="00CF30BC">
        <w:rPr>
          <w:rFonts w:ascii="Book Antiqua" w:hAnsi="Book Antiqua"/>
          <w:iCs/>
          <w:lang w:val="es-PR"/>
        </w:rPr>
        <w:t>comparecencia y su número de seguro social.</w:t>
      </w:r>
    </w:p>
    <w:p w14:paraId="57412F3E" w14:textId="77777777" w:rsidR="005263E7" w:rsidRPr="00CF30BC" w:rsidRDefault="005263E7" w:rsidP="00382121">
      <w:pPr>
        <w:pStyle w:val="default0"/>
        <w:numPr>
          <w:ilvl w:val="0"/>
          <w:numId w:val="36"/>
        </w:numPr>
        <w:spacing w:line="480" w:lineRule="auto"/>
        <w:ind w:left="1440"/>
        <w:jc w:val="both"/>
        <w:rPr>
          <w:rFonts w:ascii="Book Antiqua" w:hAnsi="Book Antiqua"/>
          <w:bCs/>
          <w:iCs/>
          <w:lang w:val="es-PR"/>
        </w:rPr>
      </w:pPr>
      <w:r w:rsidRPr="00CF30BC">
        <w:rPr>
          <w:rFonts w:ascii="Book Antiqua" w:hAnsi="Book Antiqua"/>
          <w:iCs/>
          <w:lang w:val="es-PR"/>
        </w:rPr>
        <w:t>Número de propiedad o catastro.</w:t>
      </w:r>
    </w:p>
    <w:p w14:paraId="6D36A9C6" w14:textId="36D68A05" w:rsidR="005263E7" w:rsidRDefault="005263E7" w:rsidP="007C421A">
      <w:pPr>
        <w:pStyle w:val="default0"/>
        <w:spacing w:line="504" w:lineRule="auto"/>
        <w:ind w:left="1800"/>
        <w:jc w:val="both"/>
        <w:rPr>
          <w:rFonts w:ascii="Book Antiqua" w:eastAsia="Arial" w:hAnsi="Book Antiqua" w:cs="Arial"/>
          <w:lang w:val="es-PR"/>
        </w:rPr>
      </w:pPr>
      <w:r w:rsidRPr="007E2A1A">
        <w:rPr>
          <w:rFonts w:ascii="Book Antiqua" w:eastAsia="Arial" w:hAnsi="Book Antiqua" w:cs="Arial"/>
          <w:lang w:val="es-PR"/>
        </w:rPr>
        <w:t>El número catastral de la propiedad se tomará de la última notificación o recibo contributivo disponible expedido por el Centro de Recaudación de Ingresos Municipales.</w:t>
      </w:r>
      <w:r w:rsidR="007C421A">
        <w:rPr>
          <w:rFonts w:ascii="Book Antiqua" w:eastAsia="Arial" w:hAnsi="Book Antiqua" w:cs="Arial"/>
          <w:lang w:val="es-PR"/>
        </w:rPr>
        <w:t xml:space="preserve"> </w:t>
      </w:r>
      <w:r w:rsidRPr="00CF30BC">
        <w:rPr>
          <w:rFonts w:ascii="Book Antiqua" w:eastAsia="Arial" w:hAnsi="Book Antiqua" w:cs="Arial"/>
          <w:lang w:val="es-PR"/>
        </w:rPr>
        <w:t xml:space="preserve">El Centro de Recaudación de Ingresos Municipales ofrecerá el número catastral o de codificación dentro de los próximos siete (7) días siguientes de ser solicitado. De no ser posible, deberá expedir una certificación negativa en la que se hagan constar las razones por las cuales no puede ofrecer el número solicitado. Esta certificación deberá remitirse al </w:t>
      </w:r>
      <w:proofErr w:type="gramStart"/>
      <w:r w:rsidRPr="00CF30BC">
        <w:rPr>
          <w:rFonts w:ascii="Book Antiqua" w:eastAsia="Arial" w:hAnsi="Book Antiqua" w:cs="Arial"/>
          <w:lang w:val="es-PR"/>
        </w:rPr>
        <w:t>Secretario</w:t>
      </w:r>
      <w:proofErr w:type="gramEnd"/>
      <w:r w:rsidRPr="00CF30BC">
        <w:rPr>
          <w:rFonts w:ascii="Book Antiqua" w:eastAsia="Arial" w:hAnsi="Book Antiqua" w:cs="Arial"/>
          <w:lang w:val="es-PR"/>
        </w:rPr>
        <w:t xml:space="preserve"> de Hacienda</w:t>
      </w:r>
      <w:r w:rsidRPr="007E2A1A">
        <w:rPr>
          <w:rFonts w:ascii="Book Antiqua" w:eastAsia="Arial" w:hAnsi="Book Antiqua" w:cs="Arial"/>
          <w:lang w:val="es-PR"/>
        </w:rPr>
        <w:t xml:space="preserve"> y al Centro de Recaudación de Ingresos Municipales en unión a la planilla informativa.</w:t>
      </w:r>
    </w:p>
    <w:p w14:paraId="651C133A" w14:textId="77777777" w:rsidR="005263E7" w:rsidRPr="00CF30BC" w:rsidRDefault="005263E7" w:rsidP="00382121">
      <w:pPr>
        <w:pStyle w:val="default0"/>
        <w:numPr>
          <w:ilvl w:val="0"/>
          <w:numId w:val="36"/>
        </w:numPr>
        <w:spacing w:line="504" w:lineRule="auto"/>
        <w:ind w:left="1440"/>
        <w:jc w:val="both"/>
        <w:rPr>
          <w:rFonts w:ascii="Book Antiqua" w:eastAsia="Arial" w:hAnsi="Book Antiqua" w:cs="Arial"/>
          <w:lang w:val="es-PR"/>
        </w:rPr>
      </w:pPr>
      <w:r w:rsidRPr="005263E7">
        <w:rPr>
          <w:rFonts w:ascii="Book Antiqua" w:hAnsi="Book Antiqua"/>
          <w:lang w:val="es-PR"/>
        </w:rPr>
        <w:lastRenderedPageBreak/>
        <w:t xml:space="preserve">Datos registrales </w:t>
      </w:r>
      <w:r w:rsidRPr="00CF30BC">
        <w:rPr>
          <w:rFonts w:ascii="Book Antiqua" w:hAnsi="Book Antiqua"/>
          <w:lang w:val="es-PR"/>
        </w:rPr>
        <w:t>del inmueble, incluyendo folio, tomo, número de finca y pueblo.</w:t>
      </w:r>
    </w:p>
    <w:p w14:paraId="011A937B" w14:textId="5F01A05B" w:rsidR="00CF30BC" w:rsidRPr="00CF30BC" w:rsidRDefault="005263E7" w:rsidP="00382121">
      <w:pPr>
        <w:pStyle w:val="default0"/>
        <w:numPr>
          <w:ilvl w:val="0"/>
          <w:numId w:val="36"/>
        </w:numPr>
        <w:spacing w:line="504" w:lineRule="auto"/>
        <w:ind w:left="1440"/>
        <w:jc w:val="both"/>
        <w:rPr>
          <w:rFonts w:ascii="Book Antiqua" w:hAnsi="Book Antiqua"/>
          <w:bCs/>
          <w:lang w:val="es-PR"/>
        </w:rPr>
      </w:pPr>
      <w:r w:rsidRPr="00CF30BC">
        <w:rPr>
          <w:rFonts w:ascii="Book Antiqua" w:hAnsi="Book Antiqua"/>
          <w:bCs/>
          <w:lang w:val="es-PR"/>
        </w:rPr>
        <w:t>Precio</w:t>
      </w:r>
      <w:r w:rsidR="00922692">
        <w:rPr>
          <w:rFonts w:ascii="Book Antiqua" w:hAnsi="Book Antiqua"/>
          <w:bCs/>
          <w:i/>
          <w:iCs/>
          <w:u w:val="single"/>
          <w:lang w:val="es-PR"/>
        </w:rPr>
        <w:t xml:space="preserve"> o valor</w:t>
      </w:r>
      <w:r w:rsidRPr="00CF30BC">
        <w:rPr>
          <w:rFonts w:ascii="Book Antiqua" w:hAnsi="Book Antiqua"/>
          <w:bCs/>
          <w:lang w:val="es-PR"/>
        </w:rPr>
        <w:t xml:space="preserve"> de la </w:t>
      </w:r>
      <w:r w:rsidRPr="00922692">
        <w:rPr>
          <w:rFonts w:ascii="Book Antiqua" w:hAnsi="Book Antiqua"/>
          <w:bCs/>
          <w:strike/>
          <w:lang w:val="es-PR"/>
        </w:rPr>
        <w:t>tasación</w:t>
      </w:r>
      <w:r w:rsidR="00922692">
        <w:rPr>
          <w:rFonts w:ascii="Book Antiqua" w:hAnsi="Book Antiqua"/>
          <w:bCs/>
          <w:lang w:val="es-PR"/>
        </w:rPr>
        <w:t xml:space="preserve"> </w:t>
      </w:r>
      <w:r w:rsidR="00922692">
        <w:rPr>
          <w:rFonts w:ascii="Book Antiqua" w:hAnsi="Book Antiqua"/>
          <w:bCs/>
          <w:i/>
          <w:iCs/>
          <w:u w:val="single"/>
          <w:lang w:val="es-PR"/>
        </w:rPr>
        <w:t>transacción</w:t>
      </w:r>
      <w:r w:rsidRPr="00CF30BC">
        <w:rPr>
          <w:rFonts w:ascii="Book Antiqua" w:hAnsi="Book Antiqua"/>
          <w:bCs/>
          <w:lang w:val="es-PR"/>
        </w:rPr>
        <w:t xml:space="preserve">. </w:t>
      </w:r>
    </w:p>
    <w:p w14:paraId="73988F60" w14:textId="77777777" w:rsidR="005263E7" w:rsidRPr="00CF30BC" w:rsidRDefault="005263E7" w:rsidP="00382121">
      <w:pPr>
        <w:pStyle w:val="default0"/>
        <w:numPr>
          <w:ilvl w:val="0"/>
          <w:numId w:val="36"/>
        </w:numPr>
        <w:spacing w:line="504" w:lineRule="auto"/>
        <w:ind w:left="1440"/>
        <w:jc w:val="both"/>
        <w:rPr>
          <w:rFonts w:ascii="Book Antiqua" w:hAnsi="Book Antiqua"/>
          <w:bCs/>
          <w:iCs/>
          <w:lang w:val="es-PR"/>
        </w:rPr>
      </w:pPr>
      <w:r w:rsidRPr="00CF30BC">
        <w:rPr>
          <w:rFonts w:ascii="Book Antiqua" w:hAnsi="Book Antiqua"/>
          <w:bCs/>
          <w:lang w:val="es-PR"/>
        </w:rPr>
        <w:t>Tipo de escritura, de ser aplicable</w:t>
      </w:r>
      <w:r w:rsidRPr="00CF30BC">
        <w:rPr>
          <w:rFonts w:ascii="Book Antiqua" w:hAnsi="Book Antiqua"/>
          <w:bCs/>
          <w:iCs/>
          <w:lang w:val="es-PR"/>
        </w:rPr>
        <w:t>.</w:t>
      </w:r>
    </w:p>
    <w:p w14:paraId="3EC150D5" w14:textId="5AB60545" w:rsidR="005263E7" w:rsidRPr="007E2A1A" w:rsidRDefault="005263E7" w:rsidP="00382121">
      <w:pPr>
        <w:pStyle w:val="default0"/>
        <w:spacing w:line="504" w:lineRule="auto"/>
        <w:ind w:left="1440" w:hanging="360"/>
        <w:jc w:val="both"/>
        <w:rPr>
          <w:rFonts w:ascii="Book Antiqua" w:hAnsi="Book Antiqua"/>
          <w:bCs/>
          <w:iCs/>
          <w:lang w:val="es-PR"/>
        </w:rPr>
      </w:pPr>
      <w:r w:rsidRPr="007E2A1A">
        <w:rPr>
          <w:rFonts w:ascii="Book Antiqua" w:hAnsi="Book Antiqua"/>
          <w:bCs/>
          <w:iCs/>
          <w:lang w:val="es-PR"/>
        </w:rPr>
        <w:t xml:space="preserve">7. </w:t>
      </w:r>
      <w:r w:rsidR="006303C0">
        <w:rPr>
          <w:rFonts w:ascii="Book Antiqua" w:hAnsi="Book Antiqua"/>
          <w:bCs/>
          <w:iCs/>
          <w:lang w:val="es-PR"/>
        </w:rPr>
        <w:t xml:space="preserve"> </w:t>
      </w:r>
      <w:r w:rsidR="0029511E">
        <w:rPr>
          <w:rFonts w:ascii="Book Antiqua" w:hAnsi="Book Antiqua"/>
          <w:bCs/>
          <w:iCs/>
          <w:lang w:val="es-PR"/>
        </w:rPr>
        <w:t xml:space="preserve"> </w:t>
      </w:r>
      <w:r w:rsidRPr="007E2A1A">
        <w:rPr>
          <w:rFonts w:ascii="Book Antiqua" w:eastAsia="Arial" w:hAnsi="Book Antiqua" w:cs="Arial"/>
          <w:lang w:val="es-PR"/>
        </w:rPr>
        <w:t>Tipo de propiedad, su localización y dirección.</w:t>
      </w:r>
    </w:p>
    <w:p w14:paraId="12D5D679" w14:textId="77777777" w:rsidR="009366F5" w:rsidRDefault="005263E7" w:rsidP="00B35BE5">
      <w:pPr>
        <w:pStyle w:val="default0"/>
        <w:spacing w:line="504" w:lineRule="auto"/>
        <w:jc w:val="both"/>
        <w:rPr>
          <w:rFonts w:ascii="Book Antiqua" w:hAnsi="Book Antiqua"/>
          <w:bCs/>
          <w:iCs/>
          <w:lang w:val="es-PR"/>
        </w:rPr>
      </w:pPr>
      <w:r w:rsidRPr="005263E7">
        <w:rPr>
          <w:rFonts w:ascii="Book Antiqua" w:hAnsi="Book Antiqua"/>
          <w:bCs/>
          <w:iCs/>
          <w:lang w:val="es-PR"/>
        </w:rPr>
        <w:t>…</w:t>
      </w:r>
      <w:r>
        <w:rPr>
          <w:rFonts w:ascii="Book Antiqua" w:hAnsi="Book Antiqua"/>
          <w:bCs/>
          <w:iCs/>
          <w:lang w:val="es-PR"/>
        </w:rPr>
        <w:t xml:space="preserve"> </w:t>
      </w:r>
    </w:p>
    <w:p w14:paraId="1E8DA706" w14:textId="1EAE6223" w:rsidR="009366F5" w:rsidRDefault="00BB0D23" w:rsidP="007611FC">
      <w:pPr>
        <w:pStyle w:val="default0"/>
        <w:spacing w:line="504" w:lineRule="auto"/>
        <w:rPr>
          <w:rFonts w:ascii="Book Antiqua" w:hAnsi="Book Antiqua"/>
          <w:bCs/>
          <w:iCs/>
          <w:u w:val="single"/>
          <w:lang w:val="es-PR"/>
        </w:rPr>
      </w:pPr>
      <w:r w:rsidRPr="007611FC">
        <w:rPr>
          <w:rFonts w:ascii="Book Antiqua" w:hAnsi="Book Antiqua"/>
          <w:bCs/>
          <w:iCs/>
          <w:u w:val="single"/>
          <w:lang w:val="es-PR"/>
        </w:rPr>
        <w:t>Cuando se trate del traslado de un bien inmueble residencial, el notario vendrá obligado a</w:t>
      </w:r>
      <w:r w:rsidR="00B35BE5" w:rsidRPr="007611FC">
        <w:rPr>
          <w:rFonts w:ascii="Book Antiqua" w:hAnsi="Book Antiqua"/>
          <w:bCs/>
          <w:iCs/>
          <w:u w:val="single"/>
          <w:lang w:val="es-PR"/>
        </w:rPr>
        <w:t xml:space="preserve"> </w:t>
      </w:r>
      <w:r w:rsidRPr="007611FC">
        <w:rPr>
          <w:rFonts w:ascii="Book Antiqua" w:hAnsi="Book Antiqua"/>
          <w:bCs/>
          <w:iCs/>
          <w:u w:val="single"/>
          <w:lang w:val="es-PR"/>
        </w:rPr>
        <w:t>asesorar y advertirle al adquirente, que de ser su intención utilizar el inmueble como residencia</w:t>
      </w:r>
      <w:r w:rsidR="00B35BE5" w:rsidRPr="007611FC">
        <w:rPr>
          <w:rFonts w:ascii="Book Antiqua" w:hAnsi="Book Antiqua"/>
          <w:bCs/>
          <w:iCs/>
          <w:u w:val="single"/>
          <w:lang w:val="es-PR"/>
        </w:rPr>
        <w:t xml:space="preserve"> </w:t>
      </w:r>
      <w:r w:rsidRPr="007611FC">
        <w:rPr>
          <w:rFonts w:ascii="Book Antiqua" w:hAnsi="Book Antiqua"/>
          <w:bCs/>
          <w:iCs/>
          <w:u w:val="single"/>
          <w:lang w:val="es-PR"/>
        </w:rPr>
        <w:t xml:space="preserve">principal, deberá solicitar los beneficios de la exoneración contributiva de contribución sobre la propiedad </w:t>
      </w:r>
      <w:proofErr w:type="gramStart"/>
      <w:r w:rsidRPr="007611FC">
        <w:rPr>
          <w:rFonts w:ascii="Book Antiqua" w:hAnsi="Book Antiqua"/>
          <w:bCs/>
          <w:iCs/>
          <w:u w:val="single"/>
          <w:lang w:val="es-PR"/>
        </w:rPr>
        <w:t>inmueble</w:t>
      </w:r>
      <w:r w:rsidRPr="00EC4B1A">
        <w:rPr>
          <w:rFonts w:ascii="Book Antiqua" w:hAnsi="Book Antiqua"/>
          <w:bCs/>
          <w:iCs/>
          <w:strike/>
          <w:u w:val="single"/>
          <w:lang w:val="es-PR"/>
        </w:rPr>
        <w:t>,</w:t>
      </w:r>
      <w:r w:rsidR="001E52BC">
        <w:rPr>
          <w:rFonts w:ascii="Book Antiqua" w:hAnsi="Book Antiqua"/>
          <w:bCs/>
          <w:i/>
          <w:u w:val="single"/>
          <w:lang w:val="es-PR"/>
        </w:rPr>
        <w:t>.</w:t>
      </w:r>
      <w:proofErr w:type="gramEnd"/>
      <w:r w:rsidR="001E52BC">
        <w:rPr>
          <w:rFonts w:ascii="Book Antiqua" w:hAnsi="Book Antiqua"/>
          <w:bCs/>
          <w:i/>
          <w:u w:val="single"/>
          <w:lang w:val="es-PR"/>
        </w:rPr>
        <w:t xml:space="preserve"> Esto,</w:t>
      </w:r>
      <w:r w:rsidRPr="007611FC">
        <w:rPr>
          <w:rFonts w:ascii="Book Antiqua" w:hAnsi="Book Antiqua"/>
          <w:bCs/>
          <w:iCs/>
          <w:u w:val="single"/>
          <w:lang w:val="es-PR"/>
        </w:rPr>
        <w:t xml:space="preserve"> a tenor con </w:t>
      </w:r>
      <w:r w:rsidRPr="00362CE4">
        <w:rPr>
          <w:rFonts w:ascii="Book Antiqua" w:hAnsi="Book Antiqua"/>
          <w:bCs/>
          <w:iCs/>
          <w:strike/>
          <w:u w:val="single"/>
          <w:lang w:val="es-PR"/>
        </w:rPr>
        <w:t>el Artículo 2.01 de</w:t>
      </w:r>
      <w:r w:rsidRPr="007611FC">
        <w:rPr>
          <w:rFonts w:ascii="Book Antiqua" w:hAnsi="Book Antiqua"/>
          <w:bCs/>
          <w:iCs/>
          <w:u w:val="single"/>
          <w:lang w:val="es-PR"/>
        </w:rPr>
        <w:t xml:space="preserve"> la Ley Núm. </w:t>
      </w:r>
      <w:r w:rsidRPr="00EC4B1A">
        <w:rPr>
          <w:rFonts w:ascii="Book Antiqua" w:hAnsi="Book Antiqua"/>
          <w:bCs/>
          <w:iCs/>
          <w:strike/>
          <w:u w:val="single"/>
          <w:lang w:val="es-PR"/>
        </w:rPr>
        <w:t>83</w:t>
      </w:r>
      <w:r w:rsidRPr="007611FC">
        <w:rPr>
          <w:rFonts w:ascii="Book Antiqua" w:hAnsi="Book Antiqua"/>
          <w:bCs/>
          <w:iCs/>
          <w:u w:val="single"/>
          <w:lang w:val="es-PR"/>
        </w:rPr>
        <w:t xml:space="preserve"> </w:t>
      </w:r>
      <w:r w:rsidR="00EC4B1A">
        <w:rPr>
          <w:rFonts w:ascii="Book Antiqua" w:hAnsi="Book Antiqua"/>
          <w:bCs/>
          <w:i/>
          <w:u w:val="single"/>
          <w:lang w:val="es-PR"/>
        </w:rPr>
        <w:t xml:space="preserve">107 </w:t>
      </w:r>
      <w:r w:rsidRPr="007611FC">
        <w:rPr>
          <w:rFonts w:ascii="Book Antiqua" w:hAnsi="Book Antiqua"/>
          <w:bCs/>
          <w:iCs/>
          <w:u w:val="single"/>
          <w:lang w:val="es-PR"/>
        </w:rPr>
        <w:t xml:space="preserve">de </w:t>
      </w:r>
      <w:r w:rsidRPr="00EC4B1A">
        <w:rPr>
          <w:rFonts w:ascii="Book Antiqua" w:hAnsi="Book Antiqua"/>
          <w:bCs/>
          <w:iCs/>
          <w:strike/>
          <w:u w:val="single"/>
          <w:lang w:val="es-PR"/>
        </w:rPr>
        <w:t>30</w:t>
      </w:r>
      <w:r w:rsidRPr="007611FC">
        <w:rPr>
          <w:rFonts w:ascii="Book Antiqua" w:hAnsi="Book Antiqua"/>
          <w:bCs/>
          <w:iCs/>
          <w:u w:val="single"/>
          <w:lang w:val="es-PR"/>
        </w:rPr>
        <w:t xml:space="preserve"> </w:t>
      </w:r>
      <w:r w:rsidR="00EC4B1A">
        <w:rPr>
          <w:rFonts w:ascii="Book Antiqua" w:hAnsi="Book Antiqua"/>
          <w:bCs/>
          <w:i/>
          <w:u w:val="single"/>
          <w:lang w:val="es-PR"/>
        </w:rPr>
        <w:t xml:space="preserve">13 </w:t>
      </w:r>
      <w:r w:rsidRPr="007611FC">
        <w:rPr>
          <w:rFonts w:ascii="Book Antiqua" w:hAnsi="Book Antiqua"/>
          <w:bCs/>
          <w:iCs/>
          <w:u w:val="single"/>
          <w:lang w:val="es-PR"/>
        </w:rPr>
        <w:t xml:space="preserve">de agosto de </w:t>
      </w:r>
      <w:r w:rsidRPr="00EC4B1A">
        <w:rPr>
          <w:rFonts w:ascii="Book Antiqua" w:hAnsi="Book Antiqua"/>
          <w:bCs/>
          <w:iCs/>
          <w:strike/>
          <w:u w:val="single"/>
          <w:lang w:val="es-PR"/>
        </w:rPr>
        <w:t>1991</w:t>
      </w:r>
      <w:r w:rsidR="00EC4B1A">
        <w:rPr>
          <w:rFonts w:ascii="Book Antiqua" w:hAnsi="Book Antiqua"/>
          <w:bCs/>
          <w:iCs/>
          <w:u w:val="single"/>
          <w:lang w:val="es-PR"/>
        </w:rPr>
        <w:t xml:space="preserve"> </w:t>
      </w:r>
      <w:r w:rsidR="00EC4B1A">
        <w:rPr>
          <w:rFonts w:ascii="Book Antiqua" w:hAnsi="Book Antiqua"/>
          <w:bCs/>
          <w:i/>
          <w:u w:val="single"/>
          <w:lang w:val="es-PR"/>
        </w:rPr>
        <w:t>2020</w:t>
      </w:r>
      <w:r w:rsidRPr="007611FC">
        <w:rPr>
          <w:rFonts w:ascii="Book Antiqua" w:hAnsi="Book Antiqua"/>
          <w:bCs/>
          <w:iCs/>
          <w:u w:val="single"/>
          <w:lang w:val="es-PR"/>
        </w:rPr>
        <w:t>,</w:t>
      </w:r>
      <w:r w:rsidR="00B35BE5" w:rsidRPr="007611FC">
        <w:rPr>
          <w:rFonts w:ascii="Book Antiqua" w:hAnsi="Book Antiqua"/>
          <w:bCs/>
          <w:iCs/>
          <w:u w:val="single"/>
          <w:lang w:val="es-PR"/>
        </w:rPr>
        <w:t xml:space="preserve"> </w:t>
      </w:r>
      <w:r w:rsidRPr="007611FC">
        <w:rPr>
          <w:rFonts w:ascii="Book Antiqua" w:hAnsi="Book Antiqua"/>
          <w:bCs/>
          <w:iCs/>
          <w:u w:val="single"/>
          <w:lang w:val="es-PR"/>
        </w:rPr>
        <w:t>según enmendada, conocida como “</w:t>
      </w:r>
      <w:r w:rsidRPr="00DF2FD0">
        <w:rPr>
          <w:rFonts w:ascii="Book Antiqua" w:hAnsi="Book Antiqua"/>
          <w:bCs/>
          <w:iCs/>
          <w:strike/>
          <w:u w:val="single"/>
          <w:lang w:val="es-PR"/>
        </w:rPr>
        <w:t>Ley de Contribución Municipal sobre la Propiedad de 1991</w:t>
      </w:r>
      <w:r w:rsidR="00914186">
        <w:rPr>
          <w:rFonts w:ascii="Book Antiqua" w:hAnsi="Book Antiqua"/>
          <w:bCs/>
          <w:iCs/>
          <w:u w:val="single"/>
          <w:lang w:val="es-PR"/>
        </w:rPr>
        <w:t xml:space="preserve"> </w:t>
      </w:r>
      <w:r w:rsidR="00914186">
        <w:rPr>
          <w:rFonts w:ascii="Book Antiqua" w:hAnsi="Book Antiqua"/>
          <w:bCs/>
          <w:i/>
          <w:u w:val="single"/>
          <w:lang w:val="es-PR"/>
        </w:rPr>
        <w:t>Código Municipal de Puerto Rico</w:t>
      </w:r>
      <w:r w:rsidRPr="007611FC">
        <w:rPr>
          <w:rFonts w:ascii="Book Antiqua" w:hAnsi="Book Antiqua"/>
          <w:bCs/>
          <w:iCs/>
          <w:u w:val="single"/>
          <w:lang w:val="es-PR"/>
        </w:rPr>
        <w:t>”. Esta advertencia, el notario la hará constar en la escritura de traslado de dominio.</w:t>
      </w:r>
    </w:p>
    <w:p w14:paraId="310C177C" w14:textId="56BB607A" w:rsidR="004D6E7C" w:rsidRDefault="003271DF" w:rsidP="003271DF">
      <w:pPr>
        <w:pStyle w:val="default0"/>
        <w:spacing w:line="504" w:lineRule="auto"/>
        <w:rPr>
          <w:rFonts w:ascii="Book Antiqua" w:hAnsi="Book Antiqua"/>
          <w:bCs/>
          <w:iCs/>
          <w:u w:val="single"/>
          <w:lang w:val="es-PR"/>
        </w:rPr>
      </w:pPr>
      <w:r w:rsidRPr="003271DF">
        <w:rPr>
          <w:rFonts w:ascii="Book Antiqua" w:hAnsi="Book Antiqua"/>
          <w:bCs/>
          <w:iCs/>
          <w:u w:val="single"/>
          <w:lang w:val="es-PR"/>
        </w:rPr>
        <w:t>En el caso de traslados, enajenaciones u otra transacción en que se disponga de o se graven bienes inmuebles que disfruten de exención total o parcial en cuanto al pago de cargos por concepto</w:t>
      </w:r>
      <w:r>
        <w:rPr>
          <w:rFonts w:ascii="Book Antiqua" w:hAnsi="Book Antiqua"/>
          <w:bCs/>
          <w:iCs/>
          <w:u w:val="single"/>
          <w:lang w:val="es-PR"/>
        </w:rPr>
        <w:t xml:space="preserve"> </w:t>
      </w:r>
      <w:r w:rsidRPr="003271DF">
        <w:rPr>
          <w:rFonts w:ascii="Book Antiqua" w:hAnsi="Book Antiqua"/>
          <w:bCs/>
          <w:iCs/>
          <w:u w:val="single"/>
          <w:lang w:val="es-PR"/>
        </w:rPr>
        <w:t>de sellos de rentas internas y comprobantes requeridos por ley para el otorgamiento de documentos</w:t>
      </w:r>
      <w:r>
        <w:rPr>
          <w:rFonts w:ascii="Book Antiqua" w:hAnsi="Book Antiqua"/>
          <w:bCs/>
          <w:iCs/>
          <w:u w:val="single"/>
          <w:lang w:val="es-PR"/>
        </w:rPr>
        <w:t xml:space="preserve"> </w:t>
      </w:r>
      <w:r w:rsidRPr="003271DF">
        <w:rPr>
          <w:rFonts w:ascii="Book Antiqua" w:hAnsi="Book Antiqua"/>
          <w:bCs/>
          <w:iCs/>
          <w:u w:val="single"/>
          <w:lang w:val="es-PR"/>
        </w:rPr>
        <w:t>públicos y su presentación e inscripción en cualquier registro público del Gobierno, conforme a la</w:t>
      </w:r>
      <w:r w:rsidR="0051517F">
        <w:rPr>
          <w:rFonts w:ascii="Book Antiqua" w:hAnsi="Book Antiqua"/>
          <w:bCs/>
          <w:iCs/>
          <w:u w:val="single"/>
          <w:lang w:val="es-PR"/>
        </w:rPr>
        <w:t xml:space="preserve"> </w:t>
      </w:r>
      <w:r w:rsidR="00B05F97" w:rsidRPr="00B05F97">
        <w:rPr>
          <w:rFonts w:ascii="Book Antiqua" w:hAnsi="Book Antiqua"/>
          <w:bCs/>
          <w:i/>
          <w:u w:val="single"/>
          <w:lang w:val="es-PR"/>
        </w:rPr>
        <w:t>Ley Núm. 132 de 2 de septiembre de 2010, según enmendada</w:t>
      </w:r>
      <w:r w:rsidR="00B05F97">
        <w:rPr>
          <w:rFonts w:ascii="Book Antiqua" w:hAnsi="Book Antiqua"/>
          <w:bCs/>
          <w:i/>
          <w:u w:val="single"/>
          <w:lang w:val="es-PR"/>
        </w:rPr>
        <w:t xml:space="preserve">, conocida como </w:t>
      </w:r>
      <w:r w:rsidRPr="003271DF">
        <w:rPr>
          <w:rFonts w:ascii="Book Antiqua" w:hAnsi="Book Antiqua"/>
          <w:bCs/>
          <w:iCs/>
          <w:u w:val="single"/>
          <w:lang w:val="es-PR"/>
        </w:rPr>
        <w:t xml:space="preserve">“Ley de Estímulo al Mercado de Propiedades Inmuebles”, </w:t>
      </w:r>
      <w:r w:rsidRPr="00B576EC">
        <w:rPr>
          <w:rFonts w:ascii="Book Antiqua" w:hAnsi="Book Antiqua"/>
          <w:bCs/>
          <w:iCs/>
          <w:strike/>
          <w:u w:val="single"/>
          <w:lang w:val="es-PR"/>
        </w:rPr>
        <w:t>la</w:t>
      </w:r>
      <w:r w:rsidRPr="003271DF">
        <w:rPr>
          <w:rFonts w:ascii="Book Antiqua" w:hAnsi="Book Antiqua"/>
          <w:bCs/>
          <w:iCs/>
          <w:u w:val="single"/>
          <w:lang w:val="es-PR"/>
        </w:rPr>
        <w:t xml:space="preserve"> </w:t>
      </w:r>
      <w:r w:rsidR="002A2328">
        <w:rPr>
          <w:rFonts w:ascii="Book Antiqua" w:hAnsi="Book Antiqua"/>
          <w:bCs/>
          <w:i/>
          <w:u w:val="single"/>
          <w:lang w:val="es-PR"/>
        </w:rPr>
        <w:t>Ley Núm. 216 de 1 de noviembre de 2011, según enmendada, conocida como</w:t>
      </w:r>
    </w:p>
    <w:p w14:paraId="1E130453" w14:textId="6A58018C" w:rsidR="000045B4" w:rsidRDefault="003271DF" w:rsidP="003271DF">
      <w:pPr>
        <w:pStyle w:val="default0"/>
        <w:spacing w:line="504" w:lineRule="auto"/>
        <w:rPr>
          <w:rFonts w:ascii="Book Antiqua" w:hAnsi="Book Antiqua"/>
          <w:bCs/>
          <w:iCs/>
          <w:u w:val="single"/>
          <w:lang w:val="es-PR"/>
        </w:rPr>
      </w:pPr>
      <w:r w:rsidRPr="003271DF">
        <w:rPr>
          <w:rFonts w:ascii="Book Antiqua" w:hAnsi="Book Antiqua"/>
          <w:bCs/>
          <w:iCs/>
          <w:u w:val="single"/>
          <w:lang w:val="es-PR"/>
        </w:rPr>
        <w:lastRenderedPageBreak/>
        <w:t xml:space="preserve">“Ley de Transición del Programa de Impulso a la Vivienda” y </w:t>
      </w:r>
      <w:r w:rsidRPr="00D270A9">
        <w:rPr>
          <w:rFonts w:ascii="Book Antiqua" w:hAnsi="Book Antiqua"/>
          <w:bCs/>
          <w:iCs/>
          <w:strike/>
          <w:u w:val="single"/>
          <w:lang w:val="es-PR"/>
        </w:rPr>
        <w:t>a la</w:t>
      </w:r>
      <w:r w:rsidRPr="003271DF">
        <w:rPr>
          <w:rFonts w:ascii="Book Antiqua" w:hAnsi="Book Antiqua"/>
          <w:bCs/>
          <w:iCs/>
          <w:u w:val="single"/>
          <w:lang w:val="es-PR"/>
        </w:rPr>
        <w:t xml:space="preserve"> </w:t>
      </w:r>
      <w:r w:rsidR="000922F2" w:rsidRPr="00B973FF">
        <w:rPr>
          <w:rFonts w:ascii="Book Antiqua" w:hAnsi="Book Antiqua"/>
          <w:bCs/>
          <w:i/>
          <w:u w:val="single"/>
          <w:lang w:val="es-PR"/>
        </w:rPr>
        <w:t>Ley Núm. 226 de 21 de noviembre de 2011</w:t>
      </w:r>
      <w:r w:rsidR="00B973FF">
        <w:rPr>
          <w:rFonts w:ascii="Book Antiqua" w:hAnsi="Book Antiqua"/>
          <w:bCs/>
          <w:i/>
          <w:u w:val="single"/>
          <w:lang w:val="es-PR"/>
        </w:rPr>
        <w:t xml:space="preserve">, según enmendada, conocida como </w:t>
      </w:r>
      <w:r w:rsidRPr="003271DF">
        <w:rPr>
          <w:rFonts w:ascii="Book Antiqua" w:hAnsi="Book Antiqua"/>
          <w:bCs/>
          <w:iCs/>
          <w:u w:val="single"/>
          <w:lang w:val="es-PR"/>
        </w:rPr>
        <w:t>“Ley de Estímulo a la Compra e Inversión sobre el Inventario Acumulado de Viviendas Nuevas”, el notario vendrá obligado a hacer constar al final de la</w:t>
      </w:r>
      <w:r w:rsidR="000E3EB6">
        <w:rPr>
          <w:rFonts w:ascii="Book Antiqua" w:hAnsi="Book Antiqua"/>
          <w:bCs/>
          <w:iCs/>
          <w:u w:val="single"/>
          <w:lang w:val="es-PR"/>
        </w:rPr>
        <w:t xml:space="preserve"> </w:t>
      </w:r>
      <w:r w:rsidR="000E3EB6" w:rsidRPr="000E3EB6">
        <w:rPr>
          <w:rFonts w:ascii="Book Antiqua" w:hAnsi="Book Antiqua"/>
          <w:bCs/>
          <w:iCs/>
          <w:u w:val="single"/>
          <w:lang w:val="es-ES"/>
        </w:rPr>
        <w:t xml:space="preserve">escritura correspondiente la aplicabilidad de la exención conferida en </w:t>
      </w:r>
      <w:r w:rsidR="000E3EB6" w:rsidRPr="00CD2B5D">
        <w:rPr>
          <w:rFonts w:ascii="Book Antiqua" w:hAnsi="Book Antiqua"/>
          <w:bCs/>
          <w:iCs/>
          <w:strike/>
          <w:u w:val="single"/>
          <w:lang w:val="es-ES"/>
        </w:rPr>
        <w:t>dicha Ley</w:t>
      </w:r>
      <w:r w:rsidR="000E3EB6" w:rsidRPr="000E3EB6">
        <w:rPr>
          <w:rFonts w:ascii="Book Antiqua" w:hAnsi="Book Antiqua"/>
          <w:bCs/>
          <w:iCs/>
          <w:u w:val="single"/>
          <w:lang w:val="es-ES"/>
        </w:rPr>
        <w:t xml:space="preserve"> </w:t>
      </w:r>
      <w:r w:rsidR="00DC57DB">
        <w:rPr>
          <w:rFonts w:ascii="Book Antiqua" w:hAnsi="Book Antiqua"/>
          <w:bCs/>
          <w:i/>
          <w:u w:val="single"/>
          <w:lang w:val="es-ES"/>
        </w:rPr>
        <w:t xml:space="preserve">tales leyes </w:t>
      </w:r>
      <w:r w:rsidR="000E3EB6" w:rsidRPr="000E3EB6">
        <w:rPr>
          <w:rFonts w:ascii="Book Antiqua" w:hAnsi="Book Antiqua"/>
          <w:bCs/>
          <w:iCs/>
          <w:u w:val="single"/>
          <w:lang w:val="es-ES"/>
        </w:rPr>
        <w:t>basado en las representaciones de los otorgantes.</w:t>
      </w:r>
    </w:p>
    <w:p w14:paraId="236BBC88" w14:textId="77777777" w:rsidR="008A63AA" w:rsidRPr="008A63AA" w:rsidRDefault="008A63AA" w:rsidP="008A63AA">
      <w:pPr>
        <w:pStyle w:val="default0"/>
        <w:spacing w:line="504" w:lineRule="auto"/>
        <w:rPr>
          <w:rFonts w:ascii="Book Antiqua" w:hAnsi="Book Antiqua"/>
          <w:bCs/>
          <w:iCs/>
          <w:u w:val="single"/>
          <w:lang w:val="es-PR"/>
        </w:rPr>
      </w:pPr>
      <w:r w:rsidRPr="008A63AA">
        <w:rPr>
          <w:rFonts w:ascii="Book Antiqua" w:hAnsi="Book Antiqua"/>
          <w:bCs/>
          <w:iCs/>
          <w:u w:val="single"/>
          <w:lang w:val="es-PR"/>
        </w:rPr>
        <w:t xml:space="preserve">Será obligación de los Notarios remitir mensualmente al Departamento de Hacienda las </w:t>
      </w:r>
    </w:p>
    <w:p w14:paraId="5272969A" w14:textId="6D85D731" w:rsidR="004064FF" w:rsidRDefault="008A63AA" w:rsidP="008A63AA">
      <w:pPr>
        <w:pStyle w:val="default0"/>
        <w:spacing w:line="504" w:lineRule="auto"/>
        <w:rPr>
          <w:rFonts w:ascii="Book Antiqua" w:hAnsi="Book Antiqua"/>
          <w:bCs/>
          <w:iCs/>
          <w:u w:val="single"/>
          <w:lang w:val="es-PR"/>
        </w:rPr>
      </w:pPr>
      <w:r w:rsidRPr="008A63AA">
        <w:rPr>
          <w:rFonts w:ascii="Book Antiqua" w:hAnsi="Book Antiqua"/>
          <w:bCs/>
          <w:iCs/>
          <w:u w:val="single"/>
          <w:lang w:val="es-PR"/>
        </w:rPr>
        <w:t>planillas correspondientes a las escrituras otorgadas ante ellos durante el mes anterior, en o antes del décimo (10) día del mes siguiente al otorgamiento de dichas escrituras. Dicha planilla deberá</w:t>
      </w:r>
      <w:r>
        <w:rPr>
          <w:rFonts w:ascii="Book Antiqua" w:hAnsi="Book Antiqua"/>
          <w:bCs/>
          <w:iCs/>
          <w:u w:val="single"/>
          <w:lang w:val="es-PR"/>
        </w:rPr>
        <w:t xml:space="preserve"> </w:t>
      </w:r>
      <w:r w:rsidRPr="008A63AA">
        <w:rPr>
          <w:rFonts w:ascii="Book Antiqua" w:hAnsi="Book Antiqua"/>
          <w:bCs/>
          <w:iCs/>
          <w:u w:val="single"/>
          <w:lang w:val="es-PR"/>
        </w:rPr>
        <w:t xml:space="preserve">ser </w:t>
      </w:r>
      <w:r w:rsidRPr="00C23C87">
        <w:rPr>
          <w:rFonts w:ascii="Book Antiqua" w:hAnsi="Book Antiqua"/>
          <w:bCs/>
          <w:iCs/>
          <w:strike/>
          <w:u w:val="single"/>
          <w:lang w:val="es-PR"/>
        </w:rPr>
        <w:t>radicada</w:t>
      </w:r>
      <w:r w:rsidRPr="008A63AA">
        <w:rPr>
          <w:rFonts w:ascii="Book Antiqua" w:hAnsi="Book Antiqua"/>
          <w:bCs/>
          <w:iCs/>
          <w:u w:val="single"/>
          <w:lang w:val="es-PR"/>
        </w:rPr>
        <w:t xml:space="preserve"> </w:t>
      </w:r>
      <w:r w:rsidR="00C23C87">
        <w:rPr>
          <w:rFonts w:ascii="Book Antiqua" w:hAnsi="Book Antiqua"/>
          <w:bCs/>
          <w:i/>
          <w:u w:val="single"/>
          <w:lang w:val="es-PR"/>
        </w:rPr>
        <w:t xml:space="preserve">presentada </w:t>
      </w:r>
      <w:r w:rsidRPr="008A63AA">
        <w:rPr>
          <w:rFonts w:ascii="Book Antiqua" w:hAnsi="Book Antiqua"/>
          <w:bCs/>
          <w:iCs/>
          <w:u w:val="single"/>
          <w:lang w:val="es-PR"/>
        </w:rPr>
        <w:t>en la forma</w:t>
      </w:r>
      <w:r w:rsidRPr="00C647EB">
        <w:rPr>
          <w:rFonts w:ascii="Book Antiqua" w:hAnsi="Book Antiqua"/>
          <w:bCs/>
          <w:iCs/>
          <w:strike/>
          <w:u w:val="single"/>
          <w:lang w:val="es-PR"/>
        </w:rPr>
        <w:t>,</w:t>
      </w:r>
      <w:r w:rsidR="00C647EB">
        <w:rPr>
          <w:rFonts w:ascii="Book Antiqua" w:hAnsi="Book Antiqua"/>
          <w:bCs/>
          <w:iCs/>
          <w:u w:val="single"/>
          <w:lang w:val="es-PR"/>
        </w:rPr>
        <w:t xml:space="preserve"> </w:t>
      </w:r>
      <w:r w:rsidR="00C647EB">
        <w:rPr>
          <w:rFonts w:ascii="Book Antiqua" w:hAnsi="Book Antiqua"/>
          <w:bCs/>
          <w:i/>
          <w:u w:val="single"/>
          <w:lang w:val="es-PR"/>
        </w:rPr>
        <w:t>y</w:t>
      </w:r>
      <w:r w:rsidRPr="008A63AA">
        <w:rPr>
          <w:rFonts w:ascii="Book Antiqua" w:hAnsi="Book Antiqua"/>
          <w:bCs/>
          <w:iCs/>
          <w:u w:val="single"/>
          <w:lang w:val="es-PR"/>
        </w:rPr>
        <w:t xml:space="preserve"> manera que establezca el </w:t>
      </w:r>
      <w:proofErr w:type="gramStart"/>
      <w:r w:rsidRPr="008A63AA">
        <w:rPr>
          <w:rFonts w:ascii="Book Antiqua" w:hAnsi="Book Antiqua"/>
          <w:bCs/>
          <w:iCs/>
          <w:u w:val="single"/>
          <w:lang w:val="es-PR"/>
        </w:rPr>
        <w:t>Secretario</w:t>
      </w:r>
      <w:proofErr w:type="gramEnd"/>
      <w:r w:rsidRPr="008A63AA">
        <w:rPr>
          <w:rFonts w:ascii="Book Antiqua" w:hAnsi="Book Antiqua"/>
          <w:bCs/>
          <w:iCs/>
          <w:u w:val="single"/>
          <w:lang w:val="es-PR"/>
        </w:rPr>
        <w:t xml:space="preserve"> de Hacienda, mediante reglamento,</w:t>
      </w:r>
      <w:r>
        <w:rPr>
          <w:rFonts w:ascii="Book Antiqua" w:hAnsi="Book Antiqua"/>
          <w:bCs/>
          <w:iCs/>
          <w:u w:val="single"/>
          <w:lang w:val="es-PR"/>
        </w:rPr>
        <w:t xml:space="preserve"> </w:t>
      </w:r>
      <w:r w:rsidRPr="008A63AA">
        <w:rPr>
          <w:rFonts w:ascii="Book Antiqua" w:hAnsi="Book Antiqua"/>
          <w:bCs/>
          <w:iCs/>
          <w:u w:val="single"/>
          <w:lang w:val="es-PR"/>
        </w:rPr>
        <w:t>carta circular, boletín informativo o determinación administrativa de carácter general</w:t>
      </w:r>
      <w:r w:rsidRPr="00435451">
        <w:rPr>
          <w:rFonts w:ascii="Book Antiqua" w:hAnsi="Book Antiqua"/>
          <w:bCs/>
          <w:iCs/>
          <w:strike/>
          <w:u w:val="single"/>
          <w:lang w:val="es-PR"/>
        </w:rPr>
        <w:t>, incluyendo, pero sin limitarse</w:t>
      </w:r>
      <w:r w:rsidR="00435451" w:rsidRPr="00435451">
        <w:rPr>
          <w:rFonts w:ascii="Book Antiqua" w:hAnsi="Book Antiqua"/>
          <w:bCs/>
          <w:i/>
          <w:u w:val="single"/>
          <w:lang w:val="es-PR"/>
        </w:rPr>
        <w:t>.</w:t>
      </w:r>
      <w:r w:rsidR="00435451">
        <w:rPr>
          <w:rFonts w:ascii="Book Antiqua" w:hAnsi="Book Antiqua"/>
          <w:bCs/>
          <w:i/>
          <w:u w:val="single"/>
          <w:lang w:val="es-PR"/>
        </w:rPr>
        <w:t xml:space="preserve"> Esto incluye, pero no se limita</w:t>
      </w:r>
      <w:r w:rsidRPr="008A63AA">
        <w:rPr>
          <w:rFonts w:ascii="Book Antiqua" w:hAnsi="Book Antiqua"/>
          <w:bCs/>
          <w:iCs/>
          <w:u w:val="single"/>
          <w:lang w:val="es-PR"/>
        </w:rPr>
        <w:t xml:space="preserve">, a la </w:t>
      </w:r>
      <w:r w:rsidRPr="002951FE">
        <w:rPr>
          <w:rFonts w:ascii="Book Antiqua" w:hAnsi="Book Antiqua"/>
          <w:bCs/>
          <w:iCs/>
          <w:strike/>
          <w:u w:val="single"/>
          <w:lang w:val="es-PR"/>
        </w:rPr>
        <w:t>radicación</w:t>
      </w:r>
      <w:r w:rsidRPr="008A63AA">
        <w:rPr>
          <w:rFonts w:ascii="Book Antiqua" w:hAnsi="Book Antiqua"/>
          <w:bCs/>
          <w:iCs/>
          <w:u w:val="single"/>
          <w:lang w:val="es-PR"/>
        </w:rPr>
        <w:t xml:space="preserve"> </w:t>
      </w:r>
      <w:r w:rsidR="002951FE">
        <w:rPr>
          <w:rFonts w:ascii="Book Antiqua" w:hAnsi="Book Antiqua"/>
          <w:bCs/>
          <w:i/>
          <w:u w:val="single"/>
          <w:lang w:val="es-PR"/>
        </w:rPr>
        <w:t xml:space="preserve">presentación </w:t>
      </w:r>
      <w:r w:rsidRPr="008A63AA">
        <w:rPr>
          <w:rFonts w:ascii="Book Antiqua" w:hAnsi="Book Antiqua"/>
          <w:bCs/>
          <w:iCs/>
          <w:u w:val="single"/>
          <w:lang w:val="es-PR"/>
        </w:rPr>
        <w:t xml:space="preserve">de </w:t>
      </w:r>
      <w:proofErr w:type="gramStart"/>
      <w:r w:rsidRPr="00435451">
        <w:rPr>
          <w:rFonts w:ascii="Book Antiqua" w:hAnsi="Book Antiqua"/>
          <w:bCs/>
          <w:iCs/>
          <w:strike/>
          <w:u w:val="single"/>
          <w:lang w:val="es-PR"/>
        </w:rPr>
        <w:t>las mismas</w:t>
      </w:r>
      <w:proofErr w:type="gramEnd"/>
      <w:r w:rsidRPr="00435451">
        <w:rPr>
          <w:rFonts w:ascii="Book Antiqua" w:hAnsi="Book Antiqua"/>
          <w:bCs/>
          <w:iCs/>
          <w:strike/>
          <w:u w:val="single"/>
          <w:lang w:val="es-PR"/>
        </w:rPr>
        <w:t xml:space="preserve"> utilizando</w:t>
      </w:r>
      <w:r w:rsidRPr="008A63AA">
        <w:rPr>
          <w:rFonts w:ascii="Book Antiqua" w:hAnsi="Book Antiqua"/>
          <w:bCs/>
          <w:iCs/>
          <w:u w:val="single"/>
          <w:lang w:val="es-PR"/>
        </w:rPr>
        <w:t xml:space="preserve"> </w:t>
      </w:r>
      <w:r w:rsidR="00982909">
        <w:rPr>
          <w:rFonts w:ascii="Book Antiqua" w:hAnsi="Book Antiqua"/>
          <w:bCs/>
          <w:i/>
          <w:u w:val="single"/>
          <w:lang w:val="es-PR"/>
        </w:rPr>
        <w:t xml:space="preserve">estas mediante </w:t>
      </w:r>
      <w:r w:rsidRPr="008A63AA">
        <w:rPr>
          <w:rFonts w:ascii="Book Antiqua" w:hAnsi="Book Antiqua"/>
          <w:bCs/>
          <w:iCs/>
          <w:u w:val="single"/>
          <w:lang w:val="es-PR"/>
        </w:rPr>
        <w:t xml:space="preserve">medios electrónicos. </w:t>
      </w:r>
      <w:r w:rsidRPr="00982909">
        <w:rPr>
          <w:rFonts w:ascii="Book Antiqua" w:hAnsi="Book Antiqua"/>
          <w:bCs/>
          <w:iCs/>
          <w:strike/>
          <w:u w:val="single"/>
          <w:lang w:val="es-PR"/>
        </w:rPr>
        <w:t>Disponiéndose que el</w:t>
      </w:r>
      <w:r w:rsidRPr="008A63AA">
        <w:rPr>
          <w:rFonts w:ascii="Book Antiqua" w:hAnsi="Book Antiqua"/>
          <w:bCs/>
          <w:iCs/>
          <w:u w:val="single"/>
          <w:lang w:val="es-PR"/>
        </w:rPr>
        <w:t xml:space="preserve"> </w:t>
      </w:r>
      <w:proofErr w:type="spellStart"/>
      <w:r w:rsidR="00982909">
        <w:rPr>
          <w:rFonts w:ascii="Book Antiqua" w:hAnsi="Book Antiqua"/>
          <w:bCs/>
          <w:i/>
          <w:u w:val="single"/>
          <w:lang w:val="es-PR"/>
        </w:rPr>
        <w:t>El</w:t>
      </w:r>
      <w:proofErr w:type="spellEnd"/>
      <w:r w:rsidR="00982909">
        <w:rPr>
          <w:rFonts w:ascii="Book Antiqua" w:hAnsi="Book Antiqua"/>
          <w:bCs/>
          <w:i/>
          <w:u w:val="single"/>
          <w:lang w:val="es-PR"/>
        </w:rPr>
        <w:t xml:space="preserve"> </w:t>
      </w:r>
      <w:r w:rsidRPr="008A63AA">
        <w:rPr>
          <w:rFonts w:ascii="Book Antiqua" w:hAnsi="Book Antiqua"/>
          <w:bCs/>
          <w:iCs/>
          <w:u w:val="single"/>
          <w:lang w:val="es-PR"/>
        </w:rPr>
        <w:t xml:space="preserve">Notario incluirá junto con dichas planillas y anejará a la escritura correspondiente que forme parte de su protocolo de instrumentos públicos copia de la certificación de Propiedad de Nueva Construcción a ser emitida por el vendedor de la propiedad inmueble, conforme a la </w:t>
      </w:r>
      <w:r w:rsidR="003B64CA" w:rsidRPr="00B05F97">
        <w:rPr>
          <w:rFonts w:ascii="Book Antiqua" w:hAnsi="Book Antiqua"/>
          <w:bCs/>
          <w:i/>
          <w:u w:val="single"/>
          <w:lang w:val="es-PR"/>
        </w:rPr>
        <w:t>Ley Núm. 132 de 2 de septiembre de 2010, según enmendada</w:t>
      </w:r>
      <w:r w:rsidR="003B64CA">
        <w:rPr>
          <w:rFonts w:ascii="Book Antiqua" w:hAnsi="Book Antiqua"/>
          <w:bCs/>
          <w:i/>
          <w:u w:val="single"/>
          <w:lang w:val="es-PR"/>
        </w:rPr>
        <w:t>,</w:t>
      </w:r>
      <w:r w:rsidR="005262ED">
        <w:rPr>
          <w:rFonts w:ascii="Book Antiqua" w:hAnsi="Book Antiqua"/>
          <w:bCs/>
          <w:i/>
          <w:u w:val="single"/>
          <w:lang w:val="es-PR"/>
        </w:rPr>
        <w:t xml:space="preserve"> Ley Núm. 216 de 1 de noviembre de 2011, según enmendada, y </w:t>
      </w:r>
      <w:r w:rsidR="007E2139" w:rsidRPr="00B973FF">
        <w:rPr>
          <w:rFonts w:ascii="Book Antiqua" w:hAnsi="Book Antiqua"/>
          <w:bCs/>
          <w:i/>
          <w:u w:val="single"/>
          <w:lang w:val="es-PR"/>
        </w:rPr>
        <w:t>Ley Núm. 226 de 21 de noviembre de 2011</w:t>
      </w:r>
      <w:r w:rsidR="007E2139">
        <w:rPr>
          <w:rFonts w:ascii="Book Antiqua" w:hAnsi="Book Antiqua"/>
          <w:bCs/>
          <w:i/>
          <w:u w:val="single"/>
          <w:lang w:val="es-PR"/>
        </w:rPr>
        <w:t xml:space="preserve">, según enmendada </w:t>
      </w:r>
      <w:r w:rsidR="003B64CA" w:rsidRPr="00EA7281">
        <w:rPr>
          <w:rFonts w:ascii="Book Antiqua" w:hAnsi="Book Antiqua"/>
          <w:bCs/>
          <w:iCs/>
          <w:strike/>
          <w:u w:val="single"/>
          <w:lang w:val="es-PR"/>
        </w:rPr>
        <w:t xml:space="preserve"> </w:t>
      </w:r>
      <w:r w:rsidRPr="00EA7281">
        <w:rPr>
          <w:rFonts w:ascii="Book Antiqua" w:hAnsi="Book Antiqua"/>
          <w:bCs/>
          <w:iCs/>
          <w:strike/>
          <w:u w:val="single"/>
          <w:lang w:val="es-PR"/>
        </w:rPr>
        <w:t>“Ley de Estímulo al Mercado de Propiedades Inmuebles”</w:t>
      </w:r>
      <w:r w:rsidRPr="003B64CA">
        <w:rPr>
          <w:rFonts w:ascii="Book Antiqua" w:hAnsi="Book Antiqua"/>
          <w:bCs/>
          <w:iCs/>
          <w:strike/>
          <w:u w:val="single"/>
          <w:lang w:val="es-PR"/>
        </w:rPr>
        <w:t>,</w:t>
      </w:r>
      <w:r w:rsidRPr="001A7D99">
        <w:rPr>
          <w:rFonts w:ascii="Book Antiqua" w:hAnsi="Book Antiqua"/>
          <w:bCs/>
          <w:iCs/>
          <w:strike/>
          <w:u w:val="single"/>
          <w:lang w:val="es-PR"/>
        </w:rPr>
        <w:t xml:space="preserve"> a la “Ley de Transición del Programa Impulso a la Vivienda” y a la “Ley de Estímulo a la Compra e Inversión sobre el Inventario </w:t>
      </w:r>
      <w:r w:rsidRPr="001A7D99">
        <w:rPr>
          <w:rFonts w:ascii="Book Antiqua" w:hAnsi="Book Antiqua"/>
          <w:bCs/>
          <w:iCs/>
          <w:strike/>
          <w:u w:val="single"/>
          <w:lang w:val="es-PR"/>
        </w:rPr>
        <w:lastRenderedPageBreak/>
        <w:t>Acumulado de Viviendas Nuevas”</w:t>
      </w:r>
      <w:r w:rsidRPr="008A63AA">
        <w:rPr>
          <w:rFonts w:ascii="Book Antiqua" w:hAnsi="Book Antiqua"/>
          <w:bCs/>
          <w:iCs/>
          <w:u w:val="single"/>
          <w:lang w:val="es-PR"/>
        </w:rPr>
        <w:t xml:space="preserve">. El </w:t>
      </w:r>
      <w:proofErr w:type="gramStart"/>
      <w:r w:rsidRPr="008A63AA">
        <w:rPr>
          <w:rFonts w:ascii="Book Antiqua" w:hAnsi="Book Antiqua"/>
          <w:bCs/>
          <w:iCs/>
          <w:u w:val="single"/>
          <w:lang w:val="es-PR"/>
        </w:rPr>
        <w:t>Secretario</w:t>
      </w:r>
      <w:proofErr w:type="gramEnd"/>
      <w:r w:rsidRPr="008A63AA">
        <w:rPr>
          <w:rFonts w:ascii="Book Antiqua" w:hAnsi="Book Antiqua"/>
          <w:bCs/>
          <w:iCs/>
          <w:u w:val="single"/>
          <w:lang w:val="es-PR"/>
        </w:rPr>
        <w:t xml:space="preserve"> de Hacienda compartirá con el Centro de Recaudación de Ingresos Municipales </w:t>
      </w:r>
      <w:r w:rsidR="00A57CE3">
        <w:rPr>
          <w:rFonts w:ascii="Book Antiqua" w:hAnsi="Book Antiqua"/>
          <w:bCs/>
          <w:i/>
          <w:u w:val="single"/>
          <w:lang w:val="es-PR"/>
        </w:rPr>
        <w:t>(</w:t>
      </w:r>
      <w:r w:rsidRPr="008A63AA">
        <w:rPr>
          <w:rFonts w:ascii="Book Antiqua" w:hAnsi="Book Antiqua"/>
          <w:bCs/>
          <w:iCs/>
          <w:u w:val="single"/>
          <w:lang w:val="es-PR"/>
        </w:rPr>
        <w:t>“CRIM”</w:t>
      </w:r>
      <w:r w:rsidR="00A57CE3">
        <w:rPr>
          <w:rFonts w:ascii="Book Antiqua" w:hAnsi="Book Antiqua"/>
          <w:bCs/>
          <w:i/>
          <w:u w:val="single"/>
          <w:lang w:val="es-PR"/>
        </w:rPr>
        <w:t>)</w:t>
      </w:r>
      <w:r w:rsidRPr="008A63AA">
        <w:rPr>
          <w:rFonts w:ascii="Book Antiqua" w:hAnsi="Book Antiqua"/>
          <w:bCs/>
          <w:iCs/>
          <w:u w:val="single"/>
          <w:lang w:val="es-PR"/>
        </w:rPr>
        <w:t xml:space="preserve"> los archivos de las planillas </w:t>
      </w:r>
      <w:r w:rsidRPr="004A5E89">
        <w:rPr>
          <w:rFonts w:ascii="Book Antiqua" w:hAnsi="Book Antiqua"/>
          <w:bCs/>
          <w:iCs/>
          <w:strike/>
          <w:u w:val="single"/>
          <w:lang w:val="es-PR"/>
        </w:rPr>
        <w:t>radicadas</w:t>
      </w:r>
      <w:r w:rsidRPr="008A63AA">
        <w:rPr>
          <w:rFonts w:ascii="Book Antiqua" w:hAnsi="Book Antiqua"/>
          <w:bCs/>
          <w:iCs/>
          <w:u w:val="single"/>
          <w:lang w:val="es-PR"/>
        </w:rPr>
        <w:t xml:space="preserve"> </w:t>
      </w:r>
      <w:r w:rsidR="004A5E89">
        <w:rPr>
          <w:rFonts w:ascii="Book Antiqua" w:hAnsi="Book Antiqua"/>
          <w:bCs/>
          <w:i/>
          <w:u w:val="single"/>
          <w:lang w:val="es-PR"/>
        </w:rPr>
        <w:t xml:space="preserve">presentadas </w:t>
      </w:r>
      <w:r w:rsidRPr="008A63AA">
        <w:rPr>
          <w:rFonts w:ascii="Book Antiqua" w:hAnsi="Book Antiqua"/>
          <w:bCs/>
          <w:iCs/>
          <w:u w:val="single"/>
          <w:lang w:val="es-PR"/>
        </w:rPr>
        <w:t>electrónicamente.</w:t>
      </w:r>
    </w:p>
    <w:p w14:paraId="1946E39B" w14:textId="02821ACD" w:rsidR="005263E7" w:rsidRPr="005263E7" w:rsidRDefault="00976153" w:rsidP="00AF527B">
      <w:pPr>
        <w:pStyle w:val="default0"/>
        <w:spacing w:line="504" w:lineRule="auto"/>
        <w:rPr>
          <w:rFonts w:ascii="Book Antiqua" w:eastAsia="Arial" w:hAnsi="Book Antiqua" w:cs="Arial"/>
          <w:bCs/>
          <w:lang w:val="es-PR"/>
        </w:rPr>
      </w:pPr>
      <w:r w:rsidRPr="00976153">
        <w:rPr>
          <w:rFonts w:ascii="Book Antiqua" w:hAnsi="Book Antiqua"/>
          <w:bCs/>
          <w:iCs/>
          <w:u w:val="single"/>
          <w:lang w:val="es-PR"/>
        </w:rPr>
        <w:t>El Departamento de Hacienda certificará e informará a la Oficina de Gerencia y Presupuesto el monto de los ingresos dejados de percibir por la Sociedad para la Asistencia Legal por razón de</w:t>
      </w:r>
      <w:r>
        <w:rPr>
          <w:rFonts w:ascii="Book Antiqua" w:hAnsi="Book Antiqua"/>
          <w:bCs/>
          <w:iCs/>
          <w:u w:val="single"/>
          <w:lang w:val="es-PR"/>
        </w:rPr>
        <w:t xml:space="preserve"> </w:t>
      </w:r>
      <w:r w:rsidRPr="00976153">
        <w:rPr>
          <w:rFonts w:ascii="Book Antiqua" w:hAnsi="Book Antiqua"/>
          <w:bCs/>
          <w:iCs/>
          <w:u w:val="single"/>
          <w:lang w:val="es-PR"/>
        </w:rPr>
        <w:t xml:space="preserve">los incentivos dispuestos por la </w:t>
      </w:r>
      <w:r w:rsidR="000F412E">
        <w:rPr>
          <w:rFonts w:ascii="Book Antiqua" w:hAnsi="Book Antiqua"/>
          <w:bCs/>
          <w:i/>
          <w:u w:val="single"/>
          <w:lang w:val="es-PR"/>
        </w:rPr>
        <w:t>Ley Núm. 216 de 1 de noviembre de 2011, según enmendada</w:t>
      </w:r>
      <w:r w:rsidR="00C07677">
        <w:rPr>
          <w:rFonts w:ascii="Book Antiqua" w:hAnsi="Book Antiqua"/>
          <w:bCs/>
          <w:i/>
          <w:u w:val="single"/>
          <w:lang w:val="es-PR"/>
        </w:rPr>
        <w:t xml:space="preserve"> </w:t>
      </w:r>
      <w:r w:rsidRPr="003971C7">
        <w:rPr>
          <w:rFonts w:ascii="Book Antiqua" w:hAnsi="Book Antiqua"/>
          <w:bCs/>
          <w:iCs/>
          <w:strike/>
          <w:u w:val="single"/>
          <w:lang w:val="es-PR"/>
        </w:rPr>
        <w:t>“Ley de Transición del Programa Impulso a la Vivienda”</w:t>
      </w:r>
      <w:r w:rsidRPr="00976153">
        <w:rPr>
          <w:rFonts w:ascii="Book Antiqua" w:hAnsi="Book Antiqua"/>
          <w:bCs/>
          <w:iCs/>
          <w:u w:val="single"/>
          <w:lang w:val="es-PR"/>
        </w:rPr>
        <w:t>. La</w:t>
      </w:r>
      <w:r>
        <w:rPr>
          <w:rFonts w:ascii="Book Antiqua" w:hAnsi="Book Antiqua"/>
          <w:bCs/>
          <w:iCs/>
          <w:u w:val="single"/>
          <w:lang w:val="es-PR"/>
        </w:rPr>
        <w:t xml:space="preserve"> </w:t>
      </w:r>
      <w:r w:rsidRPr="00976153">
        <w:rPr>
          <w:rFonts w:ascii="Book Antiqua" w:hAnsi="Book Antiqua"/>
          <w:bCs/>
          <w:iCs/>
          <w:u w:val="single"/>
          <w:lang w:val="es-PR"/>
        </w:rPr>
        <w:t>Oficina de Gerencia y Presupuesto asignará y transferirá a la Sociedad para la Asistencia Legal la</w:t>
      </w:r>
      <w:r>
        <w:rPr>
          <w:rFonts w:ascii="Book Antiqua" w:hAnsi="Book Antiqua"/>
          <w:bCs/>
          <w:iCs/>
          <w:u w:val="single"/>
          <w:lang w:val="es-PR"/>
        </w:rPr>
        <w:t xml:space="preserve"> </w:t>
      </w:r>
      <w:r w:rsidRPr="00976153">
        <w:rPr>
          <w:rFonts w:ascii="Book Antiqua" w:hAnsi="Book Antiqua"/>
          <w:bCs/>
          <w:iCs/>
          <w:u w:val="single"/>
          <w:lang w:val="es-PR"/>
        </w:rPr>
        <w:t>cantidad correspondiente, a modo de sustitución a los aranceles dejados de recibir en concepto de</w:t>
      </w:r>
      <w:r>
        <w:rPr>
          <w:rFonts w:ascii="Book Antiqua" w:hAnsi="Book Antiqua"/>
          <w:bCs/>
          <w:iCs/>
          <w:u w:val="single"/>
          <w:lang w:val="es-PR"/>
        </w:rPr>
        <w:t xml:space="preserve"> </w:t>
      </w:r>
      <w:proofErr w:type="gramStart"/>
      <w:r w:rsidRPr="00976153">
        <w:rPr>
          <w:rFonts w:ascii="Book Antiqua" w:hAnsi="Book Antiqua"/>
          <w:bCs/>
          <w:iCs/>
          <w:u w:val="single"/>
          <w:lang w:val="es-PR"/>
        </w:rPr>
        <w:t>sellos</w:t>
      </w:r>
      <w:r w:rsidRPr="00732D71">
        <w:rPr>
          <w:rFonts w:ascii="Book Antiqua" w:hAnsi="Book Antiqua"/>
          <w:bCs/>
          <w:iCs/>
          <w:strike/>
          <w:u w:val="single"/>
          <w:lang w:val="es-PR"/>
        </w:rPr>
        <w:t>,</w:t>
      </w:r>
      <w:r w:rsidR="00732D71">
        <w:rPr>
          <w:rFonts w:ascii="Book Antiqua" w:hAnsi="Book Antiqua"/>
          <w:bCs/>
          <w:i/>
          <w:u w:val="single"/>
          <w:lang w:val="es-PR"/>
        </w:rPr>
        <w:t>.</w:t>
      </w:r>
      <w:proofErr w:type="gramEnd"/>
      <w:r w:rsidR="00732D71">
        <w:rPr>
          <w:rFonts w:ascii="Book Antiqua" w:hAnsi="Book Antiqua"/>
          <w:bCs/>
          <w:i/>
          <w:u w:val="single"/>
          <w:lang w:val="es-PR"/>
        </w:rPr>
        <w:t xml:space="preserve"> Esto</w:t>
      </w:r>
      <w:r w:rsidR="00621473">
        <w:rPr>
          <w:rFonts w:ascii="Book Antiqua" w:hAnsi="Book Antiqua"/>
          <w:bCs/>
          <w:i/>
          <w:u w:val="single"/>
          <w:lang w:val="es-PR"/>
        </w:rPr>
        <w:t>,</w:t>
      </w:r>
      <w:r w:rsidRPr="00976153">
        <w:rPr>
          <w:rFonts w:ascii="Book Antiqua" w:hAnsi="Book Antiqua"/>
          <w:bCs/>
          <w:iCs/>
          <w:u w:val="single"/>
          <w:lang w:val="es-PR"/>
        </w:rPr>
        <w:t xml:space="preserve"> según dispuesto en la Ley Núm. 47 de 4 de junio de 1982</w:t>
      </w:r>
      <w:r w:rsidR="00AA7AE0">
        <w:rPr>
          <w:rFonts w:ascii="Book Antiqua" w:hAnsi="Book Antiqua"/>
          <w:bCs/>
          <w:i/>
          <w:u w:val="single"/>
          <w:lang w:val="es-PR"/>
        </w:rPr>
        <w:t>, según enmendada</w:t>
      </w:r>
      <w:r w:rsidR="00E970DE">
        <w:rPr>
          <w:rFonts w:ascii="Book Antiqua" w:hAnsi="Book Antiqua"/>
          <w:bCs/>
          <w:i/>
          <w:u w:val="single"/>
          <w:lang w:val="es-PR"/>
        </w:rPr>
        <w:t>,</w:t>
      </w:r>
      <w:r w:rsidR="00AA7AE0">
        <w:rPr>
          <w:rFonts w:ascii="Book Antiqua" w:hAnsi="Book Antiqua"/>
          <w:bCs/>
          <w:i/>
          <w:u w:val="single"/>
          <w:lang w:val="es-PR"/>
        </w:rPr>
        <w:t xml:space="preserve"> </w:t>
      </w:r>
      <w:r w:rsidR="00DD27B0">
        <w:rPr>
          <w:rFonts w:ascii="Book Antiqua" w:hAnsi="Book Antiqua"/>
          <w:bCs/>
          <w:i/>
          <w:u w:val="single"/>
          <w:lang w:val="es-PR"/>
        </w:rPr>
        <w:t>conocida como “Ley del Sello de la Sociedad para Asistencia Legal”</w:t>
      </w:r>
      <w:r w:rsidRPr="00976153">
        <w:rPr>
          <w:rFonts w:ascii="Book Antiqua" w:hAnsi="Book Antiqua"/>
          <w:bCs/>
          <w:iCs/>
          <w:u w:val="single"/>
          <w:lang w:val="es-PR"/>
        </w:rPr>
        <w:t xml:space="preserve"> y </w:t>
      </w:r>
      <w:r w:rsidR="00FF2E0E">
        <w:rPr>
          <w:rFonts w:ascii="Book Antiqua" w:hAnsi="Book Antiqua"/>
          <w:bCs/>
          <w:i/>
          <w:u w:val="single"/>
          <w:lang w:val="es-PR"/>
        </w:rPr>
        <w:t xml:space="preserve">en </w:t>
      </w:r>
      <w:r w:rsidRPr="00976153">
        <w:rPr>
          <w:rFonts w:ascii="Book Antiqua" w:hAnsi="Book Antiqua"/>
          <w:bCs/>
          <w:iCs/>
          <w:u w:val="single"/>
          <w:lang w:val="es-PR"/>
        </w:rPr>
        <w:t>la Ley</w:t>
      </w:r>
      <w:r w:rsidR="00892676">
        <w:rPr>
          <w:rFonts w:ascii="Book Antiqua" w:hAnsi="Book Antiqua"/>
          <w:bCs/>
          <w:iCs/>
          <w:u w:val="single"/>
          <w:lang w:val="es-PR"/>
        </w:rPr>
        <w:t xml:space="preserve"> </w:t>
      </w:r>
      <w:r w:rsidR="00892676">
        <w:rPr>
          <w:rFonts w:ascii="Book Antiqua" w:hAnsi="Book Antiqua"/>
          <w:bCs/>
          <w:i/>
          <w:u w:val="single"/>
          <w:lang w:val="es-PR"/>
        </w:rPr>
        <w:t>Núm.</w:t>
      </w:r>
      <w:r w:rsidRPr="00976153">
        <w:rPr>
          <w:rFonts w:ascii="Book Antiqua" w:hAnsi="Book Antiqua"/>
          <w:bCs/>
          <w:iCs/>
          <w:u w:val="single"/>
          <w:lang w:val="es-PR"/>
        </w:rPr>
        <w:t xml:space="preserve"> </w:t>
      </w:r>
      <w:r w:rsidRPr="00892676">
        <w:rPr>
          <w:rFonts w:ascii="Book Antiqua" w:hAnsi="Book Antiqua"/>
          <w:bCs/>
          <w:iCs/>
          <w:strike/>
          <w:u w:val="single"/>
          <w:lang w:val="es-PR"/>
        </w:rPr>
        <w:t>244-2004</w:t>
      </w:r>
      <w:r w:rsidR="004B68EA" w:rsidRPr="004B68EA">
        <w:rPr>
          <w:rFonts w:ascii="Book Antiqua" w:hAnsi="Book Antiqua"/>
          <w:bCs/>
          <w:iCs/>
          <w:u w:val="single"/>
          <w:lang w:val="es-PR"/>
        </w:rPr>
        <w:t xml:space="preserve"> </w:t>
      </w:r>
      <w:r w:rsidR="007A43BE">
        <w:rPr>
          <w:rFonts w:ascii="Book Antiqua" w:hAnsi="Book Antiqua"/>
          <w:bCs/>
          <w:i/>
          <w:u w:val="single"/>
          <w:lang w:val="es-PR"/>
        </w:rPr>
        <w:t>101 de 12 de mayo de 1943, según enmendada, conocida como “Ley de Arancel Notarial</w:t>
      </w:r>
      <w:proofErr w:type="gramStart"/>
      <w:r w:rsidR="00AF527B">
        <w:rPr>
          <w:rFonts w:ascii="Book Antiqua" w:hAnsi="Book Antiqua"/>
          <w:bCs/>
          <w:i/>
          <w:u w:val="single"/>
          <w:lang w:val="es-PR"/>
        </w:rPr>
        <w:t>”</w:t>
      </w:r>
      <w:r w:rsidR="00CF7B09">
        <w:rPr>
          <w:rFonts w:ascii="Book Antiqua" w:hAnsi="Book Antiqua"/>
          <w:bCs/>
          <w:iCs/>
          <w:u w:val="single"/>
          <w:lang w:val="es-PR"/>
        </w:rPr>
        <w:t>.</w:t>
      </w:r>
      <w:r w:rsidR="005263E7">
        <w:rPr>
          <w:rFonts w:ascii="Book Antiqua" w:hAnsi="Book Antiqua"/>
          <w:bCs/>
          <w:iCs/>
          <w:lang w:val="es-PR"/>
        </w:rPr>
        <w:t>“</w:t>
      </w:r>
      <w:proofErr w:type="gramEnd"/>
    </w:p>
    <w:p w14:paraId="4F967E2F" w14:textId="77777777" w:rsidR="0020446E" w:rsidRPr="005263E7" w:rsidRDefault="00922CB2" w:rsidP="00CB6B3C">
      <w:pPr>
        <w:spacing w:line="504" w:lineRule="auto"/>
        <w:ind w:firstLine="360"/>
        <w:rPr>
          <w:rFonts w:ascii="Book Antiqua" w:hAnsi="Book Antiqua"/>
          <w:color w:val="000000"/>
          <w:sz w:val="24"/>
          <w:szCs w:val="24"/>
        </w:rPr>
      </w:pPr>
      <w:r w:rsidRPr="005263E7">
        <w:rPr>
          <w:rFonts w:ascii="Book Antiqua" w:hAnsi="Book Antiqua"/>
          <w:sz w:val="24"/>
          <w:szCs w:val="24"/>
          <w:lang w:val="es-PR"/>
        </w:rPr>
        <w:t>Sección 2.-</w:t>
      </w:r>
      <w:r w:rsidR="0020446E" w:rsidRPr="005263E7">
        <w:rPr>
          <w:rFonts w:ascii="Book Antiqua" w:hAnsi="Book Antiqua"/>
          <w:color w:val="000000"/>
          <w:sz w:val="24"/>
          <w:szCs w:val="24"/>
        </w:rPr>
        <w:t xml:space="preserve"> Incompatibilidad. </w:t>
      </w:r>
    </w:p>
    <w:p w14:paraId="62ED7E09" w14:textId="77777777" w:rsidR="003078B7" w:rsidRDefault="0020446E" w:rsidP="00CB6B3C">
      <w:pPr>
        <w:spacing w:line="504" w:lineRule="auto"/>
        <w:ind w:firstLine="360"/>
        <w:rPr>
          <w:rFonts w:ascii="Book Antiqua" w:hAnsi="Book Antiqua"/>
          <w:sz w:val="24"/>
          <w:szCs w:val="24"/>
        </w:rPr>
      </w:pPr>
      <w:r w:rsidRPr="005263E7">
        <w:rPr>
          <w:rFonts w:ascii="Book Antiqua" w:hAnsi="Book Antiqua"/>
          <w:sz w:val="24"/>
          <w:szCs w:val="24"/>
        </w:rPr>
        <w:t>Por la presente se deroga, o se entenderá enmendada, cualquier disposición de ley, artículo o sección</w:t>
      </w:r>
      <w:r w:rsidRPr="0020446E">
        <w:rPr>
          <w:rFonts w:ascii="Book Antiqua" w:hAnsi="Book Antiqua"/>
          <w:sz w:val="24"/>
          <w:szCs w:val="24"/>
        </w:rPr>
        <w:t xml:space="preserve"> de ley, órdenes administrativas, políticas, cartas circulares, reglamentos, reglas, cartas normativas, determinaciones administrativas y/o disposiciones aplicables que vayan en contra de </w:t>
      </w:r>
      <w:r w:rsidRPr="003569AC">
        <w:rPr>
          <w:rFonts w:ascii="Book Antiqua" w:hAnsi="Book Antiqua"/>
          <w:strike/>
          <w:sz w:val="24"/>
          <w:szCs w:val="24"/>
        </w:rPr>
        <w:t>las disposiciones de</w:t>
      </w:r>
      <w:r w:rsidRPr="0020446E">
        <w:rPr>
          <w:rFonts w:ascii="Book Antiqua" w:hAnsi="Book Antiqua"/>
          <w:sz w:val="24"/>
          <w:szCs w:val="24"/>
        </w:rPr>
        <w:t xml:space="preserve"> esta Ley</w:t>
      </w:r>
      <w:r>
        <w:rPr>
          <w:rFonts w:ascii="Book Antiqua" w:hAnsi="Book Antiqua"/>
          <w:sz w:val="24"/>
          <w:szCs w:val="24"/>
        </w:rPr>
        <w:t>.</w:t>
      </w:r>
    </w:p>
    <w:p w14:paraId="01874CA1" w14:textId="4FC21005" w:rsidR="00922CB2" w:rsidRPr="00C83C14" w:rsidRDefault="0020446E" w:rsidP="00CB6B3C">
      <w:pPr>
        <w:spacing w:line="504" w:lineRule="auto"/>
        <w:ind w:firstLine="360"/>
        <w:rPr>
          <w:rFonts w:ascii="Book Antiqua" w:hAnsi="Book Antiqua"/>
          <w:i/>
          <w:iCs/>
          <w:sz w:val="24"/>
          <w:szCs w:val="24"/>
          <w:u w:val="single"/>
          <w:lang w:val="es-PR"/>
        </w:rPr>
      </w:pPr>
      <w:r w:rsidRPr="00215FC6">
        <w:rPr>
          <w:rFonts w:ascii="Book Antiqua" w:hAnsi="Book Antiqua"/>
          <w:sz w:val="24"/>
          <w:szCs w:val="24"/>
        </w:rPr>
        <w:t>Sección 3.</w:t>
      </w:r>
      <w:r w:rsidR="00CD64C1">
        <w:rPr>
          <w:rFonts w:ascii="Book Antiqua" w:hAnsi="Book Antiqua"/>
          <w:sz w:val="24"/>
          <w:szCs w:val="24"/>
        </w:rPr>
        <w:t xml:space="preserve">- </w:t>
      </w:r>
      <w:r w:rsidR="00922CB2" w:rsidRPr="00922CB2">
        <w:rPr>
          <w:rFonts w:ascii="Book Antiqua" w:hAnsi="Book Antiqua"/>
          <w:sz w:val="24"/>
          <w:szCs w:val="24"/>
          <w:lang w:val="es-ES_tradnl"/>
        </w:rPr>
        <w:t>Vigencia</w:t>
      </w:r>
      <w:r w:rsidR="00C83C14">
        <w:rPr>
          <w:rFonts w:ascii="Book Antiqua" w:hAnsi="Book Antiqua"/>
          <w:i/>
          <w:iCs/>
          <w:sz w:val="24"/>
          <w:szCs w:val="24"/>
          <w:u w:val="single"/>
          <w:lang w:val="es-ES_tradnl"/>
        </w:rPr>
        <w:t>.</w:t>
      </w:r>
    </w:p>
    <w:p w14:paraId="3E937044" w14:textId="77777777" w:rsidR="00CB6B3C" w:rsidRPr="00922CB2" w:rsidRDefault="00922CB2" w:rsidP="006B3EDA">
      <w:pPr>
        <w:spacing w:line="504" w:lineRule="auto"/>
        <w:ind w:firstLine="360"/>
        <w:rPr>
          <w:rFonts w:ascii="Book Antiqua" w:hAnsi="Book Antiqua"/>
        </w:rPr>
      </w:pPr>
      <w:r w:rsidRPr="00922CB2">
        <w:rPr>
          <w:rFonts w:ascii="Book Antiqua" w:hAnsi="Book Antiqua" w:cs="Arial"/>
          <w:sz w:val="24"/>
          <w:szCs w:val="24"/>
          <w:lang w:val="es-ES_tradnl"/>
        </w:rPr>
        <w:t>Esta Ley comenzará a regir inmediatamente después de su aprobación</w:t>
      </w:r>
      <w:r>
        <w:rPr>
          <w:rFonts w:ascii="Book Antiqua" w:hAnsi="Book Antiqua" w:cs="Arial"/>
          <w:sz w:val="24"/>
          <w:szCs w:val="24"/>
          <w:lang w:val="es-ES_tradnl"/>
        </w:rPr>
        <w:t>.</w:t>
      </w:r>
    </w:p>
    <w:sectPr w:rsidR="00CB6B3C" w:rsidRPr="00922CB2"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01ACF" w14:textId="77777777" w:rsidR="00FF664E" w:rsidRDefault="00FF664E" w:rsidP="00732205">
      <w:r>
        <w:separator/>
      </w:r>
    </w:p>
  </w:endnote>
  <w:endnote w:type="continuationSeparator" w:id="0">
    <w:p w14:paraId="400C1EC0" w14:textId="77777777" w:rsidR="00FF664E" w:rsidRDefault="00FF664E"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434E4" w14:textId="77777777" w:rsidR="00FF664E" w:rsidRDefault="00FF664E" w:rsidP="00732205">
      <w:r>
        <w:separator/>
      </w:r>
    </w:p>
  </w:footnote>
  <w:footnote w:type="continuationSeparator" w:id="0">
    <w:p w14:paraId="4FCDE53F" w14:textId="77777777" w:rsidR="00FF664E" w:rsidRDefault="00FF664E"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517B"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75BA8" w14:textId="77777777" w:rsidR="00CF30BC" w:rsidRPr="00CF30BC" w:rsidRDefault="00CF30BC" w:rsidP="00CF30BC">
    <w:pPr>
      <w:keepNext/>
      <w:widowControl w:val="0"/>
      <w:tabs>
        <w:tab w:val="center" w:pos="4320"/>
        <w:tab w:val="right" w:pos="8640"/>
      </w:tabs>
      <w:autoSpaceDE w:val="0"/>
      <w:autoSpaceDN w:val="0"/>
      <w:adjustRightInd w:val="0"/>
      <w:jc w:val="center"/>
      <w:rPr>
        <w:rFonts w:ascii="Book Antiqua" w:eastAsia="Times New Roman" w:hAnsi="Book Antiqua"/>
        <w:b/>
      </w:rPr>
    </w:pPr>
    <w:bookmarkStart w:id="4" w:name="_Hlk36034857"/>
    <w:r w:rsidRPr="00CF30BC">
      <w:rPr>
        <w:rFonts w:ascii="Book Antiqua" w:eastAsia="Times New Roman" w:hAnsi="Book Antiqua"/>
        <w:b/>
      </w:rPr>
      <w:t>TEXTO APROBADO EN VOTACIÓN FINAL POR EL SENADO</w:t>
    </w:r>
  </w:p>
  <w:p w14:paraId="19441041" w14:textId="77777777" w:rsidR="00CF30BC" w:rsidRPr="00CF30BC" w:rsidRDefault="00CF30BC" w:rsidP="00CF30BC">
    <w:pPr>
      <w:widowControl w:val="0"/>
      <w:pBdr>
        <w:bottom w:val="single" w:sz="18" w:space="1" w:color="auto"/>
      </w:pBdr>
      <w:tabs>
        <w:tab w:val="center" w:pos="4320"/>
        <w:tab w:val="right" w:pos="8640"/>
      </w:tabs>
      <w:autoSpaceDE w:val="0"/>
      <w:autoSpaceDN w:val="0"/>
      <w:adjustRightInd w:val="0"/>
      <w:jc w:val="center"/>
      <w:rPr>
        <w:rFonts w:ascii="Book Antiqua" w:eastAsia="Times New Roman" w:hAnsi="Book Antiqua"/>
        <w:b/>
      </w:rPr>
    </w:pPr>
    <w:r w:rsidRPr="00CF30BC">
      <w:rPr>
        <w:rFonts w:ascii="Book Antiqua" w:eastAsia="Times New Roman" w:hAnsi="Book Antiqua"/>
        <w:b/>
      </w:rPr>
      <w:t>(7 DE ABRIL DE 2025)</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5"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8" w15:restartNumberingAfterBreak="0">
    <w:nsid w:val="1FA236C4"/>
    <w:multiLevelType w:val="hybridMultilevel"/>
    <w:tmpl w:val="3C84272E"/>
    <w:lvl w:ilvl="0" w:tplc="AFB2ED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1"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3"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9"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3"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6" w15:restartNumberingAfterBreak="0">
    <w:nsid w:val="739D2099"/>
    <w:multiLevelType w:val="hybridMultilevel"/>
    <w:tmpl w:val="C332E23A"/>
    <w:lvl w:ilvl="0" w:tplc="752C7E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8"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4"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16548631">
    <w:abstractNumId w:val="29"/>
  </w:num>
  <w:num w:numId="2" w16cid:durableId="231938642">
    <w:abstractNumId w:val="30"/>
  </w:num>
  <w:num w:numId="3" w16cid:durableId="2034450816">
    <w:abstractNumId w:val="16"/>
  </w:num>
  <w:num w:numId="4" w16cid:durableId="221411075">
    <w:abstractNumId w:val="2"/>
  </w:num>
  <w:num w:numId="5" w16cid:durableId="1829201625">
    <w:abstractNumId w:val="14"/>
  </w:num>
  <w:num w:numId="6" w16cid:durableId="1524634820">
    <w:abstractNumId w:val="19"/>
  </w:num>
  <w:num w:numId="7" w16cid:durableId="1787037826">
    <w:abstractNumId w:val="24"/>
  </w:num>
  <w:num w:numId="8" w16cid:durableId="300962723">
    <w:abstractNumId w:val="22"/>
  </w:num>
  <w:num w:numId="9" w16cid:durableId="1604190649">
    <w:abstractNumId w:val="31"/>
  </w:num>
  <w:num w:numId="10" w16cid:durableId="859271212">
    <w:abstractNumId w:val="11"/>
  </w:num>
  <w:num w:numId="11" w16cid:durableId="262495098">
    <w:abstractNumId w:val="17"/>
  </w:num>
  <w:num w:numId="12" w16cid:durableId="572352625">
    <w:abstractNumId w:val="15"/>
  </w:num>
  <w:num w:numId="13" w16cid:durableId="140461917">
    <w:abstractNumId w:val="28"/>
  </w:num>
  <w:num w:numId="14" w16cid:durableId="2008897948">
    <w:abstractNumId w:val="13"/>
  </w:num>
  <w:num w:numId="15" w16cid:durableId="2077895541">
    <w:abstractNumId w:val="6"/>
  </w:num>
  <w:num w:numId="16" w16cid:durableId="1573194791">
    <w:abstractNumId w:val="5"/>
  </w:num>
  <w:num w:numId="17" w16cid:durableId="2004510547">
    <w:abstractNumId w:val="34"/>
  </w:num>
  <w:num w:numId="18" w16cid:durableId="461729833">
    <w:abstractNumId w:val="7"/>
  </w:num>
  <w:num w:numId="19" w16cid:durableId="766120252">
    <w:abstractNumId w:val="27"/>
  </w:num>
  <w:num w:numId="20" w16cid:durableId="15214334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29424">
    <w:abstractNumId w:val="12"/>
  </w:num>
  <w:num w:numId="22" w16cid:durableId="1410539779">
    <w:abstractNumId w:val="33"/>
  </w:num>
  <w:num w:numId="23" w16cid:durableId="704597124">
    <w:abstractNumId w:val="3"/>
  </w:num>
  <w:num w:numId="24" w16cid:durableId="944506998">
    <w:abstractNumId w:val="10"/>
  </w:num>
  <w:num w:numId="25" w16cid:durableId="1126389524">
    <w:abstractNumId w:val="9"/>
  </w:num>
  <w:num w:numId="26" w16cid:durableId="1346058924">
    <w:abstractNumId w:val="32"/>
  </w:num>
  <w:num w:numId="27" w16cid:durableId="258804386">
    <w:abstractNumId w:val="23"/>
  </w:num>
  <w:num w:numId="28" w16cid:durableId="549614624">
    <w:abstractNumId w:val="20"/>
  </w:num>
  <w:num w:numId="29" w16cid:durableId="950626150">
    <w:abstractNumId w:val="21"/>
  </w:num>
  <w:num w:numId="30" w16cid:durableId="282465811">
    <w:abstractNumId w:val="0"/>
  </w:num>
  <w:num w:numId="31" w16cid:durableId="2090155528">
    <w:abstractNumId w:val="18"/>
  </w:num>
  <w:num w:numId="32" w16cid:durableId="2082210890">
    <w:abstractNumId w:val="1"/>
  </w:num>
  <w:num w:numId="33" w16cid:durableId="1067151697">
    <w:abstractNumId w:val="25"/>
  </w:num>
  <w:num w:numId="34" w16cid:durableId="283000372">
    <w:abstractNumId w:val="4"/>
  </w:num>
  <w:num w:numId="35" w16cid:durableId="390538512">
    <w:abstractNumId w:val="26"/>
  </w:num>
  <w:num w:numId="36" w16cid:durableId="2719343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B4"/>
    <w:rsid w:val="000045FA"/>
    <w:rsid w:val="000047A9"/>
    <w:rsid w:val="00006C0A"/>
    <w:rsid w:val="00010415"/>
    <w:rsid w:val="0001351A"/>
    <w:rsid w:val="00015D5D"/>
    <w:rsid w:val="00017D51"/>
    <w:rsid w:val="0002017D"/>
    <w:rsid w:val="00027F6F"/>
    <w:rsid w:val="00027FC2"/>
    <w:rsid w:val="000321E6"/>
    <w:rsid w:val="0003391A"/>
    <w:rsid w:val="00035258"/>
    <w:rsid w:val="0004408B"/>
    <w:rsid w:val="00046098"/>
    <w:rsid w:val="0004665F"/>
    <w:rsid w:val="00050570"/>
    <w:rsid w:val="00050C6C"/>
    <w:rsid w:val="00050F74"/>
    <w:rsid w:val="000543EF"/>
    <w:rsid w:val="000620DE"/>
    <w:rsid w:val="00062EBF"/>
    <w:rsid w:val="000755F1"/>
    <w:rsid w:val="00075AA1"/>
    <w:rsid w:val="00076060"/>
    <w:rsid w:val="0007796C"/>
    <w:rsid w:val="00080F4E"/>
    <w:rsid w:val="00083405"/>
    <w:rsid w:val="000876E0"/>
    <w:rsid w:val="000876EC"/>
    <w:rsid w:val="00090930"/>
    <w:rsid w:val="000914F7"/>
    <w:rsid w:val="000922F2"/>
    <w:rsid w:val="00097588"/>
    <w:rsid w:val="00097BD7"/>
    <w:rsid w:val="00097E32"/>
    <w:rsid w:val="000A0A20"/>
    <w:rsid w:val="000A385F"/>
    <w:rsid w:val="000A4442"/>
    <w:rsid w:val="000B0F28"/>
    <w:rsid w:val="000B237D"/>
    <w:rsid w:val="000B2D10"/>
    <w:rsid w:val="000B4917"/>
    <w:rsid w:val="000B5742"/>
    <w:rsid w:val="000B5EA3"/>
    <w:rsid w:val="000B5EF9"/>
    <w:rsid w:val="000C0D41"/>
    <w:rsid w:val="000C0F87"/>
    <w:rsid w:val="000C6465"/>
    <w:rsid w:val="000D0F56"/>
    <w:rsid w:val="000D4AB0"/>
    <w:rsid w:val="000D7667"/>
    <w:rsid w:val="000E1D7A"/>
    <w:rsid w:val="000E1DD3"/>
    <w:rsid w:val="000E2E6C"/>
    <w:rsid w:val="000E3BCB"/>
    <w:rsid w:val="000E3EB6"/>
    <w:rsid w:val="000E50AD"/>
    <w:rsid w:val="000F0F0F"/>
    <w:rsid w:val="000F412E"/>
    <w:rsid w:val="000F44C6"/>
    <w:rsid w:val="000F455C"/>
    <w:rsid w:val="000F6A09"/>
    <w:rsid w:val="00100C68"/>
    <w:rsid w:val="001020DA"/>
    <w:rsid w:val="00103C5B"/>
    <w:rsid w:val="00107049"/>
    <w:rsid w:val="00113550"/>
    <w:rsid w:val="00113864"/>
    <w:rsid w:val="001144FC"/>
    <w:rsid w:val="00114FE7"/>
    <w:rsid w:val="001159DA"/>
    <w:rsid w:val="001205F3"/>
    <w:rsid w:val="001214E9"/>
    <w:rsid w:val="00122BA7"/>
    <w:rsid w:val="001266BC"/>
    <w:rsid w:val="001358A8"/>
    <w:rsid w:val="00141D55"/>
    <w:rsid w:val="00144596"/>
    <w:rsid w:val="00147B22"/>
    <w:rsid w:val="00150298"/>
    <w:rsid w:val="00150C7B"/>
    <w:rsid w:val="00150E2E"/>
    <w:rsid w:val="001533A3"/>
    <w:rsid w:val="00153998"/>
    <w:rsid w:val="00153A92"/>
    <w:rsid w:val="001556E2"/>
    <w:rsid w:val="00155E2C"/>
    <w:rsid w:val="001624C6"/>
    <w:rsid w:val="00162973"/>
    <w:rsid w:val="001638C2"/>
    <w:rsid w:val="001642A6"/>
    <w:rsid w:val="00166E17"/>
    <w:rsid w:val="001677F5"/>
    <w:rsid w:val="0017064B"/>
    <w:rsid w:val="00172086"/>
    <w:rsid w:val="00173217"/>
    <w:rsid w:val="001737D0"/>
    <w:rsid w:val="00173F8A"/>
    <w:rsid w:val="00176E61"/>
    <w:rsid w:val="0018057C"/>
    <w:rsid w:val="001826F9"/>
    <w:rsid w:val="0018784F"/>
    <w:rsid w:val="001901D3"/>
    <w:rsid w:val="00190B83"/>
    <w:rsid w:val="00192D7E"/>
    <w:rsid w:val="00193468"/>
    <w:rsid w:val="00193DA6"/>
    <w:rsid w:val="0019586E"/>
    <w:rsid w:val="00195BF3"/>
    <w:rsid w:val="001971C6"/>
    <w:rsid w:val="001A192F"/>
    <w:rsid w:val="001A1CC0"/>
    <w:rsid w:val="001A4DB5"/>
    <w:rsid w:val="001A5C1A"/>
    <w:rsid w:val="001A6BD2"/>
    <w:rsid w:val="001A7D99"/>
    <w:rsid w:val="001B0FEE"/>
    <w:rsid w:val="001B233F"/>
    <w:rsid w:val="001B5851"/>
    <w:rsid w:val="001C1099"/>
    <w:rsid w:val="001C1986"/>
    <w:rsid w:val="001C703F"/>
    <w:rsid w:val="001C764E"/>
    <w:rsid w:val="001D0273"/>
    <w:rsid w:val="001D061F"/>
    <w:rsid w:val="001D4B72"/>
    <w:rsid w:val="001D5B22"/>
    <w:rsid w:val="001E52BC"/>
    <w:rsid w:val="001F0D75"/>
    <w:rsid w:val="001F1044"/>
    <w:rsid w:val="001F20DD"/>
    <w:rsid w:val="001F2D7A"/>
    <w:rsid w:val="001F5945"/>
    <w:rsid w:val="00202F66"/>
    <w:rsid w:val="002037D3"/>
    <w:rsid w:val="0020446E"/>
    <w:rsid w:val="002058C8"/>
    <w:rsid w:val="00211FF5"/>
    <w:rsid w:val="00213131"/>
    <w:rsid w:val="002136E6"/>
    <w:rsid w:val="002148C1"/>
    <w:rsid w:val="002201F5"/>
    <w:rsid w:val="00220CBE"/>
    <w:rsid w:val="00223190"/>
    <w:rsid w:val="00225210"/>
    <w:rsid w:val="00226429"/>
    <w:rsid w:val="0022693F"/>
    <w:rsid w:val="00226F91"/>
    <w:rsid w:val="00231E37"/>
    <w:rsid w:val="00233872"/>
    <w:rsid w:val="00233D32"/>
    <w:rsid w:val="00234794"/>
    <w:rsid w:val="00237B9A"/>
    <w:rsid w:val="002449EC"/>
    <w:rsid w:val="00247B8D"/>
    <w:rsid w:val="00253076"/>
    <w:rsid w:val="00253653"/>
    <w:rsid w:val="00256523"/>
    <w:rsid w:val="002571BF"/>
    <w:rsid w:val="002626B6"/>
    <w:rsid w:val="00262D6D"/>
    <w:rsid w:val="00264FB3"/>
    <w:rsid w:val="0026543B"/>
    <w:rsid w:val="002659C1"/>
    <w:rsid w:val="00270C5C"/>
    <w:rsid w:val="0027182A"/>
    <w:rsid w:val="0027242A"/>
    <w:rsid w:val="00280A26"/>
    <w:rsid w:val="00281B79"/>
    <w:rsid w:val="00281C36"/>
    <w:rsid w:val="00284227"/>
    <w:rsid w:val="00284714"/>
    <w:rsid w:val="0028487F"/>
    <w:rsid w:val="00285109"/>
    <w:rsid w:val="0029511E"/>
    <w:rsid w:val="002951FE"/>
    <w:rsid w:val="00297992"/>
    <w:rsid w:val="00297FF2"/>
    <w:rsid w:val="002A07B1"/>
    <w:rsid w:val="002A22AA"/>
    <w:rsid w:val="002A2328"/>
    <w:rsid w:val="002A270D"/>
    <w:rsid w:val="002A30ED"/>
    <w:rsid w:val="002A3A57"/>
    <w:rsid w:val="002A6750"/>
    <w:rsid w:val="002A6E80"/>
    <w:rsid w:val="002B04A3"/>
    <w:rsid w:val="002B181E"/>
    <w:rsid w:val="002B1DC6"/>
    <w:rsid w:val="002B2D3B"/>
    <w:rsid w:val="002B3381"/>
    <w:rsid w:val="002B5F72"/>
    <w:rsid w:val="002C504E"/>
    <w:rsid w:val="002C5F50"/>
    <w:rsid w:val="002D3357"/>
    <w:rsid w:val="002D7B16"/>
    <w:rsid w:val="002E7076"/>
    <w:rsid w:val="002F0759"/>
    <w:rsid w:val="002F359D"/>
    <w:rsid w:val="002F4B03"/>
    <w:rsid w:val="00300E24"/>
    <w:rsid w:val="003015A8"/>
    <w:rsid w:val="003078B7"/>
    <w:rsid w:val="00312CAD"/>
    <w:rsid w:val="00314AD2"/>
    <w:rsid w:val="00317078"/>
    <w:rsid w:val="00322FA0"/>
    <w:rsid w:val="003234EC"/>
    <w:rsid w:val="00325ECE"/>
    <w:rsid w:val="00326C73"/>
    <w:rsid w:val="003271DF"/>
    <w:rsid w:val="0033271D"/>
    <w:rsid w:val="00336DEB"/>
    <w:rsid w:val="00337007"/>
    <w:rsid w:val="00337524"/>
    <w:rsid w:val="003379C5"/>
    <w:rsid w:val="0034170C"/>
    <w:rsid w:val="00345769"/>
    <w:rsid w:val="0035474A"/>
    <w:rsid w:val="003569AC"/>
    <w:rsid w:val="00357305"/>
    <w:rsid w:val="00362CE4"/>
    <w:rsid w:val="00364D3F"/>
    <w:rsid w:val="0037271E"/>
    <w:rsid w:val="00373454"/>
    <w:rsid w:val="0037454B"/>
    <w:rsid w:val="00375681"/>
    <w:rsid w:val="00376158"/>
    <w:rsid w:val="003802C4"/>
    <w:rsid w:val="003813B8"/>
    <w:rsid w:val="00382121"/>
    <w:rsid w:val="0039182F"/>
    <w:rsid w:val="00395C52"/>
    <w:rsid w:val="003961B0"/>
    <w:rsid w:val="003971C7"/>
    <w:rsid w:val="003A2108"/>
    <w:rsid w:val="003A39EB"/>
    <w:rsid w:val="003A4A25"/>
    <w:rsid w:val="003A5C99"/>
    <w:rsid w:val="003A675E"/>
    <w:rsid w:val="003A7B1A"/>
    <w:rsid w:val="003B64CA"/>
    <w:rsid w:val="003B664F"/>
    <w:rsid w:val="003C2B6B"/>
    <w:rsid w:val="003C3B0D"/>
    <w:rsid w:val="003C3EFB"/>
    <w:rsid w:val="003D7EA4"/>
    <w:rsid w:val="003E0CEB"/>
    <w:rsid w:val="003E23BD"/>
    <w:rsid w:val="003E52F0"/>
    <w:rsid w:val="003E5B55"/>
    <w:rsid w:val="003E7AAC"/>
    <w:rsid w:val="003F032B"/>
    <w:rsid w:val="003F0FBF"/>
    <w:rsid w:val="003F3EF9"/>
    <w:rsid w:val="003F532D"/>
    <w:rsid w:val="004005F0"/>
    <w:rsid w:val="00405142"/>
    <w:rsid w:val="004064FF"/>
    <w:rsid w:val="00406FD4"/>
    <w:rsid w:val="00410CAF"/>
    <w:rsid w:val="00417E3F"/>
    <w:rsid w:val="00420A5F"/>
    <w:rsid w:val="00427580"/>
    <w:rsid w:val="004279CD"/>
    <w:rsid w:val="004328AA"/>
    <w:rsid w:val="00433D0D"/>
    <w:rsid w:val="00433FF1"/>
    <w:rsid w:val="00435451"/>
    <w:rsid w:val="004371EF"/>
    <w:rsid w:val="00440149"/>
    <w:rsid w:val="004410CE"/>
    <w:rsid w:val="004434A8"/>
    <w:rsid w:val="00443DE2"/>
    <w:rsid w:val="00446E5A"/>
    <w:rsid w:val="00447840"/>
    <w:rsid w:val="0045084C"/>
    <w:rsid w:val="00451216"/>
    <w:rsid w:val="00456E44"/>
    <w:rsid w:val="004608F4"/>
    <w:rsid w:val="0046198E"/>
    <w:rsid w:val="004728F1"/>
    <w:rsid w:val="00475188"/>
    <w:rsid w:val="0047572F"/>
    <w:rsid w:val="00480701"/>
    <w:rsid w:val="00480A5C"/>
    <w:rsid w:val="00483DCD"/>
    <w:rsid w:val="00483F56"/>
    <w:rsid w:val="004843C3"/>
    <w:rsid w:val="00485A4B"/>
    <w:rsid w:val="004868FB"/>
    <w:rsid w:val="0049087D"/>
    <w:rsid w:val="004914D4"/>
    <w:rsid w:val="0049765B"/>
    <w:rsid w:val="00497910"/>
    <w:rsid w:val="004A0B12"/>
    <w:rsid w:val="004A3FA8"/>
    <w:rsid w:val="004A5E89"/>
    <w:rsid w:val="004A60EC"/>
    <w:rsid w:val="004B0DB6"/>
    <w:rsid w:val="004B2E74"/>
    <w:rsid w:val="004B68EA"/>
    <w:rsid w:val="004C0D11"/>
    <w:rsid w:val="004C1E9C"/>
    <w:rsid w:val="004C3068"/>
    <w:rsid w:val="004C41E7"/>
    <w:rsid w:val="004D6E7C"/>
    <w:rsid w:val="004D79E9"/>
    <w:rsid w:val="004E2DDB"/>
    <w:rsid w:val="004E5C29"/>
    <w:rsid w:val="004E66CE"/>
    <w:rsid w:val="004E7762"/>
    <w:rsid w:val="004F03E3"/>
    <w:rsid w:val="004F0931"/>
    <w:rsid w:val="004F309A"/>
    <w:rsid w:val="004F5EB7"/>
    <w:rsid w:val="004F684D"/>
    <w:rsid w:val="004F785E"/>
    <w:rsid w:val="004F798A"/>
    <w:rsid w:val="00502A23"/>
    <w:rsid w:val="00504727"/>
    <w:rsid w:val="00504743"/>
    <w:rsid w:val="00504C55"/>
    <w:rsid w:val="00506A57"/>
    <w:rsid w:val="005077C6"/>
    <w:rsid w:val="00507E3E"/>
    <w:rsid w:val="00510A67"/>
    <w:rsid w:val="005137CB"/>
    <w:rsid w:val="0051517F"/>
    <w:rsid w:val="00517134"/>
    <w:rsid w:val="005174DC"/>
    <w:rsid w:val="005262ED"/>
    <w:rsid w:val="005263E7"/>
    <w:rsid w:val="00527692"/>
    <w:rsid w:val="00530A8C"/>
    <w:rsid w:val="0053270A"/>
    <w:rsid w:val="00532E40"/>
    <w:rsid w:val="00533955"/>
    <w:rsid w:val="00533BDB"/>
    <w:rsid w:val="005429F4"/>
    <w:rsid w:val="005469FC"/>
    <w:rsid w:val="00550960"/>
    <w:rsid w:val="005519E2"/>
    <w:rsid w:val="005549A1"/>
    <w:rsid w:val="00562CE0"/>
    <w:rsid w:val="005637D3"/>
    <w:rsid w:val="00563BAD"/>
    <w:rsid w:val="00565F10"/>
    <w:rsid w:val="00567B90"/>
    <w:rsid w:val="00567BA4"/>
    <w:rsid w:val="00570A3A"/>
    <w:rsid w:val="00571CA6"/>
    <w:rsid w:val="005735EC"/>
    <w:rsid w:val="00573F11"/>
    <w:rsid w:val="005757FF"/>
    <w:rsid w:val="005767CC"/>
    <w:rsid w:val="00576ACB"/>
    <w:rsid w:val="00581DEE"/>
    <w:rsid w:val="00583712"/>
    <w:rsid w:val="00583742"/>
    <w:rsid w:val="00584F66"/>
    <w:rsid w:val="005909A9"/>
    <w:rsid w:val="005945B9"/>
    <w:rsid w:val="005A0E85"/>
    <w:rsid w:val="005A433F"/>
    <w:rsid w:val="005A5BA3"/>
    <w:rsid w:val="005A6DE6"/>
    <w:rsid w:val="005B118C"/>
    <w:rsid w:val="005C10C4"/>
    <w:rsid w:val="005C31B6"/>
    <w:rsid w:val="005D246C"/>
    <w:rsid w:val="005D44B1"/>
    <w:rsid w:val="005E052F"/>
    <w:rsid w:val="005E0F50"/>
    <w:rsid w:val="005E3161"/>
    <w:rsid w:val="005E3A63"/>
    <w:rsid w:val="005E74CF"/>
    <w:rsid w:val="006001F2"/>
    <w:rsid w:val="0060095A"/>
    <w:rsid w:val="00601A68"/>
    <w:rsid w:val="0060272A"/>
    <w:rsid w:val="00603740"/>
    <w:rsid w:val="00604B31"/>
    <w:rsid w:val="00607C29"/>
    <w:rsid w:val="00612764"/>
    <w:rsid w:val="00614245"/>
    <w:rsid w:val="00615E41"/>
    <w:rsid w:val="006176A8"/>
    <w:rsid w:val="006179D6"/>
    <w:rsid w:val="00620594"/>
    <w:rsid w:val="00621473"/>
    <w:rsid w:val="00624D57"/>
    <w:rsid w:val="00627A21"/>
    <w:rsid w:val="00627DE4"/>
    <w:rsid w:val="006303C0"/>
    <w:rsid w:val="0063133E"/>
    <w:rsid w:val="00633796"/>
    <w:rsid w:val="00641215"/>
    <w:rsid w:val="006426E2"/>
    <w:rsid w:val="00645CCB"/>
    <w:rsid w:val="0065070A"/>
    <w:rsid w:val="00650D43"/>
    <w:rsid w:val="00652EC3"/>
    <w:rsid w:val="00654F13"/>
    <w:rsid w:val="00657C5F"/>
    <w:rsid w:val="00660434"/>
    <w:rsid w:val="006629B4"/>
    <w:rsid w:val="0066372D"/>
    <w:rsid w:val="0066510C"/>
    <w:rsid w:val="00665D82"/>
    <w:rsid w:val="00670CA0"/>
    <w:rsid w:val="00672D29"/>
    <w:rsid w:val="00673175"/>
    <w:rsid w:val="00675907"/>
    <w:rsid w:val="00675A40"/>
    <w:rsid w:val="006773E5"/>
    <w:rsid w:val="00686920"/>
    <w:rsid w:val="006869D0"/>
    <w:rsid w:val="00686AB3"/>
    <w:rsid w:val="00687FD0"/>
    <w:rsid w:val="00691EB1"/>
    <w:rsid w:val="00695C76"/>
    <w:rsid w:val="006979B0"/>
    <w:rsid w:val="006A0874"/>
    <w:rsid w:val="006A1174"/>
    <w:rsid w:val="006A28EB"/>
    <w:rsid w:val="006A5D63"/>
    <w:rsid w:val="006A69FA"/>
    <w:rsid w:val="006A771E"/>
    <w:rsid w:val="006A7FE9"/>
    <w:rsid w:val="006B3EDA"/>
    <w:rsid w:val="006B4F65"/>
    <w:rsid w:val="006C0106"/>
    <w:rsid w:val="006C05EE"/>
    <w:rsid w:val="006C2502"/>
    <w:rsid w:val="006C5055"/>
    <w:rsid w:val="006C5380"/>
    <w:rsid w:val="006D26F8"/>
    <w:rsid w:val="006D597A"/>
    <w:rsid w:val="006D75DA"/>
    <w:rsid w:val="006D76D4"/>
    <w:rsid w:val="006E1F93"/>
    <w:rsid w:val="006F2FCB"/>
    <w:rsid w:val="006F4993"/>
    <w:rsid w:val="006F5B4B"/>
    <w:rsid w:val="006F705B"/>
    <w:rsid w:val="006F7951"/>
    <w:rsid w:val="00700B4C"/>
    <w:rsid w:val="007011EF"/>
    <w:rsid w:val="00701412"/>
    <w:rsid w:val="00701FFD"/>
    <w:rsid w:val="00703803"/>
    <w:rsid w:val="0070463C"/>
    <w:rsid w:val="00704BC9"/>
    <w:rsid w:val="007058E4"/>
    <w:rsid w:val="00710222"/>
    <w:rsid w:val="007102E4"/>
    <w:rsid w:val="00710621"/>
    <w:rsid w:val="00711BDF"/>
    <w:rsid w:val="00713AE9"/>
    <w:rsid w:val="00726187"/>
    <w:rsid w:val="00732205"/>
    <w:rsid w:val="00732D71"/>
    <w:rsid w:val="00733373"/>
    <w:rsid w:val="00737195"/>
    <w:rsid w:val="007442D4"/>
    <w:rsid w:val="00747B09"/>
    <w:rsid w:val="00750353"/>
    <w:rsid w:val="00752BE6"/>
    <w:rsid w:val="0075609D"/>
    <w:rsid w:val="00760B34"/>
    <w:rsid w:val="007610FD"/>
    <w:rsid w:val="007611DF"/>
    <w:rsid w:val="007611FC"/>
    <w:rsid w:val="00761596"/>
    <w:rsid w:val="007631AA"/>
    <w:rsid w:val="007632B4"/>
    <w:rsid w:val="00765322"/>
    <w:rsid w:val="007676A0"/>
    <w:rsid w:val="0076774B"/>
    <w:rsid w:val="007704A9"/>
    <w:rsid w:val="00771225"/>
    <w:rsid w:val="00774FF8"/>
    <w:rsid w:val="00781D10"/>
    <w:rsid w:val="00784606"/>
    <w:rsid w:val="007867FE"/>
    <w:rsid w:val="007906CD"/>
    <w:rsid w:val="00791F50"/>
    <w:rsid w:val="007925E9"/>
    <w:rsid w:val="007959E1"/>
    <w:rsid w:val="007A0B76"/>
    <w:rsid w:val="007A43BE"/>
    <w:rsid w:val="007A4A0B"/>
    <w:rsid w:val="007B398D"/>
    <w:rsid w:val="007C33B4"/>
    <w:rsid w:val="007C421A"/>
    <w:rsid w:val="007C5006"/>
    <w:rsid w:val="007D3342"/>
    <w:rsid w:val="007E2139"/>
    <w:rsid w:val="007E6083"/>
    <w:rsid w:val="007F054A"/>
    <w:rsid w:val="007F1A68"/>
    <w:rsid w:val="007F21B5"/>
    <w:rsid w:val="007F7C31"/>
    <w:rsid w:val="0080128C"/>
    <w:rsid w:val="00801671"/>
    <w:rsid w:val="00803A9B"/>
    <w:rsid w:val="00805652"/>
    <w:rsid w:val="00810B7F"/>
    <w:rsid w:val="00815F09"/>
    <w:rsid w:val="0081645D"/>
    <w:rsid w:val="00821031"/>
    <w:rsid w:val="0082176A"/>
    <w:rsid w:val="00823B1C"/>
    <w:rsid w:val="00826DFA"/>
    <w:rsid w:val="0082736B"/>
    <w:rsid w:val="0082759A"/>
    <w:rsid w:val="00832F4B"/>
    <w:rsid w:val="0083663E"/>
    <w:rsid w:val="008369B6"/>
    <w:rsid w:val="00837816"/>
    <w:rsid w:val="00841876"/>
    <w:rsid w:val="00842478"/>
    <w:rsid w:val="00842B60"/>
    <w:rsid w:val="008452B0"/>
    <w:rsid w:val="00845581"/>
    <w:rsid w:val="008463A5"/>
    <w:rsid w:val="00855ED9"/>
    <w:rsid w:val="00857475"/>
    <w:rsid w:val="0085790D"/>
    <w:rsid w:val="00872E87"/>
    <w:rsid w:val="00872EBB"/>
    <w:rsid w:val="00876894"/>
    <w:rsid w:val="0088008C"/>
    <w:rsid w:val="00884EB0"/>
    <w:rsid w:val="0088701B"/>
    <w:rsid w:val="00890B88"/>
    <w:rsid w:val="008920ED"/>
    <w:rsid w:val="00892676"/>
    <w:rsid w:val="00894536"/>
    <w:rsid w:val="0089706C"/>
    <w:rsid w:val="008A00D6"/>
    <w:rsid w:val="008A1147"/>
    <w:rsid w:val="008A145B"/>
    <w:rsid w:val="008A6045"/>
    <w:rsid w:val="008A63AA"/>
    <w:rsid w:val="008A6AD0"/>
    <w:rsid w:val="008B0B79"/>
    <w:rsid w:val="008B104D"/>
    <w:rsid w:val="008B4FDA"/>
    <w:rsid w:val="008B6D87"/>
    <w:rsid w:val="008C49E1"/>
    <w:rsid w:val="008C4BB5"/>
    <w:rsid w:val="008D1528"/>
    <w:rsid w:val="008D4B2A"/>
    <w:rsid w:val="008D727D"/>
    <w:rsid w:val="008E137D"/>
    <w:rsid w:val="008E1862"/>
    <w:rsid w:val="008E3955"/>
    <w:rsid w:val="008E7AF6"/>
    <w:rsid w:val="008F00DF"/>
    <w:rsid w:val="008F1F4A"/>
    <w:rsid w:val="008F42B3"/>
    <w:rsid w:val="008F5B1C"/>
    <w:rsid w:val="008F6353"/>
    <w:rsid w:val="009004A9"/>
    <w:rsid w:val="00907750"/>
    <w:rsid w:val="00910908"/>
    <w:rsid w:val="00911B94"/>
    <w:rsid w:val="00914186"/>
    <w:rsid w:val="00914480"/>
    <w:rsid w:val="00916CC4"/>
    <w:rsid w:val="00917A4D"/>
    <w:rsid w:val="00921124"/>
    <w:rsid w:val="00922692"/>
    <w:rsid w:val="00922CB2"/>
    <w:rsid w:val="00924A08"/>
    <w:rsid w:val="00926F3E"/>
    <w:rsid w:val="009270D6"/>
    <w:rsid w:val="00927A6A"/>
    <w:rsid w:val="009302DC"/>
    <w:rsid w:val="00933275"/>
    <w:rsid w:val="009366F5"/>
    <w:rsid w:val="0093688A"/>
    <w:rsid w:val="00937E0F"/>
    <w:rsid w:val="00942835"/>
    <w:rsid w:val="009461E3"/>
    <w:rsid w:val="00956870"/>
    <w:rsid w:val="00957AF0"/>
    <w:rsid w:val="00966C8B"/>
    <w:rsid w:val="00971DE4"/>
    <w:rsid w:val="00976153"/>
    <w:rsid w:val="00977994"/>
    <w:rsid w:val="009801FB"/>
    <w:rsid w:val="00981CBA"/>
    <w:rsid w:val="00982909"/>
    <w:rsid w:val="009838C4"/>
    <w:rsid w:val="00983D81"/>
    <w:rsid w:val="00991BBE"/>
    <w:rsid w:val="0099710C"/>
    <w:rsid w:val="009A49BB"/>
    <w:rsid w:val="009A5700"/>
    <w:rsid w:val="009A580C"/>
    <w:rsid w:val="009B4044"/>
    <w:rsid w:val="009B5FB8"/>
    <w:rsid w:val="009B7971"/>
    <w:rsid w:val="009C176E"/>
    <w:rsid w:val="009C1FAF"/>
    <w:rsid w:val="009C2875"/>
    <w:rsid w:val="009C4A9A"/>
    <w:rsid w:val="009C4DDF"/>
    <w:rsid w:val="009D1AB4"/>
    <w:rsid w:val="009D3306"/>
    <w:rsid w:val="009D5B89"/>
    <w:rsid w:val="009D72E7"/>
    <w:rsid w:val="009E318F"/>
    <w:rsid w:val="009E39F1"/>
    <w:rsid w:val="009E7303"/>
    <w:rsid w:val="009E79B8"/>
    <w:rsid w:val="009E7E94"/>
    <w:rsid w:val="009F21DC"/>
    <w:rsid w:val="009F44D8"/>
    <w:rsid w:val="00A0045C"/>
    <w:rsid w:val="00A0134D"/>
    <w:rsid w:val="00A03732"/>
    <w:rsid w:val="00A10966"/>
    <w:rsid w:val="00A10F6B"/>
    <w:rsid w:val="00A17932"/>
    <w:rsid w:val="00A224E5"/>
    <w:rsid w:val="00A237D9"/>
    <w:rsid w:val="00A33D68"/>
    <w:rsid w:val="00A36991"/>
    <w:rsid w:val="00A36FB3"/>
    <w:rsid w:val="00A40E61"/>
    <w:rsid w:val="00A41892"/>
    <w:rsid w:val="00A42D9A"/>
    <w:rsid w:val="00A43DA5"/>
    <w:rsid w:val="00A44EA5"/>
    <w:rsid w:val="00A518FE"/>
    <w:rsid w:val="00A53C56"/>
    <w:rsid w:val="00A55793"/>
    <w:rsid w:val="00A57CE3"/>
    <w:rsid w:val="00A635E0"/>
    <w:rsid w:val="00A64909"/>
    <w:rsid w:val="00A74425"/>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A7AE0"/>
    <w:rsid w:val="00AB0555"/>
    <w:rsid w:val="00AB1E5B"/>
    <w:rsid w:val="00AB23D2"/>
    <w:rsid w:val="00AB2F1F"/>
    <w:rsid w:val="00AB525D"/>
    <w:rsid w:val="00AB7BE8"/>
    <w:rsid w:val="00AC1D0F"/>
    <w:rsid w:val="00AC4B65"/>
    <w:rsid w:val="00AC56C2"/>
    <w:rsid w:val="00AC6F2D"/>
    <w:rsid w:val="00AD0E63"/>
    <w:rsid w:val="00AD27DE"/>
    <w:rsid w:val="00AD3238"/>
    <w:rsid w:val="00AD3784"/>
    <w:rsid w:val="00AD51AF"/>
    <w:rsid w:val="00AD5C77"/>
    <w:rsid w:val="00AE0873"/>
    <w:rsid w:val="00AE3852"/>
    <w:rsid w:val="00AE4C58"/>
    <w:rsid w:val="00AE5688"/>
    <w:rsid w:val="00AF092F"/>
    <w:rsid w:val="00AF0D22"/>
    <w:rsid w:val="00AF1CDB"/>
    <w:rsid w:val="00AF527B"/>
    <w:rsid w:val="00AF55C5"/>
    <w:rsid w:val="00AF6B68"/>
    <w:rsid w:val="00B0149A"/>
    <w:rsid w:val="00B05F97"/>
    <w:rsid w:val="00B113A1"/>
    <w:rsid w:val="00B119FD"/>
    <w:rsid w:val="00B13739"/>
    <w:rsid w:val="00B13C1B"/>
    <w:rsid w:val="00B15332"/>
    <w:rsid w:val="00B2095A"/>
    <w:rsid w:val="00B21552"/>
    <w:rsid w:val="00B22E1A"/>
    <w:rsid w:val="00B27AE5"/>
    <w:rsid w:val="00B35B24"/>
    <w:rsid w:val="00B35BE5"/>
    <w:rsid w:val="00B35ECA"/>
    <w:rsid w:val="00B3710D"/>
    <w:rsid w:val="00B405C6"/>
    <w:rsid w:val="00B41085"/>
    <w:rsid w:val="00B445AC"/>
    <w:rsid w:val="00B5105A"/>
    <w:rsid w:val="00B5471B"/>
    <w:rsid w:val="00B5507E"/>
    <w:rsid w:val="00B56A29"/>
    <w:rsid w:val="00B576EC"/>
    <w:rsid w:val="00B62ADC"/>
    <w:rsid w:val="00B6705E"/>
    <w:rsid w:val="00B676A1"/>
    <w:rsid w:val="00B71FFB"/>
    <w:rsid w:val="00B7220E"/>
    <w:rsid w:val="00B72615"/>
    <w:rsid w:val="00B764AB"/>
    <w:rsid w:val="00B76735"/>
    <w:rsid w:val="00B8193F"/>
    <w:rsid w:val="00B81968"/>
    <w:rsid w:val="00B82B2A"/>
    <w:rsid w:val="00B834C6"/>
    <w:rsid w:val="00B85648"/>
    <w:rsid w:val="00B86EB3"/>
    <w:rsid w:val="00B9350F"/>
    <w:rsid w:val="00B96621"/>
    <w:rsid w:val="00B973FF"/>
    <w:rsid w:val="00BA030A"/>
    <w:rsid w:val="00BA0755"/>
    <w:rsid w:val="00BA337C"/>
    <w:rsid w:val="00BA42EC"/>
    <w:rsid w:val="00BA448F"/>
    <w:rsid w:val="00BB0D23"/>
    <w:rsid w:val="00BB1A69"/>
    <w:rsid w:val="00BB21CB"/>
    <w:rsid w:val="00BB4584"/>
    <w:rsid w:val="00BB6EC9"/>
    <w:rsid w:val="00BC05F4"/>
    <w:rsid w:val="00BC0A1B"/>
    <w:rsid w:val="00BC135A"/>
    <w:rsid w:val="00BD6353"/>
    <w:rsid w:val="00BD7080"/>
    <w:rsid w:val="00BD7E3C"/>
    <w:rsid w:val="00BE46D4"/>
    <w:rsid w:val="00BE56CF"/>
    <w:rsid w:val="00BE639C"/>
    <w:rsid w:val="00BF162D"/>
    <w:rsid w:val="00BF69CE"/>
    <w:rsid w:val="00BF7D37"/>
    <w:rsid w:val="00C00694"/>
    <w:rsid w:val="00C007FE"/>
    <w:rsid w:val="00C0269E"/>
    <w:rsid w:val="00C0431C"/>
    <w:rsid w:val="00C072AF"/>
    <w:rsid w:val="00C07677"/>
    <w:rsid w:val="00C12141"/>
    <w:rsid w:val="00C15652"/>
    <w:rsid w:val="00C16736"/>
    <w:rsid w:val="00C16C81"/>
    <w:rsid w:val="00C203D9"/>
    <w:rsid w:val="00C23C87"/>
    <w:rsid w:val="00C23F2D"/>
    <w:rsid w:val="00C31BA0"/>
    <w:rsid w:val="00C32CE0"/>
    <w:rsid w:val="00C35268"/>
    <w:rsid w:val="00C3661F"/>
    <w:rsid w:val="00C37106"/>
    <w:rsid w:val="00C371C1"/>
    <w:rsid w:val="00C41C07"/>
    <w:rsid w:val="00C47CAF"/>
    <w:rsid w:val="00C5028D"/>
    <w:rsid w:val="00C57AB9"/>
    <w:rsid w:val="00C62AD3"/>
    <w:rsid w:val="00C647EB"/>
    <w:rsid w:val="00C719D6"/>
    <w:rsid w:val="00C7448D"/>
    <w:rsid w:val="00C75FF7"/>
    <w:rsid w:val="00C76FDD"/>
    <w:rsid w:val="00C83C14"/>
    <w:rsid w:val="00C8736F"/>
    <w:rsid w:val="00C87627"/>
    <w:rsid w:val="00C912C8"/>
    <w:rsid w:val="00C93928"/>
    <w:rsid w:val="00C93B44"/>
    <w:rsid w:val="00C9587F"/>
    <w:rsid w:val="00CA4AC3"/>
    <w:rsid w:val="00CA575A"/>
    <w:rsid w:val="00CA62A1"/>
    <w:rsid w:val="00CA6807"/>
    <w:rsid w:val="00CB2AE8"/>
    <w:rsid w:val="00CB3DC7"/>
    <w:rsid w:val="00CB50E8"/>
    <w:rsid w:val="00CB652D"/>
    <w:rsid w:val="00CB6B3C"/>
    <w:rsid w:val="00CB7BED"/>
    <w:rsid w:val="00CC1985"/>
    <w:rsid w:val="00CC2D16"/>
    <w:rsid w:val="00CC4660"/>
    <w:rsid w:val="00CC4844"/>
    <w:rsid w:val="00CC5551"/>
    <w:rsid w:val="00CC58C2"/>
    <w:rsid w:val="00CD2302"/>
    <w:rsid w:val="00CD28BA"/>
    <w:rsid w:val="00CD2B5D"/>
    <w:rsid w:val="00CD4F10"/>
    <w:rsid w:val="00CD5772"/>
    <w:rsid w:val="00CD64C1"/>
    <w:rsid w:val="00CE1A8C"/>
    <w:rsid w:val="00CE2618"/>
    <w:rsid w:val="00CE597D"/>
    <w:rsid w:val="00CF1FCA"/>
    <w:rsid w:val="00CF28B1"/>
    <w:rsid w:val="00CF30BC"/>
    <w:rsid w:val="00CF4989"/>
    <w:rsid w:val="00CF62C5"/>
    <w:rsid w:val="00CF7B09"/>
    <w:rsid w:val="00D00600"/>
    <w:rsid w:val="00D04159"/>
    <w:rsid w:val="00D04C77"/>
    <w:rsid w:val="00D05049"/>
    <w:rsid w:val="00D1035B"/>
    <w:rsid w:val="00D15859"/>
    <w:rsid w:val="00D161F0"/>
    <w:rsid w:val="00D20661"/>
    <w:rsid w:val="00D21A4A"/>
    <w:rsid w:val="00D2325C"/>
    <w:rsid w:val="00D24525"/>
    <w:rsid w:val="00D255D8"/>
    <w:rsid w:val="00D270A9"/>
    <w:rsid w:val="00D31A99"/>
    <w:rsid w:val="00D32F52"/>
    <w:rsid w:val="00D372A6"/>
    <w:rsid w:val="00D37FCD"/>
    <w:rsid w:val="00D405B7"/>
    <w:rsid w:val="00D42A89"/>
    <w:rsid w:val="00D440B4"/>
    <w:rsid w:val="00D504A4"/>
    <w:rsid w:val="00D52A56"/>
    <w:rsid w:val="00D548D6"/>
    <w:rsid w:val="00D55568"/>
    <w:rsid w:val="00D62619"/>
    <w:rsid w:val="00D64815"/>
    <w:rsid w:val="00D71537"/>
    <w:rsid w:val="00D72703"/>
    <w:rsid w:val="00D72CCA"/>
    <w:rsid w:val="00D73933"/>
    <w:rsid w:val="00D73A7F"/>
    <w:rsid w:val="00D86FA9"/>
    <w:rsid w:val="00D91F00"/>
    <w:rsid w:val="00DA1749"/>
    <w:rsid w:val="00DA5998"/>
    <w:rsid w:val="00DA5FF6"/>
    <w:rsid w:val="00DB0591"/>
    <w:rsid w:val="00DB5606"/>
    <w:rsid w:val="00DB6E13"/>
    <w:rsid w:val="00DC2C4B"/>
    <w:rsid w:val="00DC2CF7"/>
    <w:rsid w:val="00DC4EF3"/>
    <w:rsid w:val="00DC545E"/>
    <w:rsid w:val="00DC57DB"/>
    <w:rsid w:val="00DC604C"/>
    <w:rsid w:val="00DC70C7"/>
    <w:rsid w:val="00DD27B0"/>
    <w:rsid w:val="00DD2898"/>
    <w:rsid w:val="00DD4819"/>
    <w:rsid w:val="00DD6A86"/>
    <w:rsid w:val="00DE18FA"/>
    <w:rsid w:val="00DE22F4"/>
    <w:rsid w:val="00DE477A"/>
    <w:rsid w:val="00DE527C"/>
    <w:rsid w:val="00DF06D4"/>
    <w:rsid w:val="00DF2FD0"/>
    <w:rsid w:val="00DF502A"/>
    <w:rsid w:val="00DF543C"/>
    <w:rsid w:val="00DF632B"/>
    <w:rsid w:val="00E06B5F"/>
    <w:rsid w:val="00E07D77"/>
    <w:rsid w:val="00E236F0"/>
    <w:rsid w:val="00E2370B"/>
    <w:rsid w:val="00E24474"/>
    <w:rsid w:val="00E252D5"/>
    <w:rsid w:val="00E26426"/>
    <w:rsid w:val="00E30CE5"/>
    <w:rsid w:val="00E410F0"/>
    <w:rsid w:val="00E4461B"/>
    <w:rsid w:val="00E45B77"/>
    <w:rsid w:val="00E471BF"/>
    <w:rsid w:val="00E51949"/>
    <w:rsid w:val="00E529AE"/>
    <w:rsid w:val="00E549A0"/>
    <w:rsid w:val="00E54A1D"/>
    <w:rsid w:val="00E556F8"/>
    <w:rsid w:val="00E55A17"/>
    <w:rsid w:val="00E6091F"/>
    <w:rsid w:val="00E61264"/>
    <w:rsid w:val="00E61D68"/>
    <w:rsid w:val="00E65693"/>
    <w:rsid w:val="00E6737F"/>
    <w:rsid w:val="00E73394"/>
    <w:rsid w:val="00E81259"/>
    <w:rsid w:val="00E82F47"/>
    <w:rsid w:val="00E836A0"/>
    <w:rsid w:val="00E84EF0"/>
    <w:rsid w:val="00E86DCA"/>
    <w:rsid w:val="00E876C0"/>
    <w:rsid w:val="00E904D5"/>
    <w:rsid w:val="00E970DE"/>
    <w:rsid w:val="00EA16F2"/>
    <w:rsid w:val="00EA5F80"/>
    <w:rsid w:val="00EA7281"/>
    <w:rsid w:val="00EC2A81"/>
    <w:rsid w:val="00EC37CF"/>
    <w:rsid w:val="00EC4B1A"/>
    <w:rsid w:val="00EC6FF1"/>
    <w:rsid w:val="00ED0251"/>
    <w:rsid w:val="00ED1900"/>
    <w:rsid w:val="00ED2115"/>
    <w:rsid w:val="00ED58BC"/>
    <w:rsid w:val="00EE4CE3"/>
    <w:rsid w:val="00EE4EE4"/>
    <w:rsid w:val="00EE6CC0"/>
    <w:rsid w:val="00EE7D30"/>
    <w:rsid w:val="00EF3E3F"/>
    <w:rsid w:val="00EF7880"/>
    <w:rsid w:val="00F023C5"/>
    <w:rsid w:val="00F02C4E"/>
    <w:rsid w:val="00F02E55"/>
    <w:rsid w:val="00F11C83"/>
    <w:rsid w:val="00F17B18"/>
    <w:rsid w:val="00F20784"/>
    <w:rsid w:val="00F2555E"/>
    <w:rsid w:val="00F27216"/>
    <w:rsid w:val="00F27730"/>
    <w:rsid w:val="00F27DDF"/>
    <w:rsid w:val="00F315B3"/>
    <w:rsid w:val="00F32AC1"/>
    <w:rsid w:val="00F3387B"/>
    <w:rsid w:val="00F33ACD"/>
    <w:rsid w:val="00F344E8"/>
    <w:rsid w:val="00F36ABA"/>
    <w:rsid w:val="00F45AE2"/>
    <w:rsid w:val="00F45E8A"/>
    <w:rsid w:val="00F5173C"/>
    <w:rsid w:val="00F52692"/>
    <w:rsid w:val="00F55871"/>
    <w:rsid w:val="00F56667"/>
    <w:rsid w:val="00F61547"/>
    <w:rsid w:val="00F62ABB"/>
    <w:rsid w:val="00F64795"/>
    <w:rsid w:val="00F64F3F"/>
    <w:rsid w:val="00F67AB9"/>
    <w:rsid w:val="00F71DC5"/>
    <w:rsid w:val="00F72E5C"/>
    <w:rsid w:val="00F75B77"/>
    <w:rsid w:val="00F805C2"/>
    <w:rsid w:val="00F83105"/>
    <w:rsid w:val="00F85C17"/>
    <w:rsid w:val="00F87685"/>
    <w:rsid w:val="00F87E42"/>
    <w:rsid w:val="00F93CD3"/>
    <w:rsid w:val="00F96D71"/>
    <w:rsid w:val="00FA14F3"/>
    <w:rsid w:val="00FA1D0B"/>
    <w:rsid w:val="00FA2450"/>
    <w:rsid w:val="00FA4494"/>
    <w:rsid w:val="00FA472A"/>
    <w:rsid w:val="00FB393C"/>
    <w:rsid w:val="00FB4D82"/>
    <w:rsid w:val="00FB61D1"/>
    <w:rsid w:val="00FB79F5"/>
    <w:rsid w:val="00FC4B0E"/>
    <w:rsid w:val="00FC5025"/>
    <w:rsid w:val="00FC5975"/>
    <w:rsid w:val="00FD4B79"/>
    <w:rsid w:val="00FD70ED"/>
    <w:rsid w:val="00FE0D7F"/>
    <w:rsid w:val="00FE3CC2"/>
    <w:rsid w:val="00FE6A46"/>
    <w:rsid w:val="00FF2E0E"/>
    <w:rsid w:val="00FF664E"/>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7CA15"/>
  <w15:chartTrackingRefBased/>
  <w15:docId w15:val="{D52FE2D2-41FA-45A8-A9F2-BC9EE6FD5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29"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E81259"/>
    <w:pPr>
      <w:widowControl w:val="0"/>
      <w:autoSpaceDE w:val="0"/>
      <w:autoSpaceDN w:val="0"/>
      <w:jc w:val="left"/>
    </w:pPr>
    <w:rPr>
      <w:rFonts w:ascii="Palatino Linotype" w:eastAsia="Palatino Linotype" w:hAnsi="Palatino Linotype" w:cs="Palatino Linotype"/>
      <w:sz w:val="20"/>
      <w:szCs w:val="20"/>
    </w:rPr>
  </w:style>
  <w:style w:type="character" w:customStyle="1" w:styleId="FootnoteTextChar">
    <w:name w:val="Footnote Text Char"/>
    <w:link w:val="FootnoteText"/>
    <w:uiPriority w:val="99"/>
    <w:semiHidden/>
    <w:rsid w:val="00E81259"/>
    <w:rPr>
      <w:rFonts w:ascii="Palatino Linotype" w:eastAsia="Palatino Linotype" w:hAnsi="Palatino Linotype" w:cs="Palatino Linotype"/>
      <w:lang w:val="es-ES"/>
    </w:rPr>
  </w:style>
  <w:style w:type="character" w:styleId="FootnoteReference">
    <w:name w:val="footnote reference"/>
    <w:uiPriority w:val="99"/>
    <w:semiHidden/>
    <w:unhideWhenUsed/>
    <w:rsid w:val="00E81259"/>
    <w:rPr>
      <w:vertAlign w:val="superscript"/>
    </w:rPr>
  </w:style>
  <w:style w:type="paragraph" w:styleId="Quote">
    <w:name w:val="Quote"/>
    <w:basedOn w:val="Normal"/>
    <w:next w:val="Normal"/>
    <w:link w:val="QuoteChar"/>
    <w:uiPriority w:val="29"/>
    <w:qFormat/>
    <w:rsid w:val="00E81259"/>
    <w:pPr>
      <w:widowControl w:val="0"/>
      <w:autoSpaceDE w:val="0"/>
      <w:autoSpaceDN w:val="0"/>
      <w:spacing w:before="200" w:after="160"/>
      <w:ind w:left="864" w:right="864"/>
      <w:jc w:val="center"/>
    </w:pPr>
    <w:rPr>
      <w:rFonts w:ascii="Palatino Linotype" w:eastAsia="Palatino Linotype" w:hAnsi="Palatino Linotype" w:cs="Palatino Linotype"/>
      <w:i/>
      <w:iCs/>
      <w:color w:val="404040"/>
    </w:rPr>
  </w:style>
  <w:style w:type="character" w:customStyle="1" w:styleId="QuoteChar">
    <w:name w:val="Quote Char"/>
    <w:link w:val="Quote"/>
    <w:uiPriority w:val="29"/>
    <w:rsid w:val="00E81259"/>
    <w:rPr>
      <w:rFonts w:ascii="Palatino Linotype" w:eastAsia="Palatino Linotype" w:hAnsi="Palatino Linotype" w:cs="Palatino Linotype"/>
      <w:i/>
      <w:iCs/>
      <w:color w:val="404040"/>
      <w:sz w:val="22"/>
      <w:szCs w:val="22"/>
      <w:lang w:val="es-ES"/>
    </w:rPr>
  </w:style>
  <w:style w:type="paragraph" w:customStyle="1" w:styleId="default0">
    <w:name w:val="default"/>
    <w:basedOn w:val="Normal"/>
    <w:rsid w:val="005263E7"/>
    <w:pPr>
      <w:autoSpaceDE w:val="0"/>
      <w:autoSpaceDN w:val="0"/>
      <w:jc w:val="left"/>
    </w:pPr>
    <w:rPr>
      <w:rFonts w:ascii="DXANP N+ Serifa B T," w:eastAsia="Times New Roman" w:hAnsi="DXANP N+ Serifa B T,"/>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5D5180-A70B-4DFB-B14B-E650B5BC72A5}">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54F5702C-A203-4C78-9510-5C4CAE76502E}">
  <ds:schemaRefs>
    <ds:schemaRef ds:uri="http://schemas.microsoft.com/sharepoint/v3/contenttype/forms"/>
  </ds:schemaRefs>
</ds:datastoreItem>
</file>

<file path=customXml/itemProps3.xml><?xml version="1.0" encoding="utf-8"?>
<ds:datastoreItem xmlns:ds="http://schemas.openxmlformats.org/officeDocument/2006/customXml" ds:itemID="{252E9801-8898-4DF1-B843-89E5797BC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9A344B-EB55-4DC8-8979-73201F52E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1478</Words>
  <Characters>8428</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2025-03-31T14:06:00Z</cp:lastPrinted>
  <dcterms:created xsi:type="dcterms:W3CDTF">2026-06-22T16:17:00Z</dcterms:created>
  <dcterms:modified xsi:type="dcterms:W3CDTF">2026-06-22T16:17:00Z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