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0C1572" w:rsidRDefault="00FD5230" w:rsidP="00CB4BCC">
      <w:pPr>
        <w:spacing w:after="0" w:line="240" w:lineRule="auto"/>
        <w:jc w:val="center"/>
        <w:rPr>
          <w:rFonts w:ascii="Book Antiqua" w:eastAsia="Times New Roman" w:hAnsi="Book Antiqua" w:cs="Times New Roman"/>
          <w:spacing w:val="12"/>
          <w:kern w:val="0"/>
          <w:sz w:val="28"/>
          <w:szCs w:val="28"/>
          <w:lang w:val="es-ES"/>
          <w14:ligatures w14:val="none"/>
        </w:rPr>
      </w:pPr>
      <w:r w:rsidRPr="000C1572">
        <w:rPr>
          <w:rFonts w:ascii="Book Antiqua" w:eastAsia="Times New Roman" w:hAnsi="Book Antiqua" w:cs="Times New Roman"/>
          <w:spacing w:val="12"/>
          <w:kern w:val="0"/>
          <w:sz w:val="28"/>
          <w:szCs w:val="28"/>
          <w:lang w:val="es-ES"/>
          <w14:ligatures w14:val="none"/>
        </w:rPr>
        <w:t>GOBIERNO</w:t>
      </w:r>
      <w:r w:rsidR="00CB4BCC" w:rsidRPr="000C1572">
        <w:rPr>
          <w:rFonts w:ascii="Book Antiqua" w:eastAsia="Times New Roman" w:hAnsi="Book Antiqua" w:cs="Times New Roman"/>
          <w:spacing w:val="12"/>
          <w:kern w:val="0"/>
          <w:sz w:val="28"/>
          <w:szCs w:val="28"/>
          <w:lang w:val="es-ES"/>
          <w14:ligatures w14:val="none"/>
        </w:rPr>
        <w:t xml:space="preserve"> DE PUERTO RICO</w:t>
      </w:r>
    </w:p>
    <w:p w14:paraId="7F83C0D6" w14:textId="77777777" w:rsidR="00CB4BCC" w:rsidRPr="000C1572"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7C89D709" w14:textId="77777777" w:rsidR="00CB4BCC" w:rsidRPr="000C1572"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4F0B79DE" w14:textId="65FFD14D" w:rsidR="00CB4BCC" w:rsidRPr="000C1572"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0C1572">
        <w:rPr>
          <w:rFonts w:ascii="Book Antiqua" w:eastAsia="Times New Roman" w:hAnsi="Book Antiqua" w:cs="Times New Roman"/>
          <w:kern w:val="0"/>
          <w:szCs w:val="20"/>
          <w:lang w:val="es-ES"/>
          <w14:ligatures w14:val="none"/>
        </w:rPr>
        <w:t>20</w:t>
      </w:r>
      <w:r w:rsidRPr="000C1572">
        <w:rPr>
          <w:rFonts w:ascii="Book Antiqua" w:eastAsia="Times New Roman" w:hAnsi="Book Antiqua" w:cs="Times New Roman"/>
          <w:kern w:val="0"/>
          <w:szCs w:val="20"/>
          <w:vertAlign w:val="superscript"/>
          <w:lang w:val="es-ES"/>
          <w14:ligatures w14:val="none"/>
        </w:rPr>
        <w:t>m</w:t>
      </w:r>
      <w:r w:rsidR="00CB4BCC" w:rsidRPr="000C1572">
        <w:rPr>
          <w:rFonts w:ascii="Book Antiqua" w:eastAsia="Times New Roman" w:hAnsi="Book Antiqua" w:cs="Times New Roman"/>
          <w:kern w:val="0"/>
          <w:szCs w:val="20"/>
          <w:vertAlign w:val="superscript"/>
          <w:lang w:val="es-ES"/>
          <w14:ligatures w14:val="none"/>
        </w:rPr>
        <w:t>a.</w:t>
      </w:r>
      <w:r w:rsidR="00D0586E">
        <w:rPr>
          <w:rFonts w:ascii="Book Antiqua" w:eastAsia="Times New Roman" w:hAnsi="Book Antiqua" w:cs="Times New Roman"/>
          <w:kern w:val="0"/>
          <w:szCs w:val="20"/>
          <w:lang w:val="es-ES"/>
          <w14:ligatures w14:val="none"/>
        </w:rPr>
        <w:tab/>
      </w:r>
      <w:r w:rsidR="00CB4BCC" w:rsidRPr="000C1572">
        <w:rPr>
          <w:rFonts w:ascii="Book Antiqua" w:eastAsia="Times New Roman" w:hAnsi="Book Antiqua" w:cs="Times New Roman"/>
          <w:kern w:val="0"/>
          <w:szCs w:val="20"/>
          <w:lang w:val="es-ES"/>
          <w14:ligatures w14:val="none"/>
        </w:rPr>
        <w:t>Asamblea</w:t>
      </w:r>
      <w:r w:rsidR="00CB4BCC" w:rsidRPr="000C1572">
        <w:rPr>
          <w:rFonts w:ascii="Book Antiqua" w:eastAsia="Times New Roman" w:hAnsi="Book Antiqua" w:cs="Times New Roman"/>
          <w:kern w:val="0"/>
          <w:szCs w:val="20"/>
          <w:lang w:val="es-ES"/>
          <w14:ligatures w14:val="none"/>
        </w:rPr>
        <w:tab/>
      </w:r>
      <w:r w:rsidR="00D0586E">
        <w:rPr>
          <w:rFonts w:ascii="Book Antiqua" w:eastAsia="Times New Roman" w:hAnsi="Book Antiqua" w:cs="Times New Roman"/>
          <w:kern w:val="0"/>
          <w:szCs w:val="20"/>
          <w:lang w:val="es-ES"/>
          <w14:ligatures w14:val="none"/>
        </w:rPr>
        <w:t>3</w:t>
      </w:r>
      <w:r w:rsidRPr="000C1572">
        <w:rPr>
          <w:rFonts w:ascii="Book Antiqua" w:eastAsia="Times New Roman" w:hAnsi="Book Antiqua" w:cs="Times New Roman"/>
          <w:kern w:val="0"/>
          <w:szCs w:val="20"/>
          <w:vertAlign w:val="superscript"/>
          <w:lang w:val="es-ES"/>
          <w14:ligatures w14:val="none"/>
        </w:rPr>
        <w:t>r</w:t>
      </w:r>
      <w:r w:rsidR="00CB4BCC" w:rsidRPr="000C1572">
        <w:rPr>
          <w:rFonts w:ascii="Book Antiqua" w:eastAsia="Times New Roman" w:hAnsi="Book Antiqua" w:cs="Times New Roman"/>
          <w:kern w:val="0"/>
          <w:szCs w:val="20"/>
          <w:vertAlign w:val="superscript"/>
          <w:lang w:val="es-ES"/>
          <w14:ligatures w14:val="none"/>
        </w:rPr>
        <w:t>a.</w:t>
      </w:r>
      <w:r w:rsidR="00CB4BCC" w:rsidRPr="000C1572">
        <w:rPr>
          <w:rFonts w:ascii="Book Antiqua" w:eastAsia="Times New Roman" w:hAnsi="Book Antiqua" w:cs="Times New Roman"/>
          <w:kern w:val="0"/>
          <w:szCs w:val="20"/>
          <w:lang w:val="es-ES"/>
          <w14:ligatures w14:val="none"/>
        </w:rPr>
        <w:tab/>
        <w:t>Sesión</w:t>
      </w:r>
    </w:p>
    <w:p w14:paraId="064F0E65" w14:textId="77777777" w:rsidR="00CB4BCC" w:rsidRPr="000C1572"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0C1572">
        <w:rPr>
          <w:rFonts w:ascii="Book Antiqua" w:eastAsia="Times New Roman" w:hAnsi="Book Antiqua" w:cs="Times New Roman"/>
          <w:kern w:val="0"/>
          <w:szCs w:val="20"/>
          <w:lang w:val="es-ES"/>
          <w14:ligatures w14:val="none"/>
        </w:rPr>
        <w:tab/>
        <w:t>Legislativa</w:t>
      </w:r>
      <w:r w:rsidRPr="000C1572">
        <w:rPr>
          <w:rFonts w:ascii="Book Antiqua" w:eastAsia="Times New Roman" w:hAnsi="Book Antiqua" w:cs="Times New Roman"/>
          <w:kern w:val="0"/>
          <w:szCs w:val="20"/>
          <w:lang w:val="es-ES"/>
          <w14:ligatures w14:val="none"/>
        </w:rPr>
        <w:tab/>
      </w:r>
      <w:r w:rsidRPr="000C1572">
        <w:rPr>
          <w:rFonts w:ascii="Book Antiqua" w:eastAsia="Times New Roman" w:hAnsi="Book Antiqua" w:cs="Times New Roman"/>
          <w:kern w:val="0"/>
          <w:szCs w:val="20"/>
          <w:lang w:val="es-ES"/>
          <w14:ligatures w14:val="none"/>
        </w:rPr>
        <w:tab/>
        <w:t>Ordinaria</w:t>
      </w:r>
    </w:p>
    <w:p w14:paraId="21E7FCE1" w14:textId="77777777" w:rsidR="00CB4BCC" w:rsidRPr="000C1572" w:rsidRDefault="00CB4BCC" w:rsidP="00CB4BCC">
      <w:pPr>
        <w:spacing w:after="0" w:line="240" w:lineRule="auto"/>
        <w:rPr>
          <w:rFonts w:ascii="Book Antiqua" w:eastAsia="Times New Roman" w:hAnsi="Book Antiqua" w:cs="Times New Roman"/>
          <w:kern w:val="0"/>
          <w:szCs w:val="20"/>
          <w:lang w:val="es-ES"/>
          <w14:ligatures w14:val="none"/>
        </w:rPr>
      </w:pPr>
    </w:p>
    <w:p w14:paraId="2CE4B615" w14:textId="77777777" w:rsidR="00101518" w:rsidRPr="000C1572" w:rsidRDefault="00101518" w:rsidP="00CB4BCC">
      <w:pPr>
        <w:spacing w:after="0" w:line="240" w:lineRule="auto"/>
        <w:rPr>
          <w:rFonts w:ascii="Book Antiqua" w:eastAsia="Times New Roman" w:hAnsi="Book Antiqua" w:cs="Times New Roman"/>
          <w:kern w:val="0"/>
          <w:szCs w:val="20"/>
          <w:lang w:val="es-ES"/>
          <w14:ligatures w14:val="none"/>
        </w:rPr>
      </w:pPr>
    </w:p>
    <w:p w14:paraId="5BDD0274" w14:textId="3D671E92" w:rsidR="00CB4BCC" w:rsidRPr="000C1572" w:rsidRDefault="00101518" w:rsidP="00CB4BCC">
      <w:pPr>
        <w:spacing w:after="0" w:line="240" w:lineRule="auto"/>
        <w:jc w:val="center"/>
        <w:rPr>
          <w:rFonts w:ascii="Book Antiqua" w:eastAsia="Times New Roman" w:hAnsi="Book Antiqua" w:cs="Times New Roman"/>
          <w:b/>
          <w:spacing w:val="12"/>
          <w:kern w:val="0"/>
          <w:sz w:val="36"/>
          <w:szCs w:val="20"/>
          <w:lang w:val="es-ES"/>
          <w14:ligatures w14:val="none"/>
        </w:rPr>
      </w:pPr>
      <w:r w:rsidRPr="000C1572">
        <w:rPr>
          <w:rFonts w:ascii="Book Antiqua" w:eastAsia="Times New Roman" w:hAnsi="Book Antiqua" w:cs="Times New Roman"/>
          <w:b/>
          <w:spacing w:val="12"/>
          <w:kern w:val="0"/>
          <w:sz w:val="36"/>
          <w:szCs w:val="20"/>
          <w:lang w:val="es-ES"/>
          <w14:ligatures w14:val="none"/>
        </w:rPr>
        <w:t>CÁMARA DE REPRESENTANTES</w:t>
      </w:r>
    </w:p>
    <w:p w14:paraId="48B3F741" w14:textId="77777777" w:rsidR="00CB4BCC" w:rsidRPr="000C1572" w:rsidRDefault="00CB4BCC" w:rsidP="00CB4BCC">
      <w:pPr>
        <w:spacing w:after="0" w:line="240" w:lineRule="auto"/>
        <w:jc w:val="center"/>
        <w:rPr>
          <w:rFonts w:ascii="Book Antiqua" w:eastAsia="Times New Roman" w:hAnsi="Book Antiqua" w:cs="Times New Roman"/>
          <w:b/>
          <w:kern w:val="0"/>
          <w:lang w:val="es-ES"/>
          <w14:ligatures w14:val="none"/>
        </w:rPr>
      </w:pPr>
    </w:p>
    <w:p w14:paraId="3B214DA8" w14:textId="375B4566" w:rsidR="00CB4BCC" w:rsidRPr="000C1572" w:rsidRDefault="00797B74" w:rsidP="00CB4BCC">
      <w:pPr>
        <w:spacing w:after="0" w:line="240" w:lineRule="auto"/>
        <w:jc w:val="center"/>
        <w:rPr>
          <w:rFonts w:ascii="Book Antiqua" w:eastAsia="Times New Roman" w:hAnsi="Book Antiqua" w:cs="Times New Roman"/>
          <w:b/>
          <w:kern w:val="0"/>
          <w:sz w:val="52"/>
          <w:szCs w:val="20"/>
          <w:lang w:val="es-ES"/>
          <w14:ligatures w14:val="none"/>
        </w:rPr>
      </w:pPr>
      <w:r>
        <w:rPr>
          <w:rFonts w:ascii="Book Antiqua" w:eastAsia="Times New Roman" w:hAnsi="Book Antiqua" w:cs="Times New Roman"/>
          <w:b/>
          <w:kern w:val="0"/>
          <w:sz w:val="52"/>
          <w:szCs w:val="20"/>
          <w:lang w:val="es-ES"/>
          <w14:ligatures w14:val="none"/>
        </w:rPr>
        <w:t xml:space="preserve">P. del S. </w:t>
      </w:r>
      <w:r w:rsidR="00D0586E">
        <w:rPr>
          <w:rFonts w:ascii="Book Antiqua" w:eastAsia="Times New Roman" w:hAnsi="Book Antiqua" w:cs="Times New Roman"/>
          <w:b/>
          <w:kern w:val="0"/>
          <w:sz w:val="52"/>
          <w:szCs w:val="20"/>
          <w:lang w:val="es-ES"/>
          <w14:ligatures w14:val="none"/>
        </w:rPr>
        <w:t>60</w:t>
      </w:r>
    </w:p>
    <w:p w14:paraId="5C12BC4A" w14:textId="77777777" w:rsidR="009B217F" w:rsidRPr="000C1572" w:rsidRDefault="009B217F" w:rsidP="00CB4BCC">
      <w:pPr>
        <w:spacing w:after="0" w:line="240" w:lineRule="auto"/>
        <w:jc w:val="center"/>
        <w:rPr>
          <w:rFonts w:ascii="Book Antiqua" w:eastAsia="Calibri" w:hAnsi="Book Antiqua" w:cs="Times New Roman"/>
          <w:b/>
          <w:bCs/>
          <w:kern w:val="0"/>
          <w:sz w:val="28"/>
          <w:szCs w:val="28"/>
          <w:lang w:val="es-ES"/>
          <w14:ligatures w14:val="none"/>
        </w:rPr>
      </w:pPr>
    </w:p>
    <w:p w14:paraId="07AD0618" w14:textId="19D930A8" w:rsidR="00CB4BCC" w:rsidRPr="00953D73" w:rsidRDefault="009B217F" w:rsidP="00CB4BCC">
      <w:pPr>
        <w:spacing w:after="0" w:line="240" w:lineRule="auto"/>
        <w:jc w:val="center"/>
        <w:rPr>
          <w:rFonts w:ascii="Book Antiqua" w:eastAsia="Calibri" w:hAnsi="Book Antiqua" w:cs="Times New Roman"/>
          <w:spacing w:val="12"/>
          <w:kern w:val="0"/>
          <w:sz w:val="28"/>
          <w:szCs w:val="28"/>
          <w:lang w:val="es-ES"/>
          <w14:ligatures w14:val="none"/>
        </w:rPr>
      </w:pPr>
      <w:r w:rsidRPr="00953D73">
        <w:rPr>
          <w:rFonts w:ascii="Book Antiqua" w:eastAsia="Calibri" w:hAnsi="Book Antiqua" w:cs="Times New Roman"/>
          <w:spacing w:val="12"/>
          <w:kern w:val="0"/>
          <w:sz w:val="28"/>
          <w:szCs w:val="28"/>
          <w:lang w:val="es-ES"/>
          <w14:ligatures w14:val="none"/>
        </w:rPr>
        <w:t>INFORME</w:t>
      </w:r>
      <w:r w:rsidR="004E696C" w:rsidRPr="00953D73">
        <w:rPr>
          <w:rFonts w:ascii="Book Antiqua" w:eastAsia="Calibri" w:hAnsi="Book Antiqua" w:cs="Times New Roman"/>
          <w:spacing w:val="12"/>
          <w:kern w:val="0"/>
          <w:sz w:val="28"/>
          <w:szCs w:val="28"/>
          <w:lang w:val="es-ES"/>
          <w14:ligatures w14:val="none"/>
        </w:rPr>
        <w:t xml:space="preserve"> POSITIVO</w:t>
      </w:r>
    </w:p>
    <w:p w14:paraId="13CF74F4" w14:textId="77777777" w:rsidR="00CB4BCC" w:rsidRPr="000C1572" w:rsidRDefault="00CB4BCC" w:rsidP="00CB4BCC">
      <w:pPr>
        <w:spacing w:after="0" w:line="240" w:lineRule="auto"/>
        <w:jc w:val="center"/>
        <w:rPr>
          <w:rFonts w:ascii="Book Antiqua" w:eastAsia="Calibri" w:hAnsi="Book Antiqua" w:cs="Times New Roman"/>
          <w:b/>
          <w:bCs/>
          <w:kern w:val="0"/>
          <w:sz w:val="28"/>
          <w:szCs w:val="28"/>
          <w:lang w:val="es-ES"/>
          <w14:ligatures w14:val="none"/>
        </w:rPr>
      </w:pPr>
    </w:p>
    <w:p w14:paraId="18C66AE4" w14:textId="75164979" w:rsidR="00CB4BCC" w:rsidRPr="000C1572" w:rsidRDefault="00101518" w:rsidP="003C2B1D">
      <w:pPr>
        <w:spacing w:after="0" w:line="240" w:lineRule="auto"/>
        <w:jc w:val="center"/>
        <w:rPr>
          <w:rFonts w:ascii="Book Antiqua" w:eastAsia="Calibri" w:hAnsi="Book Antiqua" w:cs="Times New Roman"/>
          <w:kern w:val="0"/>
          <w:lang w:val="es-ES"/>
          <w14:ligatures w14:val="none"/>
        </w:rPr>
      </w:pPr>
      <w:r w:rsidRPr="000C1572">
        <w:rPr>
          <w:rFonts w:ascii="Book Antiqua" w:eastAsia="Calibri" w:hAnsi="Book Antiqua" w:cs="Times New Roman"/>
          <w:kern w:val="0"/>
          <w:lang w:val="es-ES"/>
          <w14:ligatures w14:val="none"/>
        </w:rPr>
        <w:t>___ de</w:t>
      </w:r>
      <w:r w:rsidR="004D07CF" w:rsidRPr="000C1572">
        <w:rPr>
          <w:rFonts w:ascii="Book Antiqua" w:eastAsia="Calibri" w:hAnsi="Book Antiqua" w:cs="Times New Roman"/>
          <w:kern w:val="0"/>
          <w:lang w:val="es-ES"/>
          <w14:ligatures w14:val="none"/>
        </w:rPr>
        <w:t xml:space="preserve"> </w:t>
      </w:r>
      <w:r w:rsidR="000B13D7" w:rsidRPr="000C1572">
        <w:rPr>
          <w:rFonts w:ascii="Book Antiqua" w:eastAsia="Calibri" w:hAnsi="Book Antiqua" w:cs="Times New Roman"/>
          <w:kern w:val="0"/>
          <w:lang w:val="es-ES"/>
          <w14:ligatures w14:val="none"/>
        </w:rPr>
        <w:t>junio</w:t>
      </w:r>
      <w:r w:rsidR="00CB4BCC" w:rsidRPr="000C1572">
        <w:rPr>
          <w:rFonts w:ascii="Book Antiqua" w:eastAsia="Calibri" w:hAnsi="Book Antiqua" w:cs="Times New Roman"/>
          <w:kern w:val="0"/>
          <w:lang w:val="es-ES"/>
          <w14:ligatures w14:val="none"/>
        </w:rPr>
        <w:t xml:space="preserve"> de 202</w:t>
      </w:r>
      <w:r w:rsidR="00D0586E">
        <w:rPr>
          <w:rFonts w:ascii="Book Antiqua" w:eastAsia="Calibri" w:hAnsi="Book Antiqua" w:cs="Times New Roman"/>
          <w:kern w:val="0"/>
          <w:lang w:val="es-ES"/>
          <w14:ligatures w14:val="none"/>
        </w:rPr>
        <w:t>6</w:t>
      </w:r>
    </w:p>
    <w:p w14:paraId="042A8F4B" w14:textId="77777777" w:rsidR="00101518" w:rsidRPr="000C1572" w:rsidRDefault="00101518" w:rsidP="00CB4BCC">
      <w:pPr>
        <w:spacing w:after="0" w:line="360" w:lineRule="auto"/>
        <w:jc w:val="center"/>
        <w:rPr>
          <w:rFonts w:ascii="Book Antiqua" w:eastAsia="Calibri" w:hAnsi="Book Antiqua" w:cs="Times New Roman"/>
          <w:b/>
          <w:bCs/>
          <w:kern w:val="0"/>
          <w:sz w:val="28"/>
          <w:szCs w:val="28"/>
          <w:lang w:val="es-ES"/>
          <w14:ligatures w14:val="none"/>
        </w:rPr>
      </w:pPr>
    </w:p>
    <w:p w14:paraId="624ADA67" w14:textId="6CA982BF" w:rsidR="000743E5" w:rsidRPr="00953D73" w:rsidRDefault="00CB4BCC" w:rsidP="00CB4BCC">
      <w:pPr>
        <w:spacing w:after="0" w:line="360" w:lineRule="auto"/>
        <w:jc w:val="both"/>
        <w:rPr>
          <w:rFonts w:ascii="Book Antiqua" w:eastAsia="Calibri" w:hAnsi="Book Antiqua" w:cs="Times New Roman"/>
          <w:spacing w:val="12"/>
          <w:kern w:val="0"/>
          <w:lang w:val="es-ES"/>
          <w14:ligatures w14:val="none"/>
        </w:rPr>
      </w:pPr>
      <w:r w:rsidRPr="00953D73">
        <w:rPr>
          <w:rFonts w:ascii="Book Antiqua" w:eastAsia="Calibri" w:hAnsi="Book Antiqua" w:cs="Times New Roman"/>
          <w:spacing w:val="12"/>
          <w:kern w:val="0"/>
          <w:lang w:val="es-ES"/>
          <w14:ligatures w14:val="none"/>
        </w:rPr>
        <w:t>A</w:t>
      </w:r>
      <w:r w:rsidR="00101518" w:rsidRPr="00953D73">
        <w:rPr>
          <w:rFonts w:ascii="Book Antiqua" w:eastAsia="Calibri" w:hAnsi="Book Antiqua" w:cs="Times New Roman"/>
          <w:spacing w:val="12"/>
          <w:kern w:val="0"/>
          <w:lang w:val="es-ES"/>
          <w14:ligatures w14:val="none"/>
        </w:rPr>
        <w:t xml:space="preserve"> </w:t>
      </w:r>
      <w:r w:rsidRPr="00953D73">
        <w:rPr>
          <w:rFonts w:ascii="Book Antiqua" w:eastAsia="Calibri" w:hAnsi="Book Antiqua" w:cs="Times New Roman"/>
          <w:spacing w:val="12"/>
          <w:kern w:val="0"/>
          <w:lang w:val="es-ES"/>
          <w14:ligatures w14:val="none"/>
        </w:rPr>
        <w:t>L</w:t>
      </w:r>
      <w:r w:rsidR="00101518" w:rsidRPr="00953D73">
        <w:rPr>
          <w:rFonts w:ascii="Book Antiqua" w:eastAsia="Calibri" w:hAnsi="Book Antiqua" w:cs="Times New Roman"/>
          <w:spacing w:val="12"/>
          <w:kern w:val="0"/>
          <w:lang w:val="es-ES"/>
          <w14:ligatures w14:val="none"/>
        </w:rPr>
        <w:t xml:space="preserve">A CÁMARA DE REPRESENTANTES </w:t>
      </w:r>
      <w:r w:rsidRPr="00953D73">
        <w:rPr>
          <w:rFonts w:ascii="Book Antiqua" w:eastAsia="Calibri" w:hAnsi="Book Antiqua" w:cs="Times New Roman"/>
          <w:spacing w:val="12"/>
          <w:kern w:val="0"/>
          <w:lang w:val="es-ES"/>
          <w14:ligatures w14:val="none"/>
        </w:rPr>
        <w:t>DE PUERTO RICO:</w:t>
      </w:r>
    </w:p>
    <w:p w14:paraId="68CA0140" w14:textId="42E5E46B" w:rsidR="00E242D8" w:rsidRPr="000C1572" w:rsidRDefault="006C3629" w:rsidP="00BB61EE">
      <w:pPr>
        <w:spacing w:after="0" w:line="298" w:lineRule="auto"/>
        <w:ind w:firstLine="706"/>
        <w:jc w:val="both"/>
        <w:rPr>
          <w:rFonts w:ascii="Book Antiqua" w:eastAsia="Calibri" w:hAnsi="Book Antiqua" w:cs="Times New Roman"/>
          <w:kern w:val="0"/>
          <w:lang w:val="es-ES"/>
          <w14:ligatures w14:val="none"/>
        </w:rPr>
      </w:pPr>
      <w:r w:rsidRPr="000C1572">
        <w:rPr>
          <w:rFonts w:ascii="Book Antiqua" w:eastAsia="Calibri" w:hAnsi="Book Antiqua" w:cs="Times New Roman"/>
          <w:kern w:val="0"/>
          <w:lang w:val="es-ES"/>
          <w14:ligatures w14:val="none"/>
        </w:rPr>
        <w:t>P</w:t>
      </w:r>
      <w:r w:rsidR="00CB4BCC" w:rsidRPr="000C1572">
        <w:rPr>
          <w:rFonts w:ascii="Book Antiqua" w:eastAsia="Calibri" w:hAnsi="Book Antiqua" w:cs="Times New Roman"/>
          <w:kern w:val="0"/>
          <w:lang w:val="es-ES"/>
          <w14:ligatures w14:val="none"/>
        </w:rPr>
        <w:t>revi</w:t>
      </w:r>
      <w:r w:rsidR="00B41268" w:rsidRPr="000C1572">
        <w:rPr>
          <w:rFonts w:ascii="Book Antiqua" w:eastAsia="Calibri" w:hAnsi="Book Antiqua" w:cs="Times New Roman"/>
          <w:kern w:val="0"/>
          <w:lang w:val="es-ES"/>
          <w14:ligatures w14:val="none"/>
        </w:rPr>
        <w:t>a</w:t>
      </w:r>
      <w:r w:rsidR="00CB4BCC" w:rsidRPr="000C1572">
        <w:rPr>
          <w:rFonts w:ascii="Book Antiqua" w:eastAsia="Calibri" w:hAnsi="Book Antiqua" w:cs="Times New Roman"/>
          <w:kern w:val="0"/>
          <w:lang w:val="es-ES"/>
          <w14:ligatures w14:val="none"/>
        </w:rPr>
        <w:t xml:space="preserve"> consideración y evaluación</w:t>
      </w:r>
      <w:r w:rsidR="00CC270A" w:rsidRPr="000C1572">
        <w:rPr>
          <w:rFonts w:ascii="Book Antiqua" w:eastAsia="Calibri" w:hAnsi="Book Antiqua" w:cs="Times New Roman"/>
          <w:kern w:val="0"/>
          <w:lang w:val="es-ES"/>
          <w14:ligatures w14:val="none"/>
        </w:rPr>
        <w:t xml:space="preserve"> del </w:t>
      </w:r>
      <w:r w:rsidR="00376DD0" w:rsidRPr="000C1572">
        <w:rPr>
          <w:rFonts w:ascii="Book Antiqua" w:eastAsia="Calibri" w:hAnsi="Book Antiqua" w:cs="Times New Roman"/>
          <w:kern w:val="0"/>
          <w:lang w:val="es-ES"/>
          <w14:ligatures w14:val="none"/>
        </w:rPr>
        <w:t xml:space="preserve">Proyecto </w:t>
      </w:r>
      <w:r w:rsidR="00797B74">
        <w:rPr>
          <w:rFonts w:ascii="Book Antiqua" w:eastAsia="Calibri" w:hAnsi="Book Antiqua" w:cs="Times New Roman"/>
          <w:kern w:val="0"/>
          <w:lang w:val="es-ES"/>
          <w14:ligatures w14:val="none"/>
        </w:rPr>
        <w:t>del Senado</w:t>
      </w:r>
      <w:r w:rsidR="002E44AD" w:rsidRPr="000C1572">
        <w:rPr>
          <w:rFonts w:ascii="Book Antiqua" w:eastAsia="Calibri" w:hAnsi="Book Antiqua" w:cs="Times New Roman"/>
          <w:kern w:val="0"/>
          <w:lang w:val="es-ES"/>
          <w14:ligatures w14:val="none"/>
        </w:rPr>
        <w:t xml:space="preserve"> </w:t>
      </w:r>
      <w:r w:rsidR="00171D05" w:rsidRPr="000C1572">
        <w:rPr>
          <w:rFonts w:ascii="Book Antiqua" w:eastAsia="Calibri" w:hAnsi="Book Antiqua" w:cs="Times New Roman"/>
          <w:kern w:val="0"/>
          <w:lang w:val="es-ES"/>
          <w14:ligatures w14:val="none"/>
        </w:rPr>
        <w:t>(</w:t>
      </w:r>
      <w:r w:rsidR="00797B74">
        <w:rPr>
          <w:rFonts w:ascii="Book Antiqua" w:eastAsia="Calibri" w:hAnsi="Book Antiqua" w:cs="Times New Roman"/>
          <w:kern w:val="0"/>
          <w:lang w:val="es-ES"/>
          <w14:ligatures w14:val="none"/>
        </w:rPr>
        <w:t xml:space="preserve">P. del S. </w:t>
      </w:r>
      <w:r w:rsidR="00D0586E">
        <w:rPr>
          <w:rFonts w:ascii="Book Antiqua" w:eastAsia="Calibri" w:hAnsi="Book Antiqua" w:cs="Times New Roman"/>
          <w:kern w:val="0"/>
          <w:lang w:val="es-ES"/>
          <w14:ligatures w14:val="none"/>
        </w:rPr>
        <w:t>60</w:t>
      </w:r>
      <w:r w:rsidR="00171D05" w:rsidRPr="000C1572">
        <w:rPr>
          <w:rFonts w:ascii="Book Antiqua" w:eastAsia="Calibri" w:hAnsi="Book Antiqua" w:cs="Times New Roman"/>
          <w:kern w:val="0"/>
          <w:lang w:val="es-ES"/>
          <w14:ligatures w14:val="none"/>
        </w:rPr>
        <w:t>)</w:t>
      </w:r>
      <w:r w:rsidR="00CB4BCC" w:rsidRPr="000C1572">
        <w:rPr>
          <w:rFonts w:ascii="Book Antiqua" w:eastAsia="Calibri" w:hAnsi="Book Antiqua" w:cs="Times New Roman"/>
          <w:kern w:val="0"/>
          <w:lang w:val="es-ES"/>
          <w14:ligatures w14:val="none"/>
        </w:rPr>
        <w:t xml:space="preserve">, </w:t>
      </w:r>
      <w:r w:rsidRPr="000C1572">
        <w:rPr>
          <w:rFonts w:ascii="Book Antiqua" w:eastAsia="Calibri" w:hAnsi="Book Antiqua" w:cs="Times New Roman"/>
          <w:kern w:val="0"/>
          <w:lang w:val="es-ES"/>
          <w14:ligatures w14:val="none"/>
        </w:rPr>
        <w:t xml:space="preserve">la Comisión de lo Jurídico de la Cámara de Representantes </w:t>
      </w:r>
      <w:r w:rsidR="00CB4BCC" w:rsidRPr="001A5DBD">
        <w:rPr>
          <w:rFonts w:ascii="Book Antiqua" w:eastAsia="Calibri" w:hAnsi="Book Antiqua" w:cs="Times New Roman"/>
          <w:b/>
          <w:bCs/>
          <w:kern w:val="0"/>
          <w:lang w:val="es-ES"/>
          <w14:ligatures w14:val="none"/>
        </w:rPr>
        <w:t xml:space="preserve">recomienda </w:t>
      </w:r>
      <w:r w:rsidR="00CC270A" w:rsidRPr="001A5DBD">
        <w:rPr>
          <w:rFonts w:ascii="Book Antiqua" w:eastAsia="Calibri" w:hAnsi="Book Antiqua" w:cs="Times New Roman"/>
          <w:b/>
          <w:bCs/>
          <w:kern w:val="0"/>
          <w:lang w:val="es-ES"/>
          <w14:ligatures w14:val="none"/>
        </w:rPr>
        <w:t>su</w:t>
      </w:r>
      <w:r w:rsidR="00CB4BCC" w:rsidRPr="001A5DBD">
        <w:rPr>
          <w:rFonts w:ascii="Book Antiqua" w:eastAsia="Calibri" w:hAnsi="Book Antiqua" w:cs="Times New Roman"/>
          <w:b/>
          <w:bCs/>
          <w:kern w:val="0"/>
          <w:lang w:val="es-ES"/>
          <w14:ligatures w14:val="none"/>
        </w:rPr>
        <w:t xml:space="preserve"> aprobación</w:t>
      </w:r>
      <w:r w:rsidR="009206FA">
        <w:rPr>
          <w:rFonts w:ascii="Book Antiqua" w:eastAsia="Calibri" w:hAnsi="Book Antiqua" w:cs="Times New Roman"/>
          <w:kern w:val="0"/>
          <w:lang w:val="es-ES"/>
          <w14:ligatures w14:val="none"/>
        </w:rPr>
        <w:t>.</w:t>
      </w:r>
      <w:r w:rsidR="00CB4BCC" w:rsidRPr="000C1572">
        <w:rPr>
          <w:rFonts w:ascii="Book Antiqua" w:eastAsia="Calibri" w:hAnsi="Book Antiqua" w:cs="Times New Roman"/>
          <w:b/>
          <w:bCs/>
          <w:i/>
          <w:iCs/>
          <w:kern w:val="0"/>
          <w:lang w:val="es-ES"/>
          <w14:ligatures w14:val="none"/>
        </w:rPr>
        <w:t xml:space="preserve"> </w:t>
      </w:r>
      <w:r w:rsidR="009206FA">
        <w:rPr>
          <w:rFonts w:ascii="Book Antiqua" w:eastAsia="Calibri" w:hAnsi="Book Antiqua" w:cs="Times New Roman"/>
          <w:kern w:val="0"/>
          <w:lang w:val="es-ES"/>
          <w14:ligatures w14:val="none"/>
        </w:rPr>
        <w:t xml:space="preserve">Esto, </w:t>
      </w:r>
      <w:r w:rsidR="000177B6" w:rsidRPr="000C1572">
        <w:rPr>
          <w:rFonts w:ascii="Book Antiqua" w:eastAsia="Calibri" w:hAnsi="Book Antiqua" w:cs="Times New Roman"/>
          <w:kern w:val="0"/>
          <w:lang w:val="es-ES"/>
          <w14:ligatures w14:val="none"/>
        </w:rPr>
        <w:t>con las enmiendas en el entirillado electrónico</w:t>
      </w:r>
      <w:r w:rsidR="00953D73">
        <w:rPr>
          <w:rFonts w:ascii="Book Antiqua" w:eastAsia="Calibri" w:hAnsi="Book Antiqua" w:cs="Times New Roman"/>
          <w:kern w:val="0"/>
          <w:lang w:val="es-ES"/>
          <w14:ligatures w14:val="none"/>
        </w:rPr>
        <w:t xml:space="preserve"> adjunto</w:t>
      </w:r>
      <w:r w:rsidR="00D0586E">
        <w:rPr>
          <w:rFonts w:ascii="Book Antiqua" w:eastAsia="Calibri" w:hAnsi="Book Antiqua" w:cs="Times New Roman"/>
          <w:kern w:val="0"/>
          <w:lang w:val="es-ES"/>
          <w14:ligatures w14:val="none"/>
        </w:rPr>
        <w:t>.</w:t>
      </w:r>
    </w:p>
    <w:p w14:paraId="083C6F99" w14:textId="688F937E" w:rsidR="00D93876" w:rsidRPr="00953D73" w:rsidRDefault="00CB4BCC" w:rsidP="001A5DBD">
      <w:pPr>
        <w:spacing w:before="240" w:after="0" w:line="298" w:lineRule="auto"/>
        <w:jc w:val="center"/>
        <w:rPr>
          <w:rFonts w:ascii="Book Antiqua" w:eastAsia="Calibri" w:hAnsi="Book Antiqua" w:cs="Times New Roman"/>
          <w:spacing w:val="12"/>
          <w:kern w:val="0"/>
          <w:lang w:val="es-ES"/>
          <w14:ligatures w14:val="none"/>
        </w:rPr>
      </w:pPr>
      <w:r w:rsidRPr="00953D73">
        <w:rPr>
          <w:rFonts w:ascii="Book Antiqua" w:eastAsia="Calibri" w:hAnsi="Book Antiqua" w:cs="Times New Roman"/>
          <w:spacing w:val="12"/>
          <w:kern w:val="0"/>
          <w:lang w:val="es-ES"/>
          <w14:ligatures w14:val="none"/>
        </w:rPr>
        <w:t>ALCANCE DE LA MEDIDA</w:t>
      </w:r>
    </w:p>
    <w:p w14:paraId="1EB75EB6" w14:textId="77777777" w:rsidR="00F45D5B" w:rsidRDefault="00AD29DF" w:rsidP="00AD29DF">
      <w:pPr>
        <w:ind w:firstLine="720"/>
        <w:jc w:val="both"/>
        <w:rPr>
          <w:rFonts w:ascii="Book Antiqua" w:eastAsia="Book Antiqua" w:hAnsi="Book Antiqua" w:cs="Book Antiqua"/>
        </w:rPr>
      </w:pPr>
      <w:r w:rsidRPr="00514255">
        <w:rPr>
          <w:rFonts w:ascii="Book Antiqua" w:eastAsia="Book Antiqua" w:hAnsi="Book Antiqua" w:cs="Book Antiqua"/>
        </w:rPr>
        <w:t xml:space="preserve">La Ley </w:t>
      </w:r>
      <w:r w:rsidR="00953D73">
        <w:rPr>
          <w:rFonts w:ascii="Book Antiqua" w:eastAsia="Book Antiqua" w:hAnsi="Book Antiqua" w:cs="Book Antiqua"/>
        </w:rPr>
        <w:t xml:space="preserve">Núm. </w:t>
      </w:r>
      <w:r w:rsidRPr="00514255">
        <w:rPr>
          <w:rFonts w:ascii="Book Antiqua" w:eastAsia="Book Antiqua" w:hAnsi="Book Antiqua" w:cs="Book Antiqua"/>
        </w:rPr>
        <w:t>52-2022,</w:t>
      </w:r>
      <w:r w:rsidR="00C94306">
        <w:rPr>
          <w:rStyle w:val="FootnoteReference"/>
          <w:rFonts w:ascii="Book Antiqua" w:eastAsia="Book Antiqua" w:hAnsi="Book Antiqua" w:cs="Book Antiqua"/>
        </w:rPr>
        <w:footnoteReference w:id="1"/>
      </w:r>
      <w:r w:rsidRPr="00514255">
        <w:rPr>
          <w:rFonts w:ascii="Book Antiqua" w:eastAsia="Book Antiqua" w:hAnsi="Book Antiqua" w:cs="Book Antiqua"/>
        </w:rPr>
        <w:t xml:space="preserve"> estableció nuevas normativas</w:t>
      </w:r>
      <w:r>
        <w:rPr>
          <w:rFonts w:ascii="Book Antiqua" w:eastAsia="Book Antiqua" w:hAnsi="Book Antiqua" w:cs="Book Antiqua"/>
        </w:rPr>
        <w:t xml:space="preserve"> </w:t>
      </w:r>
      <w:r w:rsidRPr="00514255">
        <w:rPr>
          <w:rFonts w:ascii="Book Antiqua" w:eastAsia="Book Antiqua" w:hAnsi="Book Antiqua" w:cs="Book Antiqua"/>
        </w:rPr>
        <w:t>para las empresas multinacionales sujetas a la Ley</w:t>
      </w:r>
      <w:r w:rsidR="00C94306">
        <w:rPr>
          <w:rFonts w:ascii="Book Antiqua" w:eastAsia="Book Antiqua" w:hAnsi="Book Antiqua" w:cs="Book Antiqua"/>
        </w:rPr>
        <w:t xml:space="preserve"> Núm.</w:t>
      </w:r>
      <w:r w:rsidRPr="00514255">
        <w:rPr>
          <w:rFonts w:ascii="Book Antiqua" w:eastAsia="Book Antiqua" w:hAnsi="Book Antiqua" w:cs="Book Antiqua"/>
        </w:rPr>
        <w:t xml:space="preserve"> 154-2010</w:t>
      </w:r>
      <w:r w:rsidR="00AB7319">
        <w:rPr>
          <w:rFonts w:ascii="Book Antiqua" w:eastAsia="Book Antiqua" w:hAnsi="Book Antiqua" w:cs="Book Antiqua"/>
        </w:rPr>
        <w:t>,</w:t>
      </w:r>
      <w:r w:rsidR="00AB7319">
        <w:rPr>
          <w:rStyle w:val="FootnoteReference"/>
          <w:rFonts w:ascii="Book Antiqua" w:eastAsia="Book Antiqua" w:hAnsi="Book Antiqua" w:cs="Book Antiqua"/>
        </w:rPr>
        <w:footnoteReference w:id="2"/>
      </w:r>
      <w:r w:rsidRPr="00514255">
        <w:rPr>
          <w:rFonts w:ascii="Book Antiqua" w:eastAsia="Book Antiqua" w:hAnsi="Book Antiqua" w:cs="Book Antiqua"/>
        </w:rPr>
        <w:t xml:space="preserve"> </w:t>
      </w:r>
      <w:r w:rsidR="00AB7319">
        <w:rPr>
          <w:rFonts w:ascii="Book Antiqua" w:eastAsia="Book Antiqua" w:hAnsi="Book Antiqua" w:cs="Book Antiqua"/>
        </w:rPr>
        <w:t xml:space="preserve">normativas </w:t>
      </w:r>
      <w:r w:rsidRPr="00514255">
        <w:rPr>
          <w:rFonts w:ascii="Book Antiqua" w:eastAsia="Book Antiqua" w:hAnsi="Book Antiqua" w:cs="Book Antiqua"/>
        </w:rPr>
        <w:t xml:space="preserve">fundamentales para el desarrollo económico de Puerto Rico.  </w:t>
      </w:r>
      <w:r>
        <w:rPr>
          <w:rFonts w:ascii="Book Antiqua" w:eastAsia="Book Antiqua" w:hAnsi="Book Antiqua" w:cs="Book Antiqua"/>
        </w:rPr>
        <w:t xml:space="preserve">No obstante, </w:t>
      </w:r>
      <w:r w:rsidR="00436F2B">
        <w:rPr>
          <w:rFonts w:ascii="Book Antiqua" w:eastAsia="Book Antiqua" w:hAnsi="Book Antiqua" w:cs="Book Antiqua"/>
        </w:rPr>
        <w:t xml:space="preserve">la </w:t>
      </w:r>
      <w:r w:rsidR="00436F2B" w:rsidRPr="00514255">
        <w:rPr>
          <w:rFonts w:ascii="Book Antiqua" w:eastAsia="Book Antiqua" w:hAnsi="Book Antiqua" w:cs="Book Antiqua"/>
        </w:rPr>
        <w:t xml:space="preserve">Ley </w:t>
      </w:r>
      <w:r w:rsidR="00436F2B">
        <w:rPr>
          <w:rFonts w:ascii="Book Antiqua" w:eastAsia="Book Antiqua" w:hAnsi="Book Antiqua" w:cs="Book Antiqua"/>
        </w:rPr>
        <w:t xml:space="preserve">Núm. </w:t>
      </w:r>
      <w:r w:rsidR="00436F2B" w:rsidRPr="00514255">
        <w:rPr>
          <w:rFonts w:ascii="Book Antiqua" w:eastAsia="Book Antiqua" w:hAnsi="Book Antiqua" w:cs="Book Antiqua"/>
        </w:rPr>
        <w:t>52-2022</w:t>
      </w:r>
      <w:r w:rsidR="00436F2B">
        <w:rPr>
          <w:rFonts w:ascii="Book Antiqua" w:eastAsia="Book Antiqua" w:hAnsi="Book Antiqua" w:cs="Book Antiqua"/>
        </w:rPr>
        <w:t xml:space="preserve">, </w:t>
      </w:r>
      <w:r>
        <w:rPr>
          <w:rFonts w:ascii="Book Antiqua" w:eastAsia="Book Antiqua" w:hAnsi="Book Antiqua" w:cs="Book Antiqua"/>
        </w:rPr>
        <w:t xml:space="preserve">en su </w:t>
      </w:r>
      <w:r w:rsidR="00652302">
        <w:rPr>
          <w:rFonts w:ascii="Book Antiqua" w:eastAsia="Book Antiqua" w:hAnsi="Book Antiqua" w:cs="Book Antiqua"/>
        </w:rPr>
        <w:t>a</w:t>
      </w:r>
      <w:r>
        <w:rPr>
          <w:rFonts w:ascii="Book Antiqua" w:eastAsia="Book Antiqua" w:hAnsi="Book Antiqua" w:cs="Book Antiqua"/>
        </w:rPr>
        <w:t xml:space="preserve">rtículo 86, introdujo nuevos requisitos </w:t>
      </w:r>
      <w:r w:rsidRPr="00514255">
        <w:rPr>
          <w:rFonts w:ascii="Book Antiqua" w:eastAsia="Book Antiqua" w:hAnsi="Book Antiqua" w:cs="Book Antiqua"/>
        </w:rPr>
        <w:t>a la Ley Núm. 75 de 2 de julio de 1987, según enmendada</w:t>
      </w:r>
      <w:r w:rsidR="0056677B">
        <w:rPr>
          <w:rFonts w:ascii="Book Antiqua" w:eastAsia="Book Antiqua" w:hAnsi="Book Antiqua" w:cs="Book Antiqua"/>
        </w:rPr>
        <w:t xml:space="preserve"> (Ley Notarial)</w:t>
      </w:r>
      <w:r>
        <w:rPr>
          <w:rFonts w:ascii="Book Antiqua" w:eastAsia="Book Antiqua" w:hAnsi="Book Antiqua" w:cs="Book Antiqua"/>
        </w:rPr>
        <w:t>.</w:t>
      </w:r>
      <w:r w:rsidR="0056677B">
        <w:rPr>
          <w:rStyle w:val="FootnoteReference"/>
          <w:rFonts w:ascii="Book Antiqua" w:eastAsia="Book Antiqua" w:hAnsi="Book Antiqua" w:cs="Book Antiqua"/>
        </w:rPr>
        <w:footnoteReference w:id="3"/>
      </w:r>
      <w:r>
        <w:rPr>
          <w:rFonts w:ascii="Book Antiqua" w:eastAsia="Book Antiqua" w:hAnsi="Book Antiqua" w:cs="Book Antiqua"/>
        </w:rPr>
        <w:t xml:space="preserve"> Estos nuevos requerimientos no están vinculados sustantivamente </w:t>
      </w:r>
      <w:r w:rsidRPr="00514255">
        <w:rPr>
          <w:rFonts w:ascii="Book Antiqua" w:eastAsia="Book Antiqua" w:hAnsi="Book Antiqua" w:cs="Book Antiqua"/>
        </w:rPr>
        <w:t xml:space="preserve">con los cambios </w:t>
      </w:r>
      <w:r>
        <w:rPr>
          <w:rFonts w:ascii="Book Antiqua" w:eastAsia="Book Antiqua" w:hAnsi="Book Antiqua" w:cs="Book Antiqua"/>
        </w:rPr>
        <w:t>indispensables</w:t>
      </w:r>
      <w:r w:rsidRPr="00514255">
        <w:rPr>
          <w:rFonts w:ascii="Book Antiqua" w:eastAsia="Book Antiqua" w:hAnsi="Book Antiqua" w:cs="Book Antiqua"/>
        </w:rPr>
        <w:t xml:space="preserve"> y </w:t>
      </w:r>
      <w:r>
        <w:rPr>
          <w:rFonts w:ascii="Book Antiqua" w:eastAsia="Book Antiqua" w:hAnsi="Book Antiqua" w:cs="Book Antiqua"/>
        </w:rPr>
        <w:t>esenciales efectuados en e</w:t>
      </w:r>
      <w:r w:rsidRPr="00514255">
        <w:rPr>
          <w:rFonts w:ascii="Book Antiqua" w:eastAsia="Book Antiqua" w:hAnsi="Book Antiqua" w:cs="Book Antiqua"/>
        </w:rPr>
        <w:t>l sistema contributivo local con relación a las empresas foráneas</w:t>
      </w:r>
      <w:r>
        <w:rPr>
          <w:rFonts w:ascii="Book Antiqua" w:eastAsia="Book Antiqua" w:hAnsi="Book Antiqua" w:cs="Book Antiqua"/>
        </w:rPr>
        <w:t>.</w:t>
      </w:r>
    </w:p>
    <w:p w14:paraId="2FE96102" w14:textId="77777777" w:rsidR="00F45D5B" w:rsidRDefault="00F45D5B" w:rsidP="00AD29DF">
      <w:pPr>
        <w:ind w:firstLine="720"/>
        <w:jc w:val="both"/>
        <w:rPr>
          <w:rFonts w:ascii="Book Antiqua" w:eastAsia="Book Antiqua" w:hAnsi="Book Antiqua" w:cs="Book Antiqua"/>
        </w:rPr>
      </w:pPr>
    </w:p>
    <w:p w14:paraId="7B7964BC" w14:textId="5345981D" w:rsidR="00AD29DF" w:rsidRPr="00AD29DF" w:rsidRDefault="00AD29DF" w:rsidP="00AD29DF">
      <w:pPr>
        <w:ind w:firstLine="720"/>
        <w:jc w:val="both"/>
        <w:rPr>
          <w:rFonts w:ascii="Book Antiqua" w:eastAsia="Book Antiqua" w:hAnsi="Book Antiqua" w:cs="Book Antiqua"/>
        </w:rPr>
      </w:pPr>
      <w:r>
        <w:rPr>
          <w:rFonts w:ascii="Book Antiqua" w:eastAsia="Book Antiqua" w:hAnsi="Book Antiqua" w:cs="Book Antiqua"/>
        </w:rPr>
        <w:t xml:space="preserve"> </w:t>
      </w:r>
    </w:p>
    <w:p w14:paraId="7B1A8D75" w14:textId="0433CFFE" w:rsidR="00AD29DF" w:rsidRDefault="00AD29DF" w:rsidP="00AD29DF">
      <w:pPr>
        <w:ind w:firstLine="720"/>
        <w:jc w:val="both"/>
        <w:rPr>
          <w:rFonts w:ascii="Book Antiqua" w:eastAsia="Book Antiqua" w:hAnsi="Book Antiqua" w:cs="Book Antiqua"/>
          <w:bCs/>
          <w:iCs/>
        </w:rPr>
      </w:pPr>
      <w:r w:rsidRPr="00CD3937">
        <w:rPr>
          <w:rFonts w:ascii="Book Antiqua" w:eastAsia="Book Antiqua" w:hAnsi="Book Antiqua" w:cs="Book Antiqua"/>
          <w:lang w:val="es-ES"/>
        </w:rPr>
        <w:lastRenderedPageBreak/>
        <w:t xml:space="preserve">Es importante señalar que </w:t>
      </w:r>
      <w:r w:rsidRPr="00CD3937">
        <w:rPr>
          <w:rFonts w:ascii="Book Antiqua" w:eastAsia="Book Antiqua" w:hAnsi="Book Antiqua" w:cs="Book Antiqua"/>
        </w:rPr>
        <w:t>el foro judicial</w:t>
      </w:r>
      <w:r>
        <w:rPr>
          <w:rFonts w:ascii="Book Antiqua" w:eastAsia="Book Antiqua" w:hAnsi="Book Antiqua" w:cs="Book Antiqua"/>
        </w:rPr>
        <w:t xml:space="preserve"> primario</w:t>
      </w:r>
      <w:r w:rsidRPr="00CD3937">
        <w:rPr>
          <w:rFonts w:ascii="Book Antiqua" w:eastAsia="Book Antiqua" w:hAnsi="Book Antiqua" w:cs="Book Antiqua"/>
        </w:rPr>
        <w:t xml:space="preserve"> interpretó la Ley </w:t>
      </w:r>
      <w:r w:rsidR="002943C4">
        <w:rPr>
          <w:rFonts w:ascii="Book Antiqua" w:eastAsia="Book Antiqua" w:hAnsi="Book Antiqua" w:cs="Book Antiqua"/>
        </w:rPr>
        <w:t xml:space="preserve">Núm. </w:t>
      </w:r>
      <w:r w:rsidRPr="00CD3937">
        <w:rPr>
          <w:rFonts w:ascii="Book Antiqua" w:eastAsia="Book Antiqua" w:hAnsi="Book Antiqua" w:cs="Book Antiqua"/>
        </w:rPr>
        <w:t xml:space="preserve">52-2022, y como resultado, declaró inválido </w:t>
      </w:r>
      <w:r w:rsidR="00842685">
        <w:rPr>
          <w:rFonts w:ascii="Book Antiqua" w:eastAsia="Book Antiqua" w:hAnsi="Book Antiqua" w:cs="Book Antiqua"/>
        </w:rPr>
        <w:t>su</w:t>
      </w:r>
      <w:r w:rsidRPr="00CD3937">
        <w:rPr>
          <w:rFonts w:ascii="Book Antiqua" w:eastAsia="Book Antiqua" w:hAnsi="Book Antiqua" w:cs="Book Antiqua"/>
        </w:rPr>
        <w:t xml:space="preserve"> </w:t>
      </w:r>
      <w:r w:rsidR="00842685">
        <w:rPr>
          <w:rFonts w:ascii="Book Antiqua" w:eastAsia="Book Antiqua" w:hAnsi="Book Antiqua" w:cs="Book Antiqua"/>
        </w:rPr>
        <w:t>a</w:t>
      </w:r>
      <w:r w:rsidRPr="00CD3937">
        <w:rPr>
          <w:rFonts w:ascii="Book Antiqua" w:eastAsia="Book Antiqua" w:hAnsi="Book Antiqua" w:cs="Book Antiqua"/>
        </w:rPr>
        <w:t>rtículo 86, mediante el cual se pretendía enmendar la Ley Notarial. La</w:t>
      </w:r>
      <w:r>
        <w:rPr>
          <w:rFonts w:ascii="Book Antiqua" w:eastAsia="Book Antiqua" w:hAnsi="Book Antiqua" w:cs="Book Antiqua"/>
        </w:rPr>
        <w:t xml:space="preserve"> declaración de</w:t>
      </w:r>
      <w:r w:rsidRPr="00CD3937">
        <w:rPr>
          <w:rFonts w:ascii="Book Antiqua" w:eastAsia="Book Antiqua" w:hAnsi="Book Antiqua" w:cs="Book Antiqua"/>
        </w:rPr>
        <w:t xml:space="preserve"> invalidez del </w:t>
      </w:r>
      <w:r w:rsidR="00842685">
        <w:rPr>
          <w:rFonts w:ascii="Book Antiqua" w:eastAsia="Book Antiqua" w:hAnsi="Book Antiqua" w:cs="Book Antiqua"/>
        </w:rPr>
        <w:t>a</w:t>
      </w:r>
      <w:r w:rsidRPr="00CD3937">
        <w:rPr>
          <w:rFonts w:ascii="Book Antiqua" w:eastAsia="Book Antiqua" w:hAnsi="Book Antiqua" w:cs="Book Antiqua"/>
        </w:rPr>
        <w:t xml:space="preserve">rtículo 86 de la Ley </w:t>
      </w:r>
      <w:r w:rsidR="00842685">
        <w:rPr>
          <w:rFonts w:ascii="Book Antiqua" w:eastAsia="Book Antiqua" w:hAnsi="Book Antiqua" w:cs="Book Antiqua"/>
        </w:rPr>
        <w:t xml:space="preserve">Núm. </w:t>
      </w:r>
      <w:r w:rsidRPr="00CD3937">
        <w:rPr>
          <w:rFonts w:ascii="Book Antiqua" w:eastAsia="Book Antiqua" w:hAnsi="Book Antiqua" w:cs="Book Antiqua"/>
        </w:rPr>
        <w:t xml:space="preserve">52-2022, </w:t>
      </w:r>
      <w:r>
        <w:rPr>
          <w:rFonts w:ascii="Book Antiqua" w:eastAsia="Book Antiqua" w:hAnsi="Book Antiqua" w:cs="Book Antiqua"/>
        </w:rPr>
        <w:t>sirvió como catalizador para</w:t>
      </w:r>
      <w:r w:rsidRPr="00CD3937">
        <w:rPr>
          <w:rFonts w:ascii="Book Antiqua" w:eastAsia="Book Antiqua" w:hAnsi="Book Antiqua" w:cs="Book Antiqua"/>
        </w:rPr>
        <w:t xml:space="preserve"> </w:t>
      </w:r>
      <w:r>
        <w:rPr>
          <w:rFonts w:ascii="Book Antiqua" w:eastAsia="Book Antiqua" w:hAnsi="Book Antiqua" w:cs="Book Antiqua"/>
        </w:rPr>
        <w:t xml:space="preserve">la presentación de esta </w:t>
      </w:r>
      <w:r w:rsidRPr="00CD3937">
        <w:rPr>
          <w:rFonts w:ascii="Book Antiqua" w:eastAsia="Book Antiqua" w:hAnsi="Book Antiqua" w:cs="Book Antiqua"/>
        </w:rPr>
        <w:t>medida, la cual es de naturaleza rectificadora.</w:t>
      </w:r>
      <w:r>
        <w:rPr>
          <w:rFonts w:ascii="Book Antiqua" w:eastAsia="Book Antiqua" w:hAnsi="Book Antiqua" w:cs="Book Antiqua"/>
        </w:rPr>
        <w:t xml:space="preserve"> </w:t>
      </w:r>
    </w:p>
    <w:p w14:paraId="12B03244" w14:textId="777E1C79" w:rsidR="00AD29DF" w:rsidRDefault="003F1041" w:rsidP="00AD29DF">
      <w:pPr>
        <w:ind w:firstLine="720"/>
        <w:jc w:val="both"/>
        <w:rPr>
          <w:rFonts w:ascii="Book Antiqua" w:eastAsia="Book Antiqua" w:hAnsi="Book Antiqua" w:cs="Book Antiqua"/>
        </w:rPr>
      </w:pPr>
      <w:r>
        <w:rPr>
          <w:rFonts w:ascii="Book Antiqua" w:eastAsia="Book Antiqua" w:hAnsi="Book Antiqua" w:cs="Book Antiqua"/>
        </w:rPr>
        <w:t xml:space="preserve">El </w:t>
      </w:r>
      <w:r w:rsidR="00AD29DF" w:rsidRPr="0087563F">
        <w:rPr>
          <w:rFonts w:ascii="Book Antiqua" w:eastAsia="Book Antiqua" w:hAnsi="Book Antiqua" w:cs="Book Antiqua"/>
        </w:rPr>
        <w:t>4 de julio de 2022</w:t>
      </w:r>
      <w:r>
        <w:rPr>
          <w:rFonts w:ascii="Book Antiqua" w:eastAsia="Book Antiqua" w:hAnsi="Book Antiqua" w:cs="Book Antiqua"/>
        </w:rPr>
        <w:t>,</w:t>
      </w:r>
      <w:r w:rsidR="00AD29DF">
        <w:rPr>
          <w:rFonts w:ascii="Book Antiqua" w:eastAsia="Book Antiqua" w:hAnsi="Book Antiqua" w:cs="Book Antiqua"/>
        </w:rPr>
        <w:t xml:space="preserve"> </w:t>
      </w:r>
      <w:r w:rsidR="00AD29DF" w:rsidRPr="0087563F">
        <w:rPr>
          <w:rFonts w:ascii="Book Antiqua" w:eastAsia="Book Antiqua" w:hAnsi="Book Antiqua" w:cs="Book Antiqua"/>
        </w:rPr>
        <w:t xml:space="preserve">la Asociación de Abogados de Puerto Rico presentó una demanda de sentencia declaratoria mediante la cual solicitó que se </w:t>
      </w:r>
      <w:r w:rsidR="00AD29DF">
        <w:rPr>
          <w:rFonts w:ascii="Book Antiqua" w:eastAsia="Book Antiqua" w:hAnsi="Book Antiqua" w:cs="Book Antiqua"/>
        </w:rPr>
        <w:t xml:space="preserve">declarara </w:t>
      </w:r>
      <w:r w:rsidR="00AD29DF" w:rsidRPr="0087563F">
        <w:rPr>
          <w:rFonts w:ascii="Book Antiqua" w:eastAsia="Book Antiqua" w:hAnsi="Book Antiqua" w:cs="Book Antiqua"/>
        </w:rPr>
        <w:t xml:space="preserve">la inconstitucionalidad del </w:t>
      </w:r>
      <w:r w:rsidR="00AB7319">
        <w:rPr>
          <w:rFonts w:ascii="Book Antiqua" w:eastAsia="Book Antiqua" w:hAnsi="Book Antiqua" w:cs="Book Antiqua"/>
        </w:rPr>
        <w:t>a</w:t>
      </w:r>
      <w:r w:rsidR="00AD29DF" w:rsidRPr="0087563F">
        <w:rPr>
          <w:rFonts w:ascii="Book Antiqua" w:eastAsia="Book Antiqua" w:hAnsi="Book Antiqua" w:cs="Book Antiqua"/>
        </w:rPr>
        <w:t>rtículo 86 de la Ley Núm. 52-2022</w:t>
      </w:r>
      <w:r w:rsidR="00AD29DF">
        <w:rPr>
          <w:rFonts w:ascii="Book Antiqua" w:eastAsia="Book Antiqua" w:hAnsi="Book Antiqua" w:cs="Book Antiqua"/>
        </w:rPr>
        <w:t xml:space="preserve">. El planteamiento central de la parte peticionaria estribó en que el mencionado Artículo </w:t>
      </w:r>
      <w:r w:rsidR="00AD29DF" w:rsidRPr="0087563F">
        <w:rPr>
          <w:rFonts w:ascii="Book Antiqua" w:eastAsia="Book Antiqua" w:hAnsi="Book Antiqua" w:cs="Book Antiqua"/>
        </w:rPr>
        <w:t>no guarda</w:t>
      </w:r>
      <w:r w:rsidR="00AD29DF">
        <w:rPr>
          <w:rFonts w:ascii="Book Antiqua" w:eastAsia="Book Antiqua" w:hAnsi="Book Antiqua" w:cs="Book Antiqua"/>
        </w:rPr>
        <w:t>ba correlación con lo establecido previamente por el Poder Ejecutivo</w:t>
      </w:r>
      <w:r w:rsidR="00AD29DF" w:rsidRPr="0087563F">
        <w:rPr>
          <w:rFonts w:ascii="Book Antiqua" w:eastAsia="Book Antiqua" w:hAnsi="Book Antiqua" w:cs="Book Antiqua"/>
        </w:rPr>
        <w:t xml:space="preserve"> </w:t>
      </w:r>
      <w:r w:rsidR="00AD29DF">
        <w:rPr>
          <w:rFonts w:ascii="Book Antiqua" w:eastAsia="Book Antiqua" w:hAnsi="Book Antiqua" w:cs="Book Antiqua"/>
        </w:rPr>
        <w:t xml:space="preserve">en la medida </w:t>
      </w:r>
      <w:r w:rsidR="00AD29DF" w:rsidRPr="0087563F">
        <w:rPr>
          <w:rFonts w:ascii="Book Antiqua" w:eastAsia="Book Antiqua" w:hAnsi="Book Antiqua" w:cs="Book Antiqua"/>
        </w:rPr>
        <w:t xml:space="preserve">de ley original y </w:t>
      </w:r>
      <w:r w:rsidR="00AD29DF" w:rsidRPr="007651BD">
        <w:rPr>
          <w:rFonts w:ascii="Book Antiqua" w:eastAsia="Book Antiqua" w:hAnsi="Book Antiqua" w:cs="Book Antiqua"/>
          <w:b/>
          <w:bCs/>
        </w:rPr>
        <w:t xml:space="preserve">por </w:t>
      </w:r>
      <w:r w:rsidR="00AD29DF">
        <w:rPr>
          <w:rFonts w:ascii="Book Antiqua" w:eastAsia="Book Antiqua" w:hAnsi="Book Antiqua" w:cs="Book Antiqua"/>
          <w:b/>
          <w:bCs/>
        </w:rPr>
        <w:t xml:space="preserve">ir en contravención de </w:t>
      </w:r>
      <w:r w:rsidR="00AD29DF" w:rsidRPr="007651BD">
        <w:rPr>
          <w:rFonts w:ascii="Book Antiqua" w:eastAsia="Book Antiqua" w:hAnsi="Book Antiqua" w:cs="Book Antiqua"/>
          <w:b/>
          <w:bCs/>
        </w:rPr>
        <w:t>la norma constitucional de una ley, un asunto</w:t>
      </w:r>
      <w:r w:rsidR="00AD29DF">
        <w:rPr>
          <w:rFonts w:ascii="Book Antiqua" w:eastAsia="Book Antiqua" w:hAnsi="Book Antiqua" w:cs="Book Antiqua"/>
        </w:rPr>
        <w:t>.</w:t>
      </w:r>
      <w:r w:rsidR="00AD29DF" w:rsidRPr="00530C4D">
        <w:t xml:space="preserve"> </w:t>
      </w:r>
      <w:r w:rsidR="00AD29DF">
        <w:rPr>
          <w:rFonts w:ascii="Book Antiqua" w:eastAsia="Book Antiqua" w:hAnsi="Book Antiqua" w:cs="Book Antiqua"/>
        </w:rPr>
        <w:t xml:space="preserve">Luego de ello, </w:t>
      </w:r>
      <w:r w:rsidR="00AD29DF" w:rsidRPr="00530C4D">
        <w:rPr>
          <w:rFonts w:ascii="Book Antiqua" w:eastAsia="Book Antiqua" w:hAnsi="Book Antiqua" w:cs="Book Antiqua"/>
        </w:rPr>
        <w:t xml:space="preserve">el 8 de julio de 2022, el Colegio de Abogados y Abogadas de Puerto Rico presentó una demanda por fundamentos </w:t>
      </w:r>
      <w:r w:rsidR="00AD29DF">
        <w:rPr>
          <w:rFonts w:ascii="Book Antiqua" w:eastAsia="Book Antiqua" w:hAnsi="Book Antiqua" w:cs="Book Antiqua"/>
        </w:rPr>
        <w:t xml:space="preserve">análogos </w:t>
      </w:r>
      <w:r w:rsidR="00AD29DF" w:rsidRPr="00530C4D">
        <w:rPr>
          <w:rFonts w:ascii="Book Antiqua" w:eastAsia="Book Antiqua" w:hAnsi="Book Antiqua" w:cs="Book Antiqua"/>
        </w:rPr>
        <w:t>y solicitó que: 1) se dict</w:t>
      </w:r>
      <w:r w:rsidR="00AD29DF">
        <w:rPr>
          <w:rFonts w:ascii="Book Antiqua" w:eastAsia="Book Antiqua" w:hAnsi="Book Antiqua" w:cs="Book Antiqua"/>
        </w:rPr>
        <w:t>ase</w:t>
      </w:r>
      <w:r w:rsidR="00AD29DF" w:rsidRPr="00530C4D">
        <w:rPr>
          <w:rFonts w:ascii="Book Antiqua" w:eastAsia="Book Antiqua" w:hAnsi="Book Antiqua" w:cs="Book Antiqua"/>
        </w:rPr>
        <w:t xml:space="preserve"> un injunction preliminar y permanente para paralizar la aplicación del </w:t>
      </w:r>
      <w:r w:rsidR="00AB7319">
        <w:rPr>
          <w:rFonts w:ascii="Book Antiqua" w:eastAsia="Book Antiqua" w:hAnsi="Book Antiqua" w:cs="Book Antiqua"/>
        </w:rPr>
        <w:t>a</w:t>
      </w:r>
      <w:r w:rsidR="00AD29DF" w:rsidRPr="00530C4D">
        <w:rPr>
          <w:rFonts w:ascii="Book Antiqua" w:eastAsia="Book Antiqua" w:hAnsi="Book Antiqua" w:cs="Book Antiqua"/>
        </w:rPr>
        <w:t xml:space="preserve">rtículo 11 de la Ley Notarial, según enmendado por el </w:t>
      </w:r>
      <w:r w:rsidR="00AB7319">
        <w:rPr>
          <w:rFonts w:ascii="Book Antiqua" w:eastAsia="Book Antiqua" w:hAnsi="Book Antiqua" w:cs="Book Antiqua"/>
        </w:rPr>
        <w:t>a</w:t>
      </w:r>
      <w:r w:rsidR="00AD29DF" w:rsidRPr="00530C4D">
        <w:rPr>
          <w:rFonts w:ascii="Book Antiqua" w:eastAsia="Book Antiqua" w:hAnsi="Book Antiqua" w:cs="Book Antiqua"/>
        </w:rPr>
        <w:t>rtículo 86 de la Ley Núm. 52-2022;</w:t>
      </w:r>
      <w:r w:rsidR="00AD29DF">
        <w:rPr>
          <w:rFonts w:ascii="Book Antiqua" w:eastAsia="Book Antiqua" w:hAnsi="Book Antiqua" w:cs="Book Antiqua"/>
        </w:rPr>
        <w:t xml:space="preserve"> </w:t>
      </w:r>
      <w:r w:rsidR="00AD29DF" w:rsidRPr="00530C4D">
        <w:rPr>
          <w:rFonts w:ascii="Book Antiqua" w:eastAsia="Book Antiqua" w:hAnsi="Book Antiqua" w:cs="Book Antiqua"/>
        </w:rPr>
        <w:t>2) se señal</w:t>
      </w:r>
      <w:r w:rsidR="00AD29DF">
        <w:rPr>
          <w:rFonts w:ascii="Book Antiqua" w:eastAsia="Book Antiqua" w:hAnsi="Book Antiqua" w:cs="Book Antiqua"/>
        </w:rPr>
        <w:t>ase</w:t>
      </w:r>
      <w:r w:rsidR="00AD29DF" w:rsidRPr="00530C4D">
        <w:rPr>
          <w:rFonts w:ascii="Book Antiqua" w:eastAsia="Book Antiqua" w:hAnsi="Book Antiqua" w:cs="Book Antiqua"/>
        </w:rPr>
        <w:t xml:space="preserve"> una vista urgente para atender la solicitud de injunction preliminar; y 3) se declar</w:t>
      </w:r>
      <w:r w:rsidR="00AD29DF">
        <w:rPr>
          <w:rFonts w:ascii="Book Antiqua" w:eastAsia="Book Antiqua" w:hAnsi="Book Antiqua" w:cs="Book Antiqua"/>
        </w:rPr>
        <w:t xml:space="preserve">ase la </w:t>
      </w:r>
      <w:r w:rsidR="00AD29DF" w:rsidRPr="00530C4D">
        <w:rPr>
          <w:rFonts w:ascii="Book Antiqua" w:eastAsia="Book Antiqua" w:hAnsi="Book Antiqua" w:cs="Book Antiqua"/>
        </w:rPr>
        <w:t>inconstitucional</w:t>
      </w:r>
      <w:r w:rsidR="00AD29DF">
        <w:rPr>
          <w:rFonts w:ascii="Book Antiqua" w:eastAsia="Book Antiqua" w:hAnsi="Book Antiqua" w:cs="Book Antiqua"/>
        </w:rPr>
        <w:t>idad</w:t>
      </w:r>
      <w:r w:rsidR="00AD29DF" w:rsidRPr="00530C4D">
        <w:rPr>
          <w:rFonts w:ascii="Book Antiqua" w:eastAsia="Book Antiqua" w:hAnsi="Book Antiqua" w:cs="Book Antiqua"/>
        </w:rPr>
        <w:t xml:space="preserve"> y nul</w:t>
      </w:r>
      <w:r w:rsidR="00AD29DF">
        <w:rPr>
          <w:rFonts w:ascii="Book Antiqua" w:eastAsia="Book Antiqua" w:hAnsi="Book Antiqua" w:cs="Book Antiqua"/>
        </w:rPr>
        <w:t>idad</w:t>
      </w:r>
      <w:r w:rsidR="00AD29DF" w:rsidRPr="00530C4D">
        <w:rPr>
          <w:rFonts w:ascii="Book Antiqua" w:eastAsia="Book Antiqua" w:hAnsi="Book Antiqua" w:cs="Book Antiqua"/>
        </w:rPr>
        <w:t xml:space="preserve"> </w:t>
      </w:r>
      <w:r w:rsidR="00AD29DF">
        <w:rPr>
          <w:rFonts w:ascii="Book Antiqua" w:eastAsia="Book Antiqua" w:hAnsi="Book Antiqua" w:cs="Book Antiqua"/>
        </w:rPr>
        <w:t>d</w:t>
      </w:r>
      <w:r w:rsidR="00AD29DF" w:rsidRPr="00530C4D">
        <w:rPr>
          <w:rFonts w:ascii="Book Antiqua" w:eastAsia="Book Antiqua" w:hAnsi="Book Antiqua" w:cs="Book Antiqua"/>
        </w:rPr>
        <w:t xml:space="preserve">el </w:t>
      </w:r>
      <w:r w:rsidR="00AB7319">
        <w:rPr>
          <w:rFonts w:ascii="Book Antiqua" w:eastAsia="Book Antiqua" w:hAnsi="Book Antiqua" w:cs="Book Antiqua"/>
        </w:rPr>
        <w:t>a</w:t>
      </w:r>
      <w:r w:rsidR="00AD29DF" w:rsidRPr="00530C4D">
        <w:rPr>
          <w:rFonts w:ascii="Book Antiqua" w:eastAsia="Book Antiqua" w:hAnsi="Book Antiqua" w:cs="Book Antiqua"/>
        </w:rPr>
        <w:t xml:space="preserve">rtículo 86 de la Ley Núm. 52-2022 por haberse enmendado </w:t>
      </w:r>
      <w:r w:rsidR="00AD29DF">
        <w:rPr>
          <w:rFonts w:ascii="Book Antiqua" w:eastAsia="Book Antiqua" w:hAnsi="Book Antiqua" w:cs="Book Antiqua"/>
        </w:rPr>
        <w:t xml:space="preserve">en clara </w:t>
      </w:r>
      <w:r w:rsidR="00AD29DF" w:rsidRPr="00530C4D">
        <w:rPr>
          <w:rFonts w:ascii="Book Antiqua" w:eastAsia="Book Antiqua" w:hAnsi="Book Antiqua" w:cs="Book Antiqua"/>
        </w:rPr>
        <w:t>violación a la Constitución de Puerto Rico</w:t>
      </w:r>
      <w:r w:rsidR="00AD29DF">
        <w:rPr>
          <w:rFonts w:ascii="Book Antiqua" w:eastAsia="Book Antiqua" w:hAnsi="Book Antiqua" w:cs="Book Antiqua"/>
        </w:rPr>
        <w:t>.</w:t>
      </w:r>
    </w:p>
    <w:p w14:paraId="695AF6EA" w14:textId="0E69279D" w:rsidR="00AD29DF" w:rsidRPr="00183E4E" w:rsidRDefault="00AD29DF" w:rsidP="00AD29DF">
      <w:pPr>
        <w:ind w:firstLine="720"/>
        <w:jc w:val="both"/>
        <w:rPr>
          <w:rFonts w:ascii="Book Antiqua" w:eastAsia="Book Antiqua" w:hAnsi="Book Antiqua" w:cs="Book Antiqua"/>
        </w:rPr>
      </w:pPr>
      <w:r w:rsidRPr="00E45E45">
        <w:rPr>
          <w:rFonts w:ascii="Book Antiqua" w:eastAsia="Book Antiqua" w:hAnsi="Book Antiqua" w:cs="Book Antiqua"/>
        </w:rPr>
        <w:t xml:space="preserve"> </w:t>
      </w:r>
      <w:r>
        <w:rPr>
          <w:rFonts w:ascii="Book Antiqua" w:eastAsia="Book Antiqua" w:hAnsi="Book Antiqua" w:cs="Book Antiqua"/>
        </w:rPr>
        <w:t>L</w:t>
      </w:r>
      <w:r w:rsidRPr="00E45E45">
        <w:rPr>
          <w:rFonts w:ascii="Book Antiqua" w:eastAsia="Book Antiqua" w:hAnsi="Book Antiqua" w:cs="Book Antiqua"/>
        </w:rPr>
        <w:t xml:space="preserve">a </w:t>
      </w:r>
      <w:r w:rsidR="00AB7319">
        <w:rPr>
          <w:rFonts w:ascii="Book Antiqua" w:eastAsia="Book Antiqua" w:hAnsi="Book Antiqua" w:cs="Book Antiqua"/>
        </w:rPr>
        <w:t>s</w:t>
      </w:r>
      <w:r w:rsidRPr="00E45E45">
        <w:rPr>
          <w:rFonts w:ascii="Book Antiqua" w:eastAsia="Book Antiqua" w:hAnsi="Book Antiqua" w:cs="Book Antiqua"/>
        </w:rPr>
        <w:t xml:space="preserve">ección 17 del </w:t>
      </w:r>
      <w:r w:rsidR="00AB7319">
        <w:rPr>
          <w:rFonts w:ascii="Book Antiqua" w:eastAsia="Book Antiqua" w:hAnsi="Book Antiqua" w:cs="Book Antiqua"/>
        </w:rPr>
        <w:t>a</w:t>
      </w:r>
      <w:r w:rsidRPr="00E45E45">
        <w:rPr>
          <w:rFonts w:ascii="Book Antiqua" w:eastAsia="Book Antiqua" w:hAnsi="Book Antiqua" w:cs="Book Antiqua"/>
        </w:rPr>
        <w:t>rtículo III</w:t>
      </w:r>
      <w:r>
        <w:rPr>
          <w:rFonts w:ascii="Book Antiqua" w:eastAsia="Book Antiqua" w:hAnsi="Book Antiqua" w:cs="Book Antiqua"/>
        </w:rPr>
        <w:t xml:space="preserve"> </w:t>
      </w:r>
      <w:r w:rsidRPr="00183E4E">
        <w:rPr>
          <w:rFonts w:ascii="Book Antiqua" w:eastAsia="Book Antiqua" w:hAnsi="Book Antiqua" w:cs="Book Antiqua"/>
        </w:rPr>
        <w:t>de la Constitución de Puerto Rico</w:t>
      </w:r>
      <w:r>
        <w:rPr>
          <w:rFonts w:ascii="Book Antiqua" w:eastAsia="Book Antiqua" w:hAnsi="Book Antiqua" w:cs="Book Antiqua"/>
        </w:rPr>
        <w:t>,</w:t>
      </w:r>
      <w:r w:rsidRPr="00183E4E">
        <w:rPr>
          <w:rFonts w:ascii="Book Antiqua" w:eastAsia="Book Antiqua" w:hAnsi="Book Antiqua" w:cs="Book Antiqua"/>
        </w:rPr>
        <w:t xml:space="preserve"> prohíbe que un proyecto de ley contenga más de un asunto y que estos no estén expresamente incluidos en su título. Este mandato constitucional impide que se incluyan en las piezas legislativas asuntos extraños y ajenos que no tienen relación alguna con la legislación propuesta. El requisito establecido en nuestro estatuto máximo </w:t>
      </w:r>
      <w:r w:rsidRPr="00E45E45">
        <w:rPr>
          <w:rFonts w:ascii="Book Antiqua" w:eastAsia="Book Antiqua" w:hAnsi="Book Antiqua" w:cs="Book Antiqua"/>
          <w:b/>
          <w:bCs/>
        </w:rPr>
        <w:t>exige manifiestamente que toda ley aprobada por la Asamblea Legislativa regule un solo asunto o materia; y que ninguna enmienda a un proyecto de ley cambie su propósito original o incorpore materias extrañas al mismo</w:t>
      </w:r>
      <w:r w:rsidRPr="00183E4E">
        <w:rPr>
          <w:rFonts w:ascii="Book Antiqua" w:eastAsia="Book Antiqua" w:hAnsi="Book Antiqua" w:cs="Book Antiqua"/>
        </w:rPr>
        <w:t xml:space="preserve">. Es por ello, que el </w:t>
      </w:r>
      <w:r w:rsidR="00025394">
        <w:rPr>
          <w:rFonts w:ascii="Book Antiqua" w:eastAsia="Book Antiqua" w:hAnsi="Book Antiqua" w:cs="Book Antiqua"/>
        </w:rPr>
        <w:t>a</w:t>
      </w:r>
      <w:r w:rsidRPr="00183E4E">
        <w:rPr>
          <w:rFonts w:ascii="Book Antiqua" w:eastAsia="Book Antiqua" w:hAnsi="Book Antiqua" w:cs="Book Antiqua"/>
        </w:rPr>
        <w:t>rt</w:t>
      </w:r>
      <w:r w:rsidR="00025394">
        <w:rPr>
          <w:rFonts w:ascii="Book Antiqua" w:eastAsia="Book Antiqua" w:hAnsi="Book Antiqua" w:cs="Book Antiqua"/>
        </w:rPr>
        <w:t>í</w:t>
      </w:r>
      <w:r w:rsidRPr="00183E4E">
        <w:rPr>
          <w:rFonts w:ascii="Book Antiqua" w:eastAsia="Book Antiqua" w:hAnsi="Book Antiqua" w:cs="Book Antiqua"/>
        </w:rPr>
        <w:t xml:space="preserve">culo 86 de la Ley </w:t>
      </w:r>
      <w:r w:rsidR="002943C4">
        <w:rPr>
          <w:rFonts w:ascii="Book Antiqua" w:eastAsia="Book Antiqua" w:hAnsi="Book Antiqua" w:cs="Book Antiqua"/>
        </w:rPr>
        <w:t xml:space="preserve">Núm. </w:t>
      </w:r>
      <w:r w:rsidRPr="00183E4E">
        <w:rPr>
          <w:rFonts w:ascii="Book Antiqua" w:eastAsia="Book Antiqua" w:hAnsi="Book Antiqua" w:cs="Book Antiqua"/>
        </w:rPr>
        <w:t xml:space="preserve">52-2022 que enmienda el </w:t>
      </w:r>
      <w:r w:rsidR="002943C4">
        <w:rPr>
          <w:rFonts w:ascii="Book Antiqua" w:eastAsia="Book Antiqua" w:hAnsi="Book Antiqua" w:cs="Book Antiqua"/>
        </w:rPr>
        <w:t>a</w:t>
      </w:r>
      <w:r w:rsidRPr="00183E4E">
        <w:rPr>
          <w:rFonts w:ascii="Book Antiqua" w:eastAsia="Book Antiqua" w:hAnsi="Book Antiqua" w:cs="Book Antiqua"/>
        </w:rPr>
        <w:t>rtículo 11 de la Ley</w:t>
      </w:r>
      <w:r w:rsidR="00025394">
        <w:rPr>
          <w:rFonts w:ascii="Book Antiqua" w:eastAsia="Book Antiqua" w:hAnsi="Book Antiqua" w:cs="Book Antiqua"/>
        </w:rPr>
        <w:t xml:space="preserve"> Notarial</w:t>
      </w:r>
      <w:r>
        <w:rPr>
          <w:rFonts w:ascii="Book Antiqua" w:eastAsia="Book Antiqua" w:hAnsi="Book Antiqua" w:cs="Book Antiqua"/>
        </w:rPr>
        <w:t>,</w:t>
      </w:r>
      <w:r w:rsidRPr="00183E4E">
        <w:rPr>
          <w:rFonts w:ascii="Book Antiqua" w:eastAsia="Book Antiqua" w:hAnsi="Book Antiqua" w:cs="Book Antiqua"/>
        </w:rPr>
        <w:t xml:space="preserve"> va en contravención de lo dispuesto en la </w:t>
      </w:r>
      <w:r w:rsidR="002943C4">
        <w:rPr>
          <w:rFonts w:ascii="Book Antiqua" w:eastAsia="Book Antiqua" w:hAnsi="Book Antiqua" w:cs="Book Antiqua"/>
        </w:rPr>
        <w:t>s</w:t>
      </w:r>
      <w:r w:rsidRPr="00183E4E">
        <w:rPr>
          <w:rFonts w:ascii="Book Antiqua" w:eastAsia="Book Antiqua" w:hAnsi="Book Antiqua" w:cs="Book Antiqua"/>
        </w:rPr>
        <w:t xml:space="preserve">ección 17 del </w:t>
      </w:r>
      <w:r w:rsidR="002943C4">
        <w:rPr>
          <w:rFonts w:ascii="Book Antiqua" w:eastAsia="Book Antiqua" w:hAnsi="Book Antiqua" w:cs="Book Antiqua"/>
        </w:rPr>
        <w:t>a</w:t>
      </w:r>
      <w:r w:rsidRPr="00183E4E">
        <w:rPr>
          <w:rFonts w:ascii="Book Antiqua" w:eastAsia="Book Antiqua" w:hAnsi="Book Antiqua" w:cs="Book Antiqua"/>
        </w:rPr>
        <w:t xml:space="preserve">rtículo III de la Constitución de Puerto Rico. </w:t>
      </w:r>
    </w:p>
    <w:p w14:paraId="03407429" w14:textId="3980D459" w:rsidR="00AD29DF" w:rsidRDefault="00AD29DF" w:rsidP="00AD29DF">
      <w:pPr>
        <w:ind w:firstLine="720"/>
        <w:jc w:val="both"/>
        <w:rPr>
          <w:rFonts w:ascii="Book Antiqua" w:eastAsia="Book Antiqua" w:hAnsi="Book Antiqua" w:cs="Book Antiqua"/>
          <w:lang w:val="es-ES"/>
        </w:rPr>
      </w:pPr>
      <w:r w:rsidRPr="00183E4E">
        <w:rPr>
          <w:rFonts w:ascii="Book Antiqua" w:eastAsia="Book Antiqua" w:hAnsi="Book Antiqua" w:cs="Book Antiqua"/>
          <w:lang w:val="es-ES"/>
        </w:rPr>
        <w:t xml:space="preserve">En el párrafo introductorio de su Sentencia, el Honorable Foro Primario expresó: </w:t>
      </w:r>
    </w:p>
    <w:p w14:paraId="6A8EBCEC" w14:textId="77777777" w:rsidR="00BA1765" w:rsidRDefault="00BA1765" w:rsidP="00AD29DF">
      <w:pPr>
        <w:ind w:firstLine="720"/>
        <w:jc w:val="both"/>
        <w:rPr>
          <w:rFonts w:ascii="Book Antiqua" w:eastAsia="Book Antiqua" w:hAnsi="Book Antiqua" w:cs="Book Antiqua"/>
          <w:lang w:val="es-ES"/>
        </w:rPr>
      </w:pPr>
    </w:p>
    <w:p w14:paraId="29611D0C" w14:textId="77777777" w:rsidR="0043053F" w:rsidRDefault="0043053F" w:rsidP="00AD29DF">
      <w:pPr>
        <w:ind w:firstLine="720"/>
        <w:jc w:val="both"/>
        <w:rPr>
          <w:rFonts w:ascii="Book Antiqua" w:eastAsia="Book Antiqua" w:hAnsi="Book Antiqua" w:cs="Book Antiqua"/>
          <w:lang w:val="es-ES"/>
        </w:rPr>
      </w:pPr>
    </w:p>
    <w:p w14:paraId="696C85FB" w14:textId="77777777" w:rsidR="0043053F" w:rsidRDefault="0043053F" w:rsidP="00AD29DF">
      <w:pPr>
        <w:ind w:firstLine="720"/>
        <w:jc w:val="both"/>
        <w:rPr>
          <w:rFonts w:ascii="Book Antiqua" w:eastAsia="Book Antiqua" w:hAnsi="Book Antiqua" w:cs="Book Antiqua"/>
          <w:lang w:val="es-ES"/>
        </w:rPr>
      </w:pPr>
    </w:p>
    <w:p w14:paraId="0D442B4F" w14:textId="77777777" w:rsidR="00BA1765" w:rsidRPr="00AD29DF" w:rsidRDefault="00BA1765" w:rsidP="00AD29DF">
      <w:pPr>
        <w:ind w:firstLine="720"/>
        <w:jc w:val="both"/>
        <w:rPr>
          <w:rFonts w:ascii="Book Antiqua" w:eastAsia="Book Antiqua" w:hAnsi="Book Antiqua" w:cs="Book Antiqua"/>
          <w:lang w:val="es-ES"/>
        </w:rPr>
      </w:pPr>
    </w:p>
    <w:p w14:paraId="6E87400F" w14:textId="33EE7BBB" w:rsidR="00AD29DF" w:rsidRPr="00AD29DF" w:rsidRDefault="00AD29DF" w:rsidP="00AD29DF">
      <w:pPr>
        <w:ind w:left="720"/>
        <w:jc w:val="both"/>
        <w:rPr>
          <w:rFonts w:ascii="Book Antiqua" w:eastAsia="Book Antiqua" w:hAnsi="Book Antiqua" w:cs="Book Antiqua"/>
        </w:rPr>
      </w:pPr>
      <w:r w:rsidRPr="00183E4E">
        <w:rPr>
          <w:rFonts w:ascii="Book Antiqua" w:eastAsia="Book Antiqua" w:hAnsi="Book Antiqua" w:cs="Book Antiqua"/>
          <w:i/>
          <w:iCs/>
        </w:rPr>
        <w:lastRenderedPageBreak/>
        <w:t xml:space="preserve">“En esta ocasión, nos corresponde determinar si es nulo el Artículo 86 de la Ley Núm. 52- 2022 (el cual enmendó un proyecto de ley cuyo asunto general es sobre el tratamiento contributivo a entidades foráneas para imponer a los notarios y las notarias de Puerto Rico el deber de requerir una tasación, un plano de mensura y un estudio de título al autorizar cualquier escritura relacionada con el dominio de un bien inmueble) por violentar la Sección 17 del Artículo III de la Constitución del Estado Libre Asociado de Puerto Rico. En lo pertinente, esta disposición constitucional prohíbe la aprobación de leyes que contengan más de un asunto, así como las enmiendas que cambien el propósito original de un proyecto de ley o le incorporen materias extrañas. Por entender que </w:t>
      </w:r>
      <w:r w:rsidRPr="00183E4E">
        <w:rPr>
          <w:rFonts w:ascii="Book Antiqua" w:eastAsia="Book Antiqua" w:hAnsi="Book Antiqua" w:cs="Book Antiqua"/>
          <w:b/>
          <w:bCs/>
          <w:i/>
          <w:iCs/>
        </w:rPr>
        <w:t>el mencionado Artículo 86 es precisamente el tipo de enmienda legislativa que nuestra Constitución prohíbe categóricamente, adelantamos que procede declarar su nulidad y que se tenga por no puesto</w:t>
      </w:r>
      <w:r w:rsidRPr="00183E4E">
        <w:rPr>
          <w:rFonts w:ascii="Book Antiqua" w:eastAsia="Book Antiqua" w:hAnsi="Book Antiqua" w:cs="Book Antiqua"/>
          <w:i/>
          <w:iCs/>
        </w:rPr>
        <w:t>”.</w:t>
      </w:r>
      <w:r w:rsidR="00B6007B">
        <w:rPr>
          <w:rStyle w:val="FootnoteReference"/>
          <w:rFonts w:ascii="Book Antiqua" w:eastAsia="Book Antiqua" w:hAnsi="Book Antiqua" w:cs="Book Antiqua"/>
          <w:i/>
          <w:iCs/>
        </w:rPr>
        <w:footnoteReference w:id="4"/>
      </w:r>
      <w:r w:rsidRPr="00183E4E">
        <w:rPr>
          <w:rFonts w:ascii="Book Antiqua" w:eastAsia="Book Antiqua" w:hAnsi="Book Antiqua" w:cs="Book Antiqua"/>
          <w:i/>
          <w:iCs/>
        </w:rPr>
        <w:t xml:space="preserve"> </w:t>
      </w:r>
    </w:p>
    <w:p w14:paraId="14D722DD" w14:textId="6BD577BA" w:rsidR="00AD29DF" w:rsidRDefault="002943C4" w:rsidP="00AD29DF">
      <w:pPr>
        <w:ind w:firstLine="720"/>
        <w:jc w:val="both"/>
        <w:rPr>
          <w:rFonts w:ascii="Book Antiqua" w:eastAsia="Book Antiqua" w:hAnsi="Book Antiqua" w:cs="Book Antiqua"/>
        </w:rPr>
      </w:pPr>
      <w:r>
        <w:rPr>
          <w:rFonts w:ascii="Book Antiqua" w:eastAsia="Book Antiqua" w:hAnsi="Book Antiqua" w:cs="Book Antiqua"/>
        </w:rPr>
        <w:t>E</w:t>
      </w:r>
      <w:r w:rsidR="00AD29DF">
        <w:rPr>
          <w:rFonts w:ascii="Book Antiqua" w:eastAsia="Book Antiqua" w:hAnsi="Book Antiqua" w:cs="Book Antiqua"/>
        </w:rPr>
        <w:t xml:space="preserve">n </w:t>
      </w:r>
      <w:r w:rsidR="00AD29DF" w:rsidRPr="009A0688">
        <w:rPr>
          <w:rFonts w:ascii="Book Antiqua" w:eastAsia="Book Antiqua" w:hAnsi="Book Antiqua" w:cs="Book Antiqua"/>
        </w:rPr>
        <w:t>la</w:t>
      </w:r>
      <w:r w:rsidR="00AD29DF">
        <w:rPr>
          <w:rFonts w:ascii="Book Antiqua" w:eastAsia="Book Antiqua" w:hAnsi="Book Antiqua" w:cs="Book Antiqua"/>
        </w:rPr>
        <w:t>s disposiciones de la</w:t>
      </w:r>
      <w:r w:rsidR="00AD29DF" w:rsidRPr="009A0688">
        <w:rPr>
          <w:rFonts w:ascii="Book Antiqua" w:eastAsia="Book Antiqua" w:hAnsi="Book Antiqua" w:cs="Book Antiqua"/>
        </w:rPr>
        <w:t xml:space="preserve"> Ley</w:t>
      </w:r>
      <w:r>
        <w:rPr>
          <w:rFonts w:ascii="Book Antiqua" w:eastAsia="Book Antiqua" w:hAnsi="Book Antiqua" w:cs="Book Antiqua"/>
        </w:rPr>
        <w:t xml:space="preserve"> Núm.</w:t>
      </w:r>
      <w:r w:rsidR="00AD29DF" w:rsidRPr="009A0688">
        <w:rPr>
          <w:rFonts w:ascii="Book Antiqua" w:eastAsia="Book Antiqua" w:hAnsi="Book Antiqua" w:cs="Book Antiqua"/>
        </w:rPr>
        <w:t xml:space="preserve"> 52-2022</w:t>
      </w:r>
      <w:r w:rsidR="00AD29DF">
        <w:rPr>
          <w:rFonts w:ascii="Book Antiqua" w:eastAsia="Book Antiqua" w:hAnsi="Book Antiqua" w:cs="Book Antiqua"/>
        </w:rPr>
        <w:t xml:space="preserve">, se realizaron </w:t>
      </w:r>
      <w:r w:rsidR="00AD29DF" w:rsidRPr="009A0688">
        <w:rPr>
          <w:rFonts w:ascii="Book Antiqua" w:eastAsia="Book Antiqua" w:hAnsi="Book Antiqua" w:cs="Book Antiqua"/>
        </w:rPr>
        <w:t>enmiendas</w:t>
      </w:r>
      <w:r w:rsidR="00AD29DF" w:rsidRPr="00B86208">
        <w:rPr>
          <w:rFonts w:ascii="Book Antiqua" w:eastAsia="Book Antiqua" w:hAnsi="Book Antiqua" w:cs="Book Antiqua"/>
        </w:rPr>
        <w:t xml:space="preserve"> </w:t>
      </w:r>
      <w:r w:rsidR="00AD29DF">
        <w:rPr>
          <w:rFonts w:ascii="Book Antiqua" w:eastAsia="Book Antiqua" w:hAnsi="Book Antiqua" w:cs="Book Antiqua"/>
        </w:rPr>
        <w:t>precisas a</w:t>
      </w:r>
      <w:r w:rsidR="00AD29DF" w:rsidRPr="00B86208">
        <w:rPr>
          <w:rFonts w:ascii="Book Antiqua" w:eastAsia="Book Antiqua" w:hAnsi="Book Antiqua" w:cs="Book Antiqua"/>
        </w:rPr>
        <w:t xml:space="preserve"> distintas leyes</w:t>
      </w:r>
      <w:r w:rsidR="00AD29DF">
        <w:rPr>
          <w:rFonts w:ascii="Book Antiqua" w:eastAsia="Book Antiqua" w:hAnsi="Book Antiqua" w:cs="Book Antiqua"/>
        </w:rPr>
        <w:t xml:space="preserve"> especiales</w:t>
      </w:r>
      <w:r w:rsidR="00AD29DF" w:rsidRPr="00B86208">
        <w:rPr>
          <w:rFonts w:ascii="Book Antiqua" w:eastAsia="Book Antiqua" w:hAnsi="Book Antiqua" w:cs="Book Antiqua"/>
        </w:rPr>
        <w:t xml:space="preserve"> </w:t>
      </w:r>
      <w:r w:rsidR="00AD29DF">
        <w:rPr>
          <w:rFonts w:ascii="Book Antiqua" w:eastAsia="Book Antiqua" w:hAnsi="Book Antiqua" w:cs="Book Antiqua"/>
        </w:rPr>
        <w:t xml:space="preserve">de naturaleza </w:t>
      </w:r>
      <w:r w:rsidR="00AD29DF" w:rsidRPr="00B86208">
        <w:rPr>
          <w:rFonts w:ascii="Book Antiqua" w:eastAsia="Book Antiqua" w:hAnsi="Book Antiqua" w:cs="Book Antiqua"/>
        </w:rPr>
        <w:t>contributiva; o leyes que,</w:t>
      </w:r>
      <w:r w:rsidR="00AD29DF">
        <w:rPr>
          <w:rFonts w:ascii="Book Antiqua" w:eastAsia="Book Antiqua" w:hAnsi="Book Antiqua" w:cs="Book Antiqua"/>
        </w:rPr>
        <w:t xml:space="preserve"> en </w:t>
      </w:r>
      <w:r w:rsidR="00AD29DF" w:rsidRPr="00B86208">
        <w:rPr>
          <w:rFonts w:ascii="Book Antiqua" w:eastAsia="Book Antiqua" w:hAnsi="Book Antiqua" w:cs="Book Antiqua"/>
        </w:rPr>
        <w:t>su</w:t>
      </w:r>
      <w:r w:rsidR="00AD29DF">
        <w:rPr>
          <w:rFonts w:ascii="Book Antiqua" w:eastAsia="Book Antiqua" w:hAnsi="Book Antiqua" w:cs="Book Antiqua"/>
        </w:rPr>
        <w:t xml:space="preserve"> intención </w:t>
      </w:r>
      <w:r w:rsidR="00AD29DF" w:rsidRPr="00B86208">
        <w:rPr>
          <w:rFonts w:ascii="Book Antiqua" w:eastAsia="Book Antiqua" w:hAnsi="Book Antiqua" w:cs="Book Antiqua"/>
        </w:rPr>
        <w:t>o</w:t>
      </w:r>
      <w:r w:rsidR="00AD29DF">
        <w:rPr>
          <w:rFonts w:ascii="Book Antiqua" w:eastAsia="Book Antiqua" w:hAnsi="Book Antiqua" w:cs="Book Antiqua"/>
        </w:rPr>
        <w:t xml:space="preserve"> aplicación, tratan particularmente la </w:t>
      </w:r>
      <w:r w:rsidR="00AD29DF" w:rsidRPr="00B86208">
        <w:rPr>
          <w:rFonts w:ascii="Book Antiqua" w:eastAsia="Book Antiqua" w:hAnsi="Book Antiqua" w:cs="Book Antiqua"/>
        </w:rPr>
        <w:t xml:space="preserve">materia de incentivos, créditos o responsabilidades de </w:t>
      </w:r>
      <w:r w:rsidR="00AD29DF">
        <w:rPr>
          <w:rFonts w:ascii="Book Antiqua" w:eastAsia="Book Antiqua" w:hAnsi="Book Antiqua" w:cs="Book Antiqua"/>
        </w:rPr>
        <w:t xml:space="preserve">tipo </w:t>
      </w:r>
      <w:r w:rsidR="00AD29DF" w:rsidRPr="00B86208">
        <w:rPr>
          <w:rFonts w:ascii="Book Antiqua" w:eastAsia="Book Antiqua" w:hAnsi="Book Antiqua" w:cs="Book Antiqua"/>
        </w:rPr>
        <w:t>contributivo para ciertas entidades en Puerto Rico</w:t>
      </w:r>
      <w:r w:rsidR="00AD29DF">
        <w:rPr>
          <w:rFonts w:ascii="Book Antiqua" w:eastAsia="Book Antiqua" w:hAnsi="Book Antiqua" w:cs="Book Antiqua"/>
        </w:rPr>
        <w:t>. No obstante,</w:t>
      </w:r>
      <w:r w:rsidR="00AD29DF" w:rsidRPr="00C4228E">
        <w:t xml:space="preserve"> </w:t>
      </w:r>
      <w:r w:rsidR="00AD29DF" w:rsidRPr="00C4228E">
        <w:rPr>
          <w:rFonts w:ascii="Book Antiqua" w:eastAsia="Book Antiqua" w:hAnsi="Book Antiqua" w:cs="Book Antiqua"/>
        </w:rPr>
        <w:t xml:space="preserve">el </w:t>
      </w:r>
      <w:r>
        <w:rPr>
          <w:rFonts w:ascii="Book Antiqua" w:eastAsia="Book Antiqua" w:hAnsi="Book Antiqua" w:cs="Book Antiqua"/>
        </w:rPr>
        <w:t>a</w:t>
      </w:r>
      <w:r w:rsidR="00AD29DF" w:rsidRPr="00C4228E">
        <w:rPr>
          <w:rFonts w:ascii="Book Antiqua" w:eastAsia="Book Antiqua" w:hAnsi="Book Antiqua" w:cs="Book Antiqua"/>
        </w:rPr>
        <w:t xml:space="preserve">rtículo 86 </w:t>
      </w:r>
      <w:r w:rsidR="00AD29DF">
        <w:rPr>
          <w:rFonts w:ascii="Book Antiqua" w:eastAsia="Book Antiqua" w:hAnsi="Book Antiqua" w:cs="Book Antiqua"/>
        </w:rPr>
        <w:t xml:space="preserve">de la mencionada Ley, dista en materia sustantiva, de las otras disposiciones que surgen de la misma. El </w:t>
      </w:r>
      <w:r>
        <w:rPr>
          <w:rFonts w:ascii="Book Antiqua" w:eastAsia="Book Antiqua" w:hAnsi="Book Antiqua" w:cs="Book Antiqua"/>
        </w:rPr>
        <w:t>a</w:t>
      </w:r>
      <w:r w:rsidR="00AD29DF">
        <w:rPr>
          <w:rFonts w:ascii="Book Antiqua" w:eastAsia="Book Antiqua" w:hAnsi="Book Antiqua" w:cs="Book Antiqua"/>
        </w:rPr>
        <w:t>rt</w:t>
      </w:r>
      <w:r>
        <w:rPr>
          <w:rFonts w:ascii="Book Antiqua" w:eastAsia="Book Antiqua" w:hAnsi="Book Antiqua" w:cs="Book Antiqua"/>
        </w:rPr>
        <w:t>í</w:t>
      </w:r>
      <w:r w:rsidR="00AD29DF">
        <w:rPr>
          <w:rFonts w:ascii="Book Antiqua" w:eastAsia="Book Antiqua" w:hAnsi="Book Antiqua" w:cs="Book Antiqua"/>
        </w:rPr>
        <w:t xml:space="preserve">culo 86 </w:t>
      </w:r>
      <w:r w:rsidR="00AD29DF" w:rsidRPr="00C4228E">
        <w:rPr>
          <w:rFonts w:ascii="Book Antiqua" w:eastAsia="Book Antiqua" w:hAnsi="Book Antiqua" w:cs="Book Antiqua"/>
        </w:rPr>
        <w:t xml:space="preserve">enmendó el </w:t>
      </w:r>
      <w:r>
        <w:rPr>
          <w:rFonts w:ascii="Book Antiqua" w:eastAsia="Book Antiqua" w:hAnsi="Book Antiqua" w:cs="Book Antiqua"/>
        </w:rPr>
        <w:t>a</w:t>
      </w:r>
      <w:r w:rsidR="00AD29DF" w:rsidRPr="00C4228E">
        <w:rPr>
          <w:rFonts w:ascii="Book Antiqua" w:eastAsia="Book Antiqua" w:hAnsi="Book Antiqua" w:cs="Book Antiqua"/>
        </w:rPr>
        <w:t>rtículo 11 de la Ley Notarial para requerirle a los notarios que, en la planilla i</w:t>
      </w:r>
      <w:r w:rsidR="00AD29DF" w:rsidRPr="004E122F">
        <w:rPr>
          <w:rFonts w:ascii="Book Antiqua" w:eastAsia="Book Antiqua" w:hAnsi="Book Antiqua" w:cs="Book Antiqua"/>
        </w:rPr>
        <w:t>nformativa sobre segregación, agrupación o traslado de bienes inmuebles, incluy</w:t>
      </w:r>
      <w:r w:rsidR="00876716">
        <w:rPr>
          <w:rFonts w:ascii="Book Antiqua" w:eastAsia="Book Antiqua" w:hAnsi="Book Antiqua" w:cs="Book Antiqua"/>
        </w:rPr>
        <w:t>er</w:t>
      </w:r>
      <w:r w:rsidR="00AD29DF" w:rsidRPr="004E122F">
        <w:rPr>
          <w:rFonts w:ascii="Book Antiqua" w:eastAsia="Book Antiqua" w:hAnsi="Book Antiqua" w:cs="Book Antiqua"/>
        </w:rPr>
        <w:t>an:</w:t>
      </w:r>
      <w:r w:rsidR="00AD29DF" w:rsidRPr="004E122F">
        <w:rPr>
          <w:rFonts w:ascii="Book Antiqua" w:hAnsi="Book Antiqua"/>
        </w:rPr>
        <w:t xml:space="preserve"> 1) </w:t>
      </w:r>
      <w:r w:rsidR="00AD29DF" w:rsidRPr="004E122F">
        <w:rPr>
          <w:rFonts w:ascii="Book Antiqua" w:eastAsia="Book Antiqua" w:hAnsi="Book Antiqua" w:cs="Book Antiqua"/>
        </w:rPr>
        <w:t>una tasación realizada por un Evaluador Profesional Autorizado con licencia vigen</w:t>
      </w:r>
      <w:r w:rsidR="00AD29DF" w:rsidRPr="00AD3D48">
        <w:rPr>
          <w:rFonts w:ascii="Book Antiqua" w:eastAsia="Book Antiqua" w:hAnsi="Book Antiqua" w:cs="Book Antiqua"/>
        </w:rPr>
        <w:t>te en Puerto Rico, 2) un plano de mensura y 3) un estudio de título</w:t>
      </w:r>
      <w:r w:rsidR="00AD29DF" w:rsidRPr="00C4228E">
        <w:rPr>
          <w:rFonts w:ascii="Book Antiqua" w:eastAsia="Book Antiqua" w:hAnsi="Book Antiqua" w:cs="Book Antiqua"/>
        </w:rPr>
        <w:t>.</w:t>
      </w:r>
    </w:p>
    <w:p w14:paraId="59932A16" w14:textId="0F7778A4" w:rsidR="00AD29DF" w:rsidRDefault="00AD29DF" w:rsidP="00AD29DF">
      <w:pPr>
        <w:ind w:firstLine="720"/>
        <w:jc w:val="both"/>
        <w:rPr>
          <w:rFonts w:ascii="Book Antiqua" w:eastAsia="Book Antiqua" w:hAnsi="Book Antiqua" w:cs="Book Antiqua"/>
        </w:rPr>
      </w:pPr>
      <w:r>
        <w:rPr>
          <w:rFonts w:ascii="Book Antiqua" w:eastAsia="Book Antiqua" w:hAnsi="Book Antiqua" w:cs="Book Antiqua"/>
        </w:rPr>
        <w:t xml:space="preserve"> Como expresa el Honorable Foro Primario en los fundamentos de su Sentencia en </w:t>
      </w:r>
      <w:r w:rsidRPr="00C77D4E">
        <w:rPr>
          <w:rFonts w:ascii="Book Antiqua" w:eastAsia="Book Antiqua" w:hAnsi="Book Antiqua" w:cs="Book Antiqua"/>
          <w:i/>
          <w:iCs/>
        </w:rPr>
        <w:t>Asociación de Abogados de Puerto Rico v. Gobierno de Puerto Rico</w:t>
      </w:r>
      <w:r>
        <w:rPr>
          <w:rFonts w:ascii="Book Antiqua" w:eastAsia="Book Antiqua" w:hAnsi="Book Antiqua" w:cs="Book Antiqua"/>
        </w:rPr>
        <w:t>:</w:t>
      </w:r>
      <w:r w:rsidR="00C77D4E">
        <w:rPr>
          <w:rStyle w:val="FootnoteReference"/>
          <w:rFonts w:ascii="Book Antiqua" w:eastAsia="Book Antiqua" w:hAnsi="Book Antiqua" w:cs="Book Antiqua"/>
        </w:rPr>
        <w:footnoteReference w:id="5"/>
      </w:r>
      <w:r>
        <w:rPr>
          <w:rFonts w:ascii="Book Antiqua" w:eastAsia="Book Antiqua" w:hAnsi="Book Antiqua" w:cs="Book Antiqua"/>
        </w:rPr>
        <w:t xml:space="preserve"> </w:t>
      </w:r>
    </w:p>
    <w:p w14:paraId="256C8FAF" w14:textId="089D37A0" w:rsidR="00AD29DF" w:rsidRDefault="00AD29DF" w:rsidP="00AD29DF">
      <w:pPr>
        <w:ind w:left="720"/>
        <w:jc w:val="both"/>
        <w:rPr>
          <w:rFonts w:ascii="Book Antiqua" w:eastAsia="Book Antiqua" w:hAnsi="Book Antiqua" w:cs="Book Antiqua"/>
        </w:rPr>
      </w:pPr>
      <w:r>
        <w:rPr>
          <w:rFonts w:ascii="Book Antiqua" w:eastAsia="Book Antiqua" w:hAnsi="Book Antiqua" w:cs="Book Antiqua"/>
        </w:rPr>
        <w:t>“</w:t>
      </w:r>
      <w:r w:rsidRPr="00B731B4">
        <w:rPr>
          <w:rFonts w:ascii="Book Antiqua" w:eastAsia="Book Antiqua" w:hAnsi="Book Antiqua" w:cs="Book Antiqua"/>
          <w:i/>
          <w:iCs/>
        </w:rPr>
        <w:t>A diferencia de las demás disposiciones de la Ley Núm. 52, no surge del texto del Artículo 86 qué relación, si alguna, tiene la referida enmienda a la Ley Notarial con el “asunto general” o el “objetivo principal” de revisar o atemperar el tratamiento contributivo que reciben ciertas entidades en Puerto Rico</w:t>
      </w:r>
      <w:r>
        <w:rPr>
          <w:rFonts w:ascii="Book Antiqua" w:eastAsia="Book Antiqua" w:hAnsi="Book Antiqua" w:cs="Book Antiqua"/>
        </w:rPr>
        <w:t xml:space="preserve">”. </w:t>
      </w:r>
    </w:p>
    <w:p w14:paraId="7A130EAA" w14:textId="6DEF49B5" w:rsidR="00AD29DF" w:rsidRDefault="00AD29DF" w:rsidP="00AD29DF">
      <w:pPr>
        <w:ind w:firstLine="720"/>
        <w:jc w:val="both"/>
        <w:rPr>
          <w:rFonts w:ascii="Book Antiqua" w:eastAsia="Book Antiqua" w:hAnsi="Book Antiqua" w:cs="Book Antiqua"/>
        </w:rPr>
      </w:pPr>
      <w:r>
        <w:rPr>
          <w:rFonts w:ascii="Book Antiqua" w:eastAsia="Book Antiqua" w:hAnsi="Book Antiqua" w:cs="Book Antiqua"/>
        </w:rPr>
        <w:t xml:space="preserve">Según las expresiones del </w:t>
      </w:r>
      <w:r w:rsidR="00950069">
        <w:rPr>
          <w:rFonts w:ascii="Book Antiqua" w:eastAsia="Book Antiqua" w:hAnsi="Book Antiqua" w:cs="Book Antiqua"/>
        </w:rPr>
        <w:t>t</w:t>
      </w:r>
      <w:r>
        <w:rPr>
          <w:rFonts w:ascii="Book Antiqua" w:eastAsia="Book Antiqua" w:hAnsi="Book Antiqua" w:cs="Book Antiqua"/>
        </w:rPr>
        <w:t xml:space="preserve">ribunal, no existe una correlación o nexo entre los requisitos del </w:t>
      </w:r>
      <w:r w:rsidR="00B13C24">
        <w:rPr>
          <w:rFonts w:ascii="Book Antiqua" w:eastAsia="Book Antiqua" w:hAnsi="Book Antiqua" w:cs="Book Antiqua"/>
        </w:rPr>
        <w:t>a</w:t>
      </w:r>
      <w:r>
        <w:rPr>
          <w:rFonts w:ascii="Book Antiqua" w:eastAsia="Book Antiqua" w:hAnsi="Book Antiqua" w:cs="Book Antiqua"/>
        </w:rPr>
        <w:t>rtículo 86 de la Ley</w:t>
      </w:r>
      <w:r w:rsidR="00B13C24">
        <w:rPr>
          <w:rFonts w:ascii="Book Antiqua" w:eastAsia="Book Antiqua" w:hAnsi="Book Antiqua" w:cs="Book Antiqua"/>
        </w:rPr>
        <w:t xml:space="preserve"> Núm.</w:t>
      </w:r>
      <w:r>
        <w:rPr>
          <w:rFonts w:ascii="Book Antiqua" w:eastAsia="Book Antiqua" w:hAnsi="Book Antiqua" w:cs="Book Antiqua"/>
        </w:rPr>
        <w:t xml:space="preserve"> 52-2022 y el</w:t>
      </w:r>
      <w:r w:rsidRPr="007F3C0D">
        <w:rPr>
          <w:rFonts w:ascii="Book Antiqua" w:eastAsia="Book Antiqua" w:hAnsi="Book Antiqua" w:cs="Book Antiqua"/>
        </w:rPr>
        <w:t xml:space="preserve"> tratamiento contributivo de ciertas corporaciones</w:t>
      </w:r>
      <w:r>
        <w:rPr>
          <w:rFonts w:ascii="Book Antiqua" w:eastAsia="Book Antiqua" w:hAnsi="Book Antiqua" w:cs="Book Antiqua"/>
        </w:rPr>
        <w:t xml:space="preserve">: </w:t>
      </w:r>
    </w:p>
    <w:p w14:paraId="2E0C7767" w14:textId="77777777" w:rsidR="00B13C24" w:rsidRDefault="00B13C24" w:rsidP="00AD29DF">
      <w:pPr>
        <w:ind w:firstLine="720"/>
        <w:jc w:val="both"/>
        <w:rPr>
          <w:rFonts w:ascii="Book Antiqua" w:eastAsia="Book Antiqua" w:hAnsi="Book Antiqua" w:cs="Book Antiqua"/>
        </w:rPr>
      </w:pPr>
    </w:p>
    <w:p w14:paraId="0A1765FF" w14:textId="64A9C067" w:rsidR="00AD29DF" w:rsidRDefault="00AD29DF" w:rsidP="00AD29DF">
      <w:pPr>
        <w:ind w:left="720"/>
        <w:jc w:val="both"/>
        <w:rPr>
          <w:rFonts w:ascii="Book Antiqua" w:eastAsia="Book Antiqua" w:hAnsi="Book Antiqua" w:cs="Book Antiqua"/>
        </w:rPr>
      </w:pPr>
      <w:r w:rsidRPr="00B13C24">
        <w:rPr>
          <w:rFonts w:ascii="Book Antiqua" w:eastAsia="Book Antiqua" w:hAnsi="Book Antiqua" w:cs="Book Antiqua"/>
        </w:rPr>
        <w:t>“</w:t>
      </w:r>
      <w:r w:rsidRPr="00B13C24">
        <w:rPr>
          <w:rFonts w:ascii="Book Antiqua" w:hAnsi="Book Antiqua"/>
          <w:i/>
          <w:iCs/>
        </w:rPr>
        <w:t>Aun</w:t>
      </w:r>
      <w:r w:rsidRPr="00B13C24">
        <w:rPr>
          <w:rFonts w:ascii="Book Antiqua" w:eastAsia="Book Antiqua" w:hAnsi="Book Antiqua" w:cs="Book Antiqua"/>
          <w:i/>
          <w:iCs/>
        </w:rPr>
        <w:t xml:space="preserve"> </w:t>
      </w:r>
      <w:r w:rsidRPr="00BC038A">
        <w:rPr>
          <w:rFonts w:ascii="Book Antiqua" w:eastAsia="Book Antiqua" w:hAnsi="Book Antiqua" w:cs="Book Antiqua"/>
          <w:i/>
          <w:iCs/>
        </w:rPr>
        <w:t>tras realizar una interpretación liberal sobre la constitucionalidad de dicha disposición y hacer todas las inferencias posibles a su favor, no hemos logrado identificar cuál es el nexo racional entre el asunto general referente al tratamiento contributivo de ciertas corporaciones con el nuevo requisito de una tasación, un plano de mensura y un estudio de título para todas las transacciones inmobiliarias en Puerto Rico</w:t>
      </w:r>
      <w:r>
        <w:rPr>
          <w:rFonts w:ascii="Book Antiqua" w:eastAsia="Book Antiqua" w:hAnsi="Book Antiqua" w:cs="Book Antiqua"/>
        </w:rPr>
        <w:t xml:space="preserve">”. </w:t>
      </w:r>
      <w:r w:rsidRPr="00D01ECA">
        <w:rPr>
          <w:rFonts w:ascii="Book Antiqua" w:eastAsia="Book Antiqua" w:hAnsi="Book Antiqua" w:cs="Book Antiqua"/>
          <w:i/>
          <w:iCs/>
        </w:rPr>
        <w:t xml:space="preserve">Nótese que la aplicabilidad de dicho requisito no se limitó a las transacciones de segregación, agrupación o traslado de bienes inmuebles que realicen dichas entidades foráneas, sino que su alcance es ilimitado y aplica a cualquier escritura para modificar el dominio de un bien inmueble que autorice un notario en nuestra jurisdicción, sin distinción de entidades o personas. Además, ni tan siquiera se articuló en ninguna parte de la ley si esos requisitos tienen un propósito que se pudiera inferir de algún modo que tendrían algún impacto contributivo o algún otro propósito relacionado con el “asunto general” u “objetivo central” de la Ley Núm. 52”.    </w:t>
      </w:r>
    </w:p>
    <w:p w14:paraId="1A7D3F37" w14:textId="39C93A21" w:rsidR="00AD29DF" w:rsidRDefault="00AD29DF" w:rsidP="00AD29DF">
      <w:pPr>
        <w:ind w:firstLine="720"/>
        <w:jc w:val="both"/>
        <w:rPr>
          <w:rFonts w:ascii="Book Antiqua" w:eastAsia="Book Antiqua" w:hAnsi="Book Antiqua" w:cs="Book Antiqua"/>
        </w:rPr>
      </w:pPr>
      <w:r w:rsidRPr="00FB6A00">
        <w:rPr>
          <w:rFonts w:ascii="Book Antiqua" w:eastAsia="Book Antiqua" w:hAnsi="Book Antiqua" w:cs="Book Antiqua"/>
        </w:rPr>
        <w:t xml:space="preserve">A la luz de lo </w:t>
      </w:r>
      <w:r>
        <w:rPr>
          <w:rFonts w:ascii="Book Antiqua" w:eastAsia="Book Antiqua" w:hAnsi="Book Antiqua" w:cs="Book Antiqua"/>
        </w:rPr>
        <w:t>antes expuesto</w:t>
      </w:r>
      <w:r w:rsidRPr="009A0688">
        <w:rPr>
          <w:rFonts w:ascii="Book Antiqua" w:eastAsia="Book Antiqua" w:hAnsi="Book Antiqua" w:cs="Book Antiqua"/>
        </w:rPr>
        <w:t>, el propósito del P. de</w:t>
      </w:r>
      <w:r>
        <w:rPr>
          <w:rFonts w:ascii="Book Antiqua" w:eastAsia="Book Antiqua" w:hAnsi="Book Antiqua" w:cs="Book Antiqua"/>
        </w:rPr>
        <w:t>l S</w:t>
      </w:r>
      <w:r w:rsidRPr="009A0688">
        <w:rPr>
          <w:rFonts w:ascii="Book Antiqua" w:eastAsia="Book Antiqua" w:hAnsi="Book Antiqua" w:cs="Book Antiqua"/>
        </w:rPr>
        <w:t>.</w:t>
      </w:r>
      <w:r>
        <w:rPr>
          <w:rFonts w:ascii="Book Antiqua" w:eastAsia="Book Antiqua" w:hAnsi="Book Antiqua" w:cs="Book Antiqua"/>
        </w:rPr>
        <w:t xml:space="preserve"> 60</w:t>
      </w:r>
      <w:r w:rsidRPr="009A0688">
        <w:rPr>
          <w:rFonts w:ascii="Book Antiqua" w:eastAsia="Book Antiqua" w:hAnsi="Book Antiqua" w:cs="Book Antiqua"/>
        </w:rPr>
        <w:t xml:space="preserve"> es atemperar el </w:t>
      </w:r>
      <w:r w:rsidR="00040BF3">
        <w:rPr>
          <w:rFonts w:ascii="Book Antiqua" w:eastAsia="Book Antiqua" w:hAnsi="Book Antiqua" w:cs="Book Antiqua"/>
        </w:rPr>
        <w:t>a</w:t>
      </w:r>
      <w:r w:rsidRPr="009A0688">
        <w:rPr>
          <w:rFonts w:ascii="Book Antiqua" w:eastAsia="Book Antiqua" w:hAnsi="Book Antiqua" w:cs="Book Antiqua"/>
        </w:rPr>
        <w:t xml:space="preserve">rtículo 11 de </w:t>
      </w:r>
      <w:r>
        <w:rPr>
          <w:rFonts w:ascii="Book Antiqua" w:eastAsia="Book Antiqua" w:hAnsi="Book Antiqua" w:cs="Book Antiqua"/>
        </w:rPr>
        <w:t>l</w:t>
      </w:r>
      <w:r w:rsidRPr="009A0688">
        <w:rPr>
          <w:rFonts w:ascii="Book Antiqua" w:eastAsia="Book Antiqua" w:hAnsi="Book Antiqua" w:cs="Book Antiqua"/>
        </w:rPr>
        <w:t>a Ley</w:t>
      </w:r>
      <w:r w:rsidR="00B13C24">
        <w:rPr>
          <w:rFonts w:ascii="Book Antiqua" w:eastAsia="Book Antiqua" w:hAnsi="Book Antiqua" w:cs="Book Antiqua"/>
        </w:rPr>
        <w:t xml:space="preserve"> Notarial</w:t>
      </w:r>
      <w:r w:rsidRPr="009A0688">
        <w:rPr>
          <w:rFonts w:ascii="Book Antiqua" w:eastAsia="Book Antiqua" w:hAnsi="Book Antiqua" w:cs="Book Antiqua"/>
        </w:rPr>
        <w:t xml:space="preserve">, a lo resuelto por el </w:t>
      </w:r>
      <w:r w:rsidR="00040BF3">
        <w:rPr>
          <w:rFonts w:ascii="Book Antiqua" w:eastAsia="Book Antiqua" w:hAnsi="Book Antiqua" w:cs="Book Antiqua"/>
        </w:rPr>
        <w:t>t</w:t>
      </w:r>
      <w:r w:rsidRPr="009A0688">
        <w:rPr>
          <w:rFonts w:ascii="Book Antiqua" w:eastAsia="Book Antiqua" w:hAnsi="Book Antiqua" w:cs="Book Antiqua"/>
        </w:rPr>
        <w:t xml:space="preserve">ribunal, </w:t>
      </w:r>
      <w:r w:rsidRPr="00E45E45">
        <w:rPr>
          <w:rFonts w:ascii="Book Antiqua" w:eastAsia="Book Antiqua" w:hAnsi="Book Antiqua" w:cs="Book Antiqua"/>
        </w:rPr>
        <w:t>por ser este el estado de derecho vigente</w:t>
      </w:r>
      <w:r w:rsidRPr="009A0688">
        <w:rPr>
          <w:rFonts w:ascii="Book Antiqua" w:eastAsia="Book Antiqua" w:hAnsi="Book Antiqua" w:cs="Book Antiqua"/>
        </w:rPr>
        <w:t>.</w:t>
      </w:r>
    </w:p>
    <w:p w14:paraId="54A0E3EC" w14:textId="06069825" w:rsidR="00AD29DF" w:rsidRPr="00183E4E" w:rsidRDefault="00C94306" w:rsidP="00AD29DF">
      <w:pPr>
        <w:ind w:firstLine="720"/>
        <w:jc w:val="both"/>
        <w:rPr>
          <w:rFonts w:ascii="Book Antiqua" w:eastAsia="Book Antiqua" w:hAnsi="Book Antiqua" w:cs="Book Antiqua"/>
          <w:lang w:val="es-ES"/>
        </w:rPr>
      </w:pPr>
      <w:r>
        <w:rPr>
          <w:rFonts w:ascii="Book Antiqua" w:eastAsia="Book Antiqua" w:hAnsi="Book Antiqua" w:cs="Book Antiqua"/>
          <w:lang w:val="es-ES"/>
        </w:rPr>
        <w:t>D</w:t>
      </w:r>
      <w:r w:rsidR="00AD29DF">
        <w:rPr>
          <w:rFonts w:ascii="Book Antiqua" w:eastAsia="Book Antiqua" w:hAnsi="Book Antiqua" w:cs="Book Antiqua"/>
          <w:lang w:val="es-ES"/>
        </w:rPr>
        <w:t xml:space="preserve">e manera simultánea, </w:t>
      </w:r>
      <w:r>
        <w:rPr>
          <w:rFonts w:ascii="Book Antiqua" w:eastAsia="Book Antiqua" w:hAnsi="Book Antiqua" w:cs="Book Antiqua"/>
          <w:lang w:val="es-ES"/>
        </w:rPr>
        <w:t xml:space="preserve">se </w:t>
      </w:r>
      <w:r w:rsidR="00AD29DF">
        <w:rPr>
          <w:rFonts w:ascii="Book Antiqua" w:eastAsia="Book Antiqua" w:hAnsi="Book Antiqua" w:cs="Book Antiqua"/>
          <w:lang w:val="es-ES"/>
        </w:rPr>
        <w:t xml:space="preserve">presentó </w:t>
      </w:r>
      <w:r w:rsidR="00C9280C">
        <w:rPr>
          <w:rFonts w:ascii="Book Antiqua" w:eastAsia="Book Antiqua" w:hAnsi="Book Antiqua" w:cs="Book Antiqua"/>
          <w:lang w:val="es-ES"/>
        </w:rPr>
        <w:t xml:space="preserve">el Proyecto de la Cámara 24 (P. de la C. 24) </w:t>
      </w:r>
      <w:r w:rsidR="00AD29DF" w:rsidRPr="00183E4E">
        <w:rPr>
          <w:rFonts w:ascii="Book Antiqua" w:eastAsia="Book Antiqua" w:hAnsi="Book Antiqua" w:cs="Book Antiqua"/>
          <w:lang w:val="es-ES"/>
        </w:rPr>
        <w:t xml:space="preserve">equivalente </w:t>
      </w:r>
      <w:r w:rsidR="00AD29DF">
        <w:rPr>
          <w:rFonts w:ascii="Book Antiqua" w:eastAsia="Book Antiqua" w:hAnsi="Book Antiqua" w:cs="Book Antiqua"/>
          <w:lang w:val="es-ES"/>
        </w:rPr>
        <w:t>a la</w:t>
      </w:r>
      <w:r w:rsidR="00C9280C">
        <w:rPr>
          <w:rFonts w:ascii="Book Antiqua" w:eastAsia="Book Antiqua" w:hAnsi="Book Antiqua" w:cs="Book Antiqua"/>
          <w:lang w:val="es-ES"/>
        </w:rPr>
        <w:t xml:space="preserve"> medida</w:t>
      </w:r>
      <w:r w:rsidR="00AD29DF">
        <w:rPr>
          <w:rFonts w:ascii="Book Antiqua" w:eastAsia="Book Antiqua" w:hAnsi="Book Antiqua" w:cs="Book Antiqua"/>
          <w:lang w:val="es-ES"/>
        </w:rPr>
        <w:t xml:space="preserve"> aquí propuesta</w:t>
      </w:r>
      <w:r w:rsidR="00C9280C">
        <w:rPr>
          <w:rFonts w:ascii="Book Antiqua" w:eastAsia="Book Antiqua" w:hAnsi="Book Antiqua" w:cs="Book Antiqua"/>
          <w:lang w:val="es-ES"/>
        </w:rPr>
        <w:t xml:space="preserve">. Sin embargo, el P. de la C. 24 </w:t>
      </w:r>
      <w:r w:rsidR="00FA193C">
        <w:rPr>
          <w:rFonts w:ascii="Book Antiqua" w:eastAsia="Book Antiqua" w:hAnsi="Book Antiqua" w:cs="Book Antiqua"/>
          <w:lang w:val="es-ES"/>
        </w:rPr>
        <w:t>se diferencia en que propone</w:t>
      </w:r>
      <w:r w:rsidR="00A864B3">
        <w:rPr>
          <w:rFonts w:ascii="Book Antiqua" w:eastAsia="Book Antiqua" w:hAnsi="Book Antiqua" w:cs="Book Antiqua"/>
          <w:lang w:val="es-ES"/>
        </w:rPr>
        <w:t xml:space="preserve"> que se incluya el </w:t>
      </w:r>
      <w:r w:rsidR="00A864B3" w:rsidRPr="00C94306">
        <w:rPr>
          <w:rFonts w:ascii="Book Antiqua" w:eastAsia="Book Antiqua" w:hAnsi="Book Antiqua" w:cs="Book Antiqua"/>
          <w:i/>
          <w:iCs/>
          <w:lang w:val="es-ES"/>
        </w:rPr>
        <w:t xml:space="preserve">precio de </w:t>
      </w:r>
      <w:r w:rsidR="00F5053A" w:rsidRPr="00C94306">
        <w:rPr>
          <w:rFonts w:ascii="Book Antiqua" w:eastAsia="Book Antiqua" w:hAnsi="Book Antiqua" w:cs="Book Antiqua"/>
          <w:i/>
          <w:iCs/>
          <w:lang w:val="es-ES"/>
        </w:rPr>
        <w:t>compraventa</w:t>
      </w:r>
      <w:r w:rsidR="00A864B3">
        <w:rPr>
          <w:rFonts w:ascii="Book Antiqua" w:eastAsia="Book Antiqua" w:hAnsi="Book Antiqua" w:cs="Book Antiqua"/>
          <w:lang w:val="es-ES"/>
        </w:rPr>
        <w:t xml:space="preserve"> en la planilla informativa </w:t>
      </w:r>
      <w:r w:rsidR="00FA193C">
        <w:rPr>
          <w:rFonts w:ascii="Book Antiqua" w:eastAsia="Book Antiqua" w:hAnsi="Book Antiqua" w:cs="Book Antiqua"/>
          <w:lang w:val="es-ES"/>
        </w:rPr>
        <w:t>en vez de que se incluya</w:t>
      </w:r>
      <w:r w:rsidR="00A864B3">
        <w:rPr>
          <w:rFonts w:ascii="Book Antiqua" w:eastAsia="Book Antiqua" w:hAnsi="Book Antiqua" w:cs="Book Antiqua"/>
          <w:lang w:val="es-ES"/>
        </w:rPr>
        <w:t xml:space="preserve"> el </w:t>
      </w:r>
      <w:r w:rsidR="00A864B3" w:rsidRPr="00C94306">
        <w:rPr>
          <w:rFonts w:ascii="Book Antiqua" w:eastAsia="Book Antiqua" w:hAnsi="Book Antiqua" w:cs="Book Antiqua"/>
          <w:i/>
          <w:iCs/>
          <w:lang w:val="es-ES"/>
        </w:rPr>
        <w:t xml:space="preserve">precio de </w:t>
      </w:r>
      <w:r w:rsidR="00F5053A" w:rsidRPr="00C94306">
        <w:rPr>
          <w:rFonts w:ascii="Book Antiqua" w:eastAsia="Book Antiqua" w:hAnsi="Book Antiqua" w:cs="Book Antiqua"/>
          <w:i/>
          <w:iCs/>
          <w:lang w:val="es-ES"/>
        </w:rPr>
        <w:t>tasación</w:t>
      </w:r>
      <w:r w:rsidR="0082104A">
        <w:rPr>
          <w:rFonts w:ascii="Book Antiqua" w:eastAsia="Book Antiqua" w:hAnsi="Book Antiqua" w:cs="Book Antiqua"/>
          <w:lang w:val="es-ES"/>
        </w:rPr>
        <w:t xml:space="preserve"> en el</w:t>
      </w:r>
      <w:r w:rsidR="0076483A">
        <w:rPr>
          <w:rFonts w:ascii="Book Antiqua" w:eastAsia="Book Antiqua" w:hAnsi="Book Antiqua" w:cs="Book Antiqua"/>
          <w:lang w:val="es-ES"/>
        </w:rPr>
        <w:t xml:space="preserve"> inciso 5 del artículo 11 de la Ley Notarial.</w:t>
      </w:r>
    </w:p>
    <w:p w14:paraId="37FE57AE" w14:textId="297D937E" w:rsidR="00AD29DF" w:rsidRDefault="00AD29DF" w:rsidP="00AD29DF">
      <w:pPr>
        <w:spacing w:before="240" w:after="120" w:line="298" w:lineRule="auto"/>
        <w:ind w:firstLine="706"/>
        <w:jc w:val="both"/>
        <w:rPr>
          <w:rFonts w:ascii="Book Antiqua" w:eastAsia="Book Antiqua" w:hAnsi="Book Antiqua" w:cs="Book Antiqua"/>
          <w:lang w:val="es-ES"/>
        </w:rPr>
      </w:pPr>
      <w:r w:rsidRPr="006432AF">
        <w:rPr>
          <w:rFonts w:ascii="Book Antiqua" w:eastAsia="Book Antiqua" w:hAnsi="Book Antiqua" w:cs="Book Antiqua"/>
          <w:lang w:val="es-ES"/>
        </w:rPr>
        <w:t xml:space="preserve">La declaración de inconstitucionalidad </w:t>
      </w:r>
      <w:r>
        <w:rPr>
          <w:rFonts w:ascii="Book Antiqua" w:eastAsia="Book Antiqua" w:hAnsi="Book Antiqua" w:cs="Book Antiqua"/>
          <w:lang w:val="es-ES"/>
        </w:rPr>
        <w:t xml:space="preserve">del </w:t>
      </w:r>
      <w:r w:rsidR="00C94306">
        <w:rPr>
          <w:rFonts w:ascii="Book Antiqua" w:eastAsia="Book Antiqua" w:hAnsi="Book Antiqua" w:cs="Book Antiqua"/>
          <w:lang w:val="es-ES"/>
        </w:rPr>
        <w:t>a</w:t>
      </w:r>
      <w:r w:rsidRPr="006432AF">
        <w:rPr>
          <w:rFonts w:ascii="Book Antiqua" w:eastAsia="Book Antiqua" w:hAnsi="Book Antiqua" w:cs="Book Antiqua"/>
        </w:rPr>
        <w:t>rtículo 86 de la Ley Núm. 52-2022,</w:t>
      </w:r>
      <w:r>
        <w:rPr>
          <w:rFonts w:ascii="Book Antiqua" w:eastAsia="Book Antiqua" w:hAnsi="Book Antiqua" w:cs="Book Antiqua"/>
        </w:rPr>
        <w:t xml:space="preserve"> </w:t>
      </w:r>
      <w:r w:rsidRPr="006432AF">
        <w:rPr>
          <w:rFonts w:ascii="Book Antiqua" w:eastAsia="Book Antiqua" w:hAnsi="Book Antiqua" w:cs="Book Antiqua"/>
        </w:rPr>
        <w:t xml:space="preserve">es suficiente para que la </w:t>
      </w:r>
      <w:r w:rsidR="00C94306">
        <w:rPr>
          <w:rFonts w:ascii="Book Antiqua" w:eastAsia="Book Antiqua" w:hAnsi="Book Antiqua" w:cs="Book Antiqua"/>
        </w:rPr>
        <w:t>c</w:t>
      </w:r>
      <w:r w:rsidRPr="006432AF">
        <w:rPr>
          <w:rFonts w:ascii="Book Antiqua" w:eastAsia="Book Antiqua" w:hAnsi="Book Antiqua" w:cs="Book Antiqua"/>
        </w:rPr>
        <w:t xml:space="preserve">omisión que </w:t>
      </w:r>
      <w:r w:rsidR="007142F7" w:rsidRPr="006432AF">
        <w:rPr>
          <w:rFonts w:ascii="Book Antiqua" w:eastAsia="Book Antiqua" w:hAnsi="Book Antiqua" w:cs="Book Antiqua"/>
        </w:rPr>
        <w:t>suscribe</w:t>
      </w:r>
      <w:r w:rsidRPr="006432AF">
        <w:rPr>
          <w:rFonts w:ascii="Book Antiqua" w:eastAsia="Book Antiqua" w:hAnsi="Book Antiqua" w:cs="Book Antiqua"/>
        </w:rPr>
        <w:t xml:space="preserve"> apoye la implementación del P. de</w:t>
      </w:r>
      <w:r w:rsidR="00FA193C">
        <w:rPr>
          <w:rFonts w:ascii="Book Antiqua" w:eastAsia="Book Antiqua" w:hAnsi="Book Antiqua" w:cs="Book Antiqua"/>
        </w:rPr>
        <w:t>l S</w:t>
      </w:r>
      <w:r w:rsidRPr="006432AF">
        <w:rPr>
          <w:rFonts w:ascii="Book Antiqua" w:eastAsia="Book Antiqua" w:hAnsi="Book Antiqua" w:cs="Book Antiqua"/>
        </w:rPr>
        <w:t xml:space="preserve">. </w:t>
      </w:r>
      <w:r w:rsidR="00FA193C">
        <w:rPr>
          <w:rFonts w:ascii="Book Antiqua" w:eastAsia="Book Antiqua" w:hAnsi="Book Antiqua" w:cs="Book Antiqua"/>
        </w:rPr>
        <w:t>60</w:t>
      </w:r>
      <w:r w:rsidRPr="006432AF">
        <w:rPr>
          <w:rFonts w:ascii="Book Antiqua" w:eastAsia="Book Antiqua" w:hAnsi="Book Antiqua" w:cs="Book Antiqua"/>
        </w:rPr>
        <w:t>.</w:t>
      </w:r>
    </w:p>
    <w:p w14:paraId="448BE787" w14:textId="10C6DC4E" w:rsidR="002B0D51" w:rsidRPr="00980239" w:rsidRDefault="002B0D51" w:rsidP="00AD29DF">
      <w:pPr>
        <w:spacing w:before="240" w:after="120" w:line="298" w:lineRule="auto"/>
        <w:ind w:firstLine="706"/>
        <w:jc w:val="center"/>
        <w:rPr>
          <w:rFonts w:ascii="Book Antiqua" w:hAnsi="Book Antiqua"/>
          <w:lang w:val="es-ES"/>
        </w:rPr>
      </w:pPr>
      <w:r w:rsidRPr="00980239">
        <w:rPr>
          <w:rFonts w:ascii="Book Antiqua" w:eastAsia="Calibri" w:hAnsi="Book Antiqua" w:cs="Times New Roman"/>
          <w:spacing w:val="12"/>
          <w:kern w:val="0"/>
          <w:lang w:val="es-ES"/>
          <w14:ligatures w14:val="none"/>
        </w:rPr>
        <w:t>ANÁLISIS DE LA MEDIDA</w:t>
      </w:r>
    </w:p>
    <w:p w14:paraId="51ED837E" w14:textId="5AD176D0" w:rsidR="00E70A15" w:rsidRDefault="00746ED9" w:rsidP="00CB6A41">
      <w:pPr>
        <w:spacing w:line="298" w:lineRule="auto"/>
        <w:ind w:firstLine="706"/>
        <w:jc w:val="both"/>
        <w:rPr>
          <w:rFonts w:ascii="Book Antiqua" w:hAnsi="Book Antiqua"/>
          <w:shd w:val="clear" w:color="auto" w:fill="FFFFFF"/>
          <w:lang w:val="es-ES"/>
        </w:rPr>
      </w:pPr>
      <w:r>
        <w:rPr>
          <w:rFonts w:ascii="Book Antiqua" w:hAnsi="Book Antiqua"/>
          <w:lang w:val="es-ES"/>
        </w:rPr>
        <w:t>Como parte de</w:t>
      </w:r>
      <w:r w:rsidR="001816EA">
        <w:rPr>
          <w:rFonts w:ascii="Book Antiqua" w:hAnsi="Book Antiqua"/>
          <w:lang w:val="es-ES"/>
        </w:rPr>
        <w:t xml:space="preserve">l análisis y evaluación </w:t>
      </w:r>
      <w:r>
        <w:rPr>
          <w:rFonts w:ascii="Book Antiqua" w:hAnsi="Book Antiqua"/>
          <w:lang w:val="es-ES"/>
        </w:rPr>
        <w:t xml:space="preserve">realizados por esta </w:t>
      </w:r>
      <w:r w:rsidR="00922595">
        <w:rPr>
          <w:rFonts w:ascii="Book Antiqua" w:hAnsi="Book Antiqua"/>
          <w:lang w:val="es-ES"/>
        </w:rPr>
        <w:t xml:space="preserve">comisión, </w:t>
      </w:r>
      <w:r>
        <w:rPr>
          <w:rFonts w:ascii="Book Antiqua" w:hAnsi="Book Antiqua"/>
          <w:lang w:val="es-ES"/>
        </w:rPr>
        <w:t>se consideró la posición de: la Puerto Rico Association of Realtors (PRAR), el Colegio de Notarios de Puerto Rico (CNPR). Asimismo, se tomó en consideración la posición de la Oficina de la Administración de Tribunales (OAT)</w:t>
      </w:r>
      <w:r w:rsidR="006C08D4">
        <w:rPr>
          <w:rFonts w:ascii="Book Antiqua" w:hAnsi="Book Antiqua"/>
          <w:lang w:val="es-ES"/>
        </w:rPr>
        <w:t>, quien compareció ante</w:t>
      </w:r>
      <w:r>
        <w:rPr>
          <w:rFonts w:ascii="Book Antiqua" w:hAnsi="Book Antiqua"/>
          <w:lang w:val="es-ES"/>
        </w:rPr>
        <w:t xml:space="preserve"> la Comisión de Innovación, Reforma y Nombramientos del Senado</w:t>
      </w:r>
      <w:r w:rsidR="00DE4263" w:rsidRPr="000C1572">
        <w:rPr>
          <w:rFonts w:ascii="Book Antiqua" w:hAnsi="Book Antiqua"/>
          <w:shd w:val="clear" w:color="auto" w:fill="FFFFFF"/>
          <w:lang w:val="es-ES"/>
        </w:rPr>
        <w:t xml:space="preserve">. </w:t>
      </w:r>
      <w:r w:rsidR="00CE2DD2">
        <w:rPr>
          <w:rFonts w:ascii="Book Antiqua" w:hAnsi="Book Antiqua"/>
          <w:shd w:val="clear" w:color="auto" w:fill="FFFFFF"/>
          <w:lang w:val="es-ES"/>
        </w:rPr>
        <w:t>Así, p</w:t>
      </w:r>
      <w:r w:rsidR="00DE4263" w:rsidRPr="000C1572">
        <w:rPr>
          <w:rFonts w:ascii="Book Antiqua" w:hAnsi="Book Antiqua"/>
          <w:shd w:val="clear" w:color="auto" w:fill="FFFFFF"/>
          <w:lang w:val="es-ES"/>
        </w:rPr>
        <w:t>rocedemos a resumir los puntos</w:t>
      </w:r>
      <w:r w:rsidR="00CE2DD2">
        <w:rPr>
          <w:rFonts w:ascii="Book Antiqua" w:hAnsi="Book Antiqua"/>
          <w:shd w:val="clear" w:color="auto" w:fill="FFFFFF"/>
          <w:lang w:val="es-ES"/>
        </w:rPr>
        <w:t xml:space="preserve"> </w:t>
      </w:r>
      <w:r w:rsidR="00DE4263" w:rsidRPr="000C1572">
        <w:rPr>
          <w:rFonts w:ascii="Book Antiqua" w:hAnsi="Book Antiqua"/>
          <w:shd w:val="clear" w:color="auto" w:fill="FFFFFF"/>
          <w:lang w:val="es-ES"/>
        </w:rPr>
        <w:t>más importantes.</w:t>
      </w:r>
    </w:p>
    <w:p w14:paraId="02E3F022" w14:textId="77777777" w:rsidR="006C08D4" w:rsidRDefault="006C08D4" w:rsidP="00CB6A41">
      <w:pPr>
        <w:spacing w:line="298" w:lineRule="auto"/>
        <w:ind w:firstLine="706"/>
        <w:jc w:val="both"/>
        <w:rPr>
          <w:rFonts w:ascii="Book Antiqua" w:hAnsi="Book Antiqua"/>
          <w:shd w:val="clear" w:color="auto" w:fill="FFFFFF"/>
          <w:lang w:val="es-ES"/>
        </w:rPr>
      </w:pPr>
    </w:p>
    <w:p w14:paraId="6655EB2D" w14:textId="77777777" w:rsidR="007142F7" w:rsidRDefault="007142F7" w:rsidP="00CB6A41">
      <w:pPr>
        <w:spacing w:line="298" w:lineRule="auto"/>
        <w:ind w:firstLine="706"/>
        <w:jc w:val="both"/>
        <w:rPr>
          <w:rFonts w:ascii="Book Antiqua" w:hAnsi="Book Antiqua"/>
          <w:shd w:val="clear" w:color="auto" w:fill="FFFFFF"/>
          <w:lang w:val="es-ES"/>
        </w:rPr>
      </w:pPr>
    </w:p>
    <w:p w14:paraId="343D5D11" w14:textId="77777777" w:rsidR="007142F7" w:rsidRPr="0037032F" w:rsidRDefault="007142F7" w:rsidP="00CB6A41">
      <w:pPr>
        <w:spacing w:line="298" w:lineRule="auto"/>
        <w:ind w:firstLine="706"/>
        <w:jc w:val="both"/>
        <w:rPr>
          <w:rFonts w:ascii="Book Antiqua" w:hAnsi="Book Antiqua"/>
          <w:shd w:val="clear" w:color="auto" w:fill="FFFFFF"/>
          <w:lang w:val="es-ES"/>
        </w:rPr>
      </w:pPr>
    </w:p>
    <w:p w14:paraId="7B95DE25" w14:textId="628A8883" w:rsidR="009338C3" w:rsidRPr="006A23F8" w:rsidRDefault="00DE6CE0" w:rsidP="00C74F6D">
      <w:pPr>
        <w:spacing w:before="240" w:after="120" w:line="298" w:lineRule="auto"/>
        <w:jc w:val="center"/>
        <w:rPr>
          <w:rFonts w:ascii="Book Antiqua" w:hAnsi="Book Antiqua"/>
          <w:b/>
          <w:bCs/>
          <w:lang w:val="es-ES"/>
        </w:rPr>
      </w:pPr>
      <w:r>
        <w:rPr>
          <w:rFonts w:ascii="Book Antiqua" w:hAnsi="Book Antiqua"/>
          <w:b/>
          <w:bCs/>
          <w:lang w:val="es-ES"/>
        </w:rPr>
        <w:t>Oficina de la Administración de Tribunales</w:t>
      </w:r>
      <w:r w:rsidR="005D7600">
        <w:rPr>
          <w:rFonts w:ascii="Book Antiqua" w:hAnsi="Book Antiqua"/>
          <w:b/>
          <w:bCs/>
          <w:lang w:val="es-ES"/>
        </w:rPr>
        <w:t xml:space="preserve"> (OAT)</w:t>
      </w:r>
    </w:p>
    <w:p w14:paraId="5724EF1E" w14:textId="56898FA5" w:rsidR="00957AEF" w:rsidRDefault="00611C4C" w:rsidP="00CB6A41">
      <w:pPr>
        <w:spacing w:line="298" w:lineRule="auto"/>
        <w:jc w:val="both"/>
        <w:rPr>
          <w:rFonts w:ascii="Book Antiqua" w:hAnsi="Book Antiqua"/>
          <w:lang w:val="es-ES"/>
        </w:rPr>
      </w:pPr>
      <w:r>
        <w:rPr>
          <w:rFonts w:ascii="Book Antiqua" w:hAnsi="Book Antiqua"/>
          <w:lang w:val="es-ES"/>
        </w:rPr>
        <w:tab/>
      </w:r>
      <w:r w:rsidR="00DE6CE0">
        <w:rPr>
          <w:rFonts w:ascii="Book Antiqua" w:hAnsi="Book Antiqua"/>
          <w:lang w:val="es-ES"/>
        </w:rPr>
        <w:t xml:space="preserve">La OAT no mostró reparo a las enmiendas propuestas, tal y como surgen del proyecto. En su escrito, aludieron al caso de la </w:t>
      </w:r>
      <w:r w:rsidR="00DE6CE0" w:rsidRPr="00DE6CE0">
        <w:rPr>
          <w:rFonts w:ascii="Book Antiqua" w:hAnsi="Book Antiqua"/>
          <w:i/>
          <w:iCs/>
          <w:lang w:val="es-ES"/>
        </w:rPr>
        <w:t>Asociación de Abogados de Puerto Rico v. Gobierno de Puerto Rico</w:t>
      </w:r>
      <w:r w:rsidR="00DE6CE0">
        <w:rPr>
          <w:rFonts w:ascii="Book Antiqua" w:hAnsi="Book Antiqua"/>
          <w:lang w:val="es-ES"/>
        </w:rPr>
        <w:t>, Civil Núm. SJ2022CV05905.</w:t>
      </w:r>
      <w:r w:rsidR="00DE6CE0">
        <w:rPr>
          <w:rStyle w:val="FootnoteReference"/>
          <w:rFonts w:ascii="Book Antiqua" w:hAnsi="Book Antiqua"/>
          <w:lang w:val="es-ES"/>
        </w:rPr>
        <w:footnoteReference w:id="6"/>
      </w:r>
    </w:p>
    <w:p w14:paraId="3EBD0498" w14:textId="1404138E" w:rsidR="00611C4C" w:rsidRPr="006C08D4" w:rsidRDefault="00DE6CE0" w:rsidP="00C74F6D">
      <w:pPr>
        <w:spacing w:before="240" w:after="120" w:line="298" w:lineRule="auto"/>
        <w:jc w:val="center"/>
        <w:rPr>
          <w:rFonts w:ascii="Book Antiqua" w:hAnsi="Book Antiqua"/>
          <w:b/>
          <w:bCs/>
        </w:rPr>
      </w:pPr>
      <w:r w:rsidRPr="006C08D4">
        <w:rPr>
          <w:rFonts w:ascii="Book Antiqua" w:hAnsi="Book Antiqua"/>
          <w:b/>
          <w:bCs/>
        </w:rPr>
        <w:t>Puerto Rico Association of Realtors (PRAR)</w:t>
      </w:r>
    </w:p>
    <w:p w14:paraId="69BD9C25" w14:textId="3F77B9FA" w:rsidR="00DE6CE0" w:rsidRDefault="00DE6CE0" w:rsidP="00CB6A41">
      <w:pPr>
        <w:spacing w:line="298" w:lineRule="auto"/>
        <w:jc w:val="both"/>
        <w:rPr>
          <w:rFonts w:ascii="Book Antiqua" w:hAnsi="Book Antiqua"/>
          <w:lang w:val="es-ES"/>
        </w:rPr>
      </w:pPr>
      <w:r w:rsidRPr="006C08D4">
        <w:rPr>
          <w:rFonts w:ascii="Book Antiqua" w:hAnsi="Book Antiqua"/>
        </w:rPr>
        <w:tab/>
      </w:r>
      <w:r w:rsidR="00950C3A">
        <w:rPr>
          <w:rFonts w:ascii="Book Antiqua" w:hAnsi="Book Antiqua"/>
          <w:lang w:val="es-ES"/>
        </w:rPr>
        <w:t>La PRAR presentó un resumen de la medida propuesta. Expresó la necesidad de corre</w:t>
      </w:r>
      <w:r w:rsidR="0076483A">
        <w:rPr>
          <w:rFonts w:ascii="Book Antiqua" w:hAnsi="Book Antiqua"/>
          <w:lang w:val="es-ES"/>
        </w:rPr>
        <w:t>gir</w:t>
      </w:r>
      <w:r w:rsidR="00950C3A">
        <w:rPr>
          <w:rFonts w:ascii="Book Antiqua" w:hAnsi="Book Antiqua"/>
          <w:lang w:val="es-ES"/>
        </w:rPr>
        <w:t xml:space="preserve"> y aclara</w:t>
      </w:r>
      <w:r w:rsidR="0076483A">
        <w:rPr>
          <w:rFonts w:ascii="Book Antiqua" w:hAnsi="Book Antiqua"/>
          <w:lang w:val="es-ES"/>
        </w:rPr>
        <w:t>r</w:t>
      </w:r>
      <w:r w:rsidR="00950C3A">
        <w:rPr>
          <w:rFonts w:ascii="Book Antiqua" w:hAnsi="Book Antiqua"/>
          <w:lang w:val="es-ES"/>
        </w:rPr>
        <w:t xml:space="preserve"> el </w:t>
      </w:r>
      <w:r w:rsidR="0076483A">
        <w:rPr>
          <w:rFonts w:ascii="Book Antiqua" w:hAnsi="Book Antiqua"/>
          <w:lang w:val="es-ES"/>
        </w:rPr>
        <w:t>a</w:t>
      </w:r>
      <w:r w:rsidR="00950C3A">
        <w:rPr>
          <w:rFonts w:ascii="Book Antiqua" w:hAnsi="Book Antiqua"/>
          <w:lang w:val="es-ES"/>
        </w:rPr>
        <w:t>rtículo 11 de la Ley Notarial como consecuencia de la enmienda que recibió mediante la Ley</w:t>
      </w:r>
      <w:r w:rsidR="00CB6A41">
        <w:rPr>
          <w:rFonts w:ascii="Book Antiqua" w:hAnsi="Book Antiqua"/>
          <w:lang w:val="es-ES"/>
        </w:rPr>
        <w:t xml:space="preserve"> Núm.</w:t>
      </w:r>
      <w:r w:rsidR="00950C3A">
        <w:rPr>
          <w:rFonts w:ascii="Book Antiqua" w:hAnsi="Book Antiqua"/>
          <w:lang w:val="es-ES"/>
        </w:rPr>
        <w:t xml:space="preserve"> 52-2022. Aclaró que fue una de las asociaciones en asumir liderazgo y mostrar oposición a la aprobación de la antes mencionada ley.</w:t>
      </w:r>
    </w:p>
    <w:p w14:paraId="113F40BD" w14:textId="3C26259A" w:rsidR="00950C3A" w:rsidRDefault="00950C3A" w:rsidP="00C74F6D">
      <w:pPr>
        <w:spacing w:before="240" w:line="298" w:lineRule="auto"/>
        <w:jc w:val="both"/>
        <w:rPr>
          <w:rFonts w:ascii="Book Antiqua" w:hAnsi="Book Antiqua"/>
          <w:lang w:val="es-ES"/>
        </w:rPr>
      </w:pPr>
      <w:r>
        <w:rPr>
          <w:rFonts w:ascii="Book Antiqua" w:hAnsi="Book Antiqua"/>
          <w:lang w:val="es-ES"/>
        </w:rPr>
        <w:tab/>
      </w:r>
      <w:r w:rsidR="00343D15">
        <w:rPr>
          <w:rFonts w:ascii="Book Antiqua" w:hAnsi="Book Antiqua"/>
          <w:lang w:val="es-ES"/>
        </w:rPr>
        <w:t>M</w:t>
      </w:r>
      <w:r>
        <w:rPr>
          <w:rFonts w:ascii="Book Antiqua" w:hAnsi="Book Antiqua"/>
          <w:lang w:val="es-ES"/>
        </w:rPr>
        <w:t>enciona la similitud que guardan el P. de la C. 24 y e</w:t>
      </w:r>
      <w:r w:rsidR="00EF1E4A">
        <w:rPr>
          <w:rFonts w:ascii="Book Antiqua" w:hAnsi="Book Antiqua"/>
          <w:lang w:val="es-ES"/>
        </w:rPr>
        <w:t>sta medida</w:t>
      </w:r>
      <w:r>
        <w:rPr>
          <w:rFonts w:ascii="Book Antiqua" w:hAnsi="Book Antiqua"/>
          <w:lang w:val="es-ES"/>
        </w:rPr>
        <w:t xml:space="preserve">. No obstante, </w:t>
      </w:r>
      <w:r w:rsidR="002A413F">
        <w:rPr>
          <w:rFonts w:ascii="Book Antiqua" w:hAnsi="Book Antiqua"/>
          <w:lang w:val="es-ES"/>
        </w:rPr>
        <w:t>condicion</w:t>
      </w:r>
      <w:r w:rsidR="00343D15">
        <w:rPr>
          <w:rFonts w:ascii="Book Antiqua" w:hAnsi="Book Antiqua"/>
          <w:lang w:val="es-ES"/>
        </w:rPr>
        <w:t>ó</w:t>
      </w:r>
      <w:r w:rsidR="002A413F">
        <w:rPr>
          <w:rFonts w:ascii="Book Antiqua" w:hAnsi="Book Antiqua"/>
          <w:lang w:val="es-ES"/>
        </w:rPr>
        <w:t xml:space="preserve"> su apoyo</w:t>
      </w:r>
      <w:r>
        <w:rPr>
          <w:rFonts w:ascii="Book Antiqua" w:hAnsi="Book Antiqua"/>
          <w:lang w:val="es-ES"/>
        </w:rPr>
        <w:t xml:space="preserve"> a</w:t>
      </w:r>
      <w:r w:rsidR="002A413F">
        <w:rPr>
          <w:rFonts w:ascii="Book Antiqua" w:hAnsi="Book Antiqua"/>
          <w:lang w:val="es-ES"/>
        </w:rPr>
        <w:t>l P. del S. 60 a</w:t>
      </w:r>
      <w:r>
        <w:rPr>
          <w:rFonts w:ascii="Book Antiqua" w:hAnsi="Book Antiqua"/>
          <w:lang w:val="es-ES"/>
        </w:rPr>
        <w:t xml:space="preserve"> que se sustituya el requisito de incluir el </w:t>
      </w:r>
      <w:r w:rsidRPr="00D20BF5">
        <w:rPr>
          <w:rFonts w:ascii="Book Antiqua" w:hAnsi="Book Antiqua"/>
          <w:i/>
          <w:iCs/>
          <w:lang w:val="es-ES"/>
        </w:rPr>
        <w:t>precio de tasación</w:t>
      </w:r>
      <w:r>
        <w:rPr>
          <w:rFonts w:ascii="Book Antiqua" w:hAnsi="Book Antiqua"/>
          <w:lang w:val="es-ES"/>
        </w:rPr>
        <w:t xml:space="preserve"> por </w:t>
      </w:r>
      <w:r w:rsidRPr="00D20BF5">
        <w:rPr>
          <w:rFonts w:ascii="Book Antiqua" w:hAnsi="Book Antiqua"/>
          <w:i/>
          <w:iCs/>
          <w:lang w:val="es-ES"/>
        </w:rPr>
        <w:t>precio de compraventa</w:t>
      </w:r>
      <w:r w:rsidR="00B7012E">
        <w:rPr>
          <w:rFonts w:ascii="Book Antiqua" w:hAnsi="Book Antiqua"/>
          <w:lang w:val="es-ES"/>
        </w:rPr>
        <w:t xml:space="preserve"> o </w:t>
      </w:r>
      <w:r w:rsidR="00B7012E" w:rsidRPr="00D20BF5">
        <w:rPr>
          <w:rFonts w:ascii="Book Antiqua" w:hAnsi="Book Antiqua"/>
          <w:i/>
          <w:iCs/>
          <w:lang w:val="es-ES"/>
        </w:rPr>
        <w:t>precio del negocio jurídico en cuestión</w:t>
      </w:r>
      <w:r w:rsidR="00343D15">
        <w:rPr>
          <w:rFonts w:ascii="Book Antiqua" w:hAnsi="Book Antiqua"/>
          <w:lang w:val="es-ES"/>
        </w:rPr>
        <w:t xml:space="preserve"> </w:t>
      </w:r>
      <w:r w:rsidR="00343D15">
        <w:rPr>
          <w:rFonts w:ascii="Book Antiqua" w:eastAsia="Book Antiqua" w:hAnsi="Book Antiqua" w:cs="Book Antiqua"/>
          <w:lang w:val="es-ES"/>
        </w:rPr>
        <w:t>en el inciso 5 del artículo 11 de la Ley Notarial</w:t>
      </w:r>
      <w:r w:rsidR="004E122F">
        <w:rPr>
          <w:rFonts w:ascii="Book Antiqua" w:eastAsia="Book Antiqua" w:hAnsi="Book Antiqua" w:cs="Book Antiqua"/>
          <w:lang w:val="es-ES"/>
        </w:rPr>
        <w:t>.</w:t>
      </w:r>
      <w:r>
        <w:rPr>
          <w:rFonts w:ascii="Book Antiqua" w:hAnsi="Book Antiqua"/>
          <w:lang w:val="es-ES"/>
        </w:rPr>
        <w:t xml:space="preserve"> </w:t>
      </w:r>
      <w:r w:rsidR="002A413F">
        <w:rPr>
          <w:rFonts w:ascii="Book Antiqua" w:hAnsi="Book Antiqua"/>
          <w:lang w:val="es-ES"/>
        </w:rPr>
        <w:t>Su posición se fundamenta en que una transacción no necesariamente está sujeta a financiamiento. Las partes, de manera libre y voluntaria, pueden convenir el valor de una propiedad haciendo innecesario llevar a cabo un proceso de tasación.</w:t>
      </w:r>
      <w:r w:rsidR="005D7600">
        <w:rPr>
          <w:rFonts w:ascii="Book Antiqua" w:hAnsi="Book Antiqua"/>
          <w:lang w:val="es-ES"/>
        </w:rPr>
        <w:t xml:space="preserve"> En estos casos, se </w:t>
      </w:r>
      <w:r w:rsidR="00E70A15">
        <w:rPr>
          <w:rFonts w:ascii="Book Antiqua" w:hAnsi="Book Antiqua"/>
          <w:lang w:val="es-ES"/>
        </w:rPr>
        <w:t>impondría una carga onerosa sobre los ciudadanos obligándolos</w:t>
      </w:r>
      <w:r w:rsidR="005D7600">
        <w:rPr>
          <w:rFonts w:ascii="Book Antiqua" w:hAnsi="Book Antiqua"/>
          <w:lang w:val="es-ES"/>
        </w:rPr>
        <w:t xml:space="preserve"> a incurrir en un gasto adicional.</w:t>
      </w:r>
    </w:p>
    <w:p w14:paraId="43E07B7F" w14:textId="77F6172D" w:rsidR="005D7600" w:rsidRPr="005D7600" w:rsidRDefault="005D7600" w:rsidP="005D7600">
      <w:pPr>
        <w:spacing w:before="240" w:line="298" w:lineRule="auto"/>
        <w:jc w:val="center"/>
        <w:rPr>
          <w:rFonts w:ascii="Book Antiqua" w:hAnsi="Book Antiqua"/>
          <w:b/>
          <w:bCs/>
          <w:lang w:val="es-ES"/>
        </w:rPr>
      </w:pPr>
      <w:r w:rsidRPr="005D7600">
        <w:rPr>
          <w:rFonts w:ascii="Book Antiqua" w:hAnsi="Book Antiqua"/>
          <w:b/>
          <w:bCs/>
          <w:lang w:val="es-ES"/>
        </w:rPr>
        <w:t>Colegio de Notarios de Puerto Rico</w:t>
      </w:r>
      <w:r>
        <w:rPr>
          <w:rFonts w:ascii="Book Antiqua" w:hAnsi="Book Antiqua"/>
          <w:b/>
          <w:bCs/>
          <w:lang w:val="es-ES"/>
        </w:rPr>
        <w:t xml:space="preserve"> (CNPR)</w:t>
      </w:r>
    </w:p>
    <w:p w14:paraId="0AB9FB74" w14:textId="2F8E46E4" w:rsidR="00C43ACD" w:rsidRDefault="005D7600" w:rsidP="00CB6A41">
      <w:pPr>
        <w:spacing w:line="298" w:lineRule="auto"/>
        <w:ind w:firstLine="706"/>
        <w:jc w:val="both"/>
        <w:rPr>
          <w:rFonts w:ascii="Book Antiqua" w:hAnsi="Book Antiqua"/>
          <w:lang w:val="es-ES"/>
        </w:rPr>
      </w:pPr>
      <w:r>
        <w:rPr>
          <w:rFonts w:ascii="Book Antiqua" w:hAnsi="Book Antiqua"/>
          <w:lang w:val="es-ES"/>
        </w:rPr>
        <w:t xml:space="preserve">En su exposición, el CNPR apoya la </w:t>
      </w:r>
      <w:r w:rsidR="00CB6A41">
        <w:rPr>
          <w:rFonts w:ascii="Book Antiqua" w:hAnsi="Book Antiqua"/>
          <w:lang w:val="es-ES"/>
        </w:rPr>
        <w:t>medida condicionada</w:t>
      </w:r>
      <w:r>
        <w:rPr>
          <w:rFonts w:ascii="Book Antiqua" w:hAnsi="Book Antiqua"/>
          <w:lang w:val="es-ES"/>
        </w:rPr>
        <w:t xml:space="preserve"> a que, si la intención es revertir la ley a su texto original</w:t>
      </w:r>
      <w:r w:rsidR="00F5053A">
        <w:rPr>
          <w:rFonts w:ascii="Book Antiqua" w:hAnsi="Book Antiqua"/>
          <w:lang w:val="es-ES"/>
        </w:rPr>
        <w:t xml:space="preserve">, la enmienda debe indicar </w:t>
      </w:r>
      <w:r w:rsidR="00F5053A" w:rsidRPr="00CB6A41">
        <w:rPr>
          <w:rFonts w:ascii="Book Antiqua" w:hAnsi="Book Antiqua"/>
          <w:i/>
          <w:iCs/>
          <w:lang w:val="es-ES"/>
        </w:rPr>
        <w:t>precio o valor de transacción</w:t>
      </w:r>
      <w:r w:rsidR="00133D15">
        <w:rPr>
          <w:rFonts w:ascii="Book Antiqua" w:hAnsi="Book Antiqua"/>
          <w:i/>
          <w:iCs/>
          <w:lang w:val="es-ES"/>
        </w:rPr>
        <w:t xml:space="preserve"> </w:t>
      </w:r>
      <w:r w:rsidR="00133D15">
        <w:rPr>
          <w:rFonts w:ascii="Book Antiqua" w:eastAsia="Book Antiqua" w:hAnsi="Book Antiqua" w:cs="Book Antiqua"/>
          <w:lang w:val="es-ES"/>
        </w:rPr>
        <w:t>en el inciso 5 del artículo 11 de la Ley Notarial</w:t>
      </w:r>
      <w:r w:rsidR="00F5053A">
        <w:rPr>
          <w:rFonts w:ascii="Book Antiqua" w:hAnsi="Book Antiqua"/>
          <w:lang w:val="es-ES"/>
        </w:rPr>
        <w:t xml:space="preserve">. Su análisis está basado en que de esta forma se fortalece la seguridad jurídica, la transparencia y la eficiencia de las transacciones notariales e inmobiliarias. Asimismo, se reducen los costos, como </w:t>
      </w:r>
      <w:r w:rsidR="003875E0">
        <w:rPr>
          <w:rFonts w:ascii="Book Antiqua" w:hAnsi="Book Antiqua"/>
          <w:lang w:val="es-ES"/>
        </w:rPr>
        <w:t xml:space="preserve">los </w:t>
      </w:r>
      <w:r w:rsidR="00F5053A">
        <w:rPr>
          <w:rFonts w:ascii="Book Antiqua" w:hAnsi="Book Antiqua"/>
          <w:lang w:val="es-ES"/>
        </w:rPr>
        <w:t>requisitos administrativos onerosos de aplicación a los ciudadanos.</w:t>
      </w:r>
    </w:p>
    <w:p w14:paraId="5C75E131" w14:textId="77777777" w:rsidR="00980239" w:rsidRDefault="00980239" w:rsidP="00F5053A">
      <w:pPr>
        <w:spacing w:before="240" w:line="298" w:lineRule="auto"/>
        <w:ind w:firstLine="708"/>
        <w:jc w:val="both"/>
        <w:rPr>
          <w:rFonts w:ascii="Book Antiqua" w:hAnsi="Book Antiqua"/>
          <w:lang w:val="es-ES"/>
        </w:rPr>
      </w:pPr>
    </w:p>
    <w:p w14:paraId="15012CFB" w14:textId="77777777" w:rsidR="00133D15" w:rsidRDefault="00133D15" w:rsidP="00F5053A">
      <w:pPr>
        <w:spacing w:before="240" w:line="298" w:lineRule="auto"/>
        <w:ind w:firstLine="708"/>
        <w:jc w:val="both"/>
        <w:rPr>
          <w:rFonts w:ascii="Book Antiqua" w:hAnsi="Book Antiqua"/>
          <w:lang w:val="es-ES"/>
        </w:rPr>
      </w:pPr>
    </w:p>
    <w:p w14:paraId="6B6F77A8" w14:textId="49B9EFA6" w:rsidR="00C94F38" w:rsidRPr="00980239" w:rsidRDefault="00CB4BCC" w:rsidP="00C74F6D">
      <w:pPr>
        <w:spacing w:before="240" w:after="120" w:line="298" w:lineRule="auto"/>
        <w:jc w:val="center"/>
        <w:rPr>
          <w:rFonts w:ascii="Book Antiqua" w:eastAsia="Book Antiqua" w:hAnsi="Book Antiqua" w:cs="Book Antiqua"/>
          <w:bCs/>
          <w:spacing w:val="12"/>
          <w:kern w:val="0"/>
          <w:lang w:val="es-ES"/>
          <w14:ligatures w14:val="none"/>
        </w:rPr>
      </w:pPr>
      <w:r w:rsidRPr="00980239">
        <w:rPr>
          <w:rFonts w:ascii="Book Antiqua" w:eastAsia="Book Antiqua" w:hAnsi="Book Antiqua" w:cs="Book Antiqua"/>
          <w:bCs/>
          <w:spacing w:val="12"/>
          <w:kern w:val="0"/>
          <w:lang w:val="es-ES"/>
          <w14:ligatures w14:val="none"/>
        </w:rPr>
        <w:lastRenderedPageBreak/>
        <w:t>CONCLUSIÓN</w:t>
      </w:r>
    </w:p>
    <w:p w14:paraId="735499F9" w14:textId="6F4C59BF" w:rsidR="000D1CCF" w:rsidRDefault="000D1CCF" w:rsidP="00980239">
      <w:pPr>
        <w:spacing w:line="298" w:lineRule="auto"/>
        <w:ind w:firstLine="706"/>
        <w:jc w:val="both"/>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 xml:space="preserve">Según se aprobó en el Senado, </w:t>
      </w:r>
      <w:r w:rsidR="00FA4273">
        <w:rPr>
          <w:rFonts w:ascii="Book Antiqua" w:eastAsia="Calibri" w:hAnsi="Book Antiqua" w:cs="Times New Roman"/>
          <w:bCs/>
          <w:kern w:val="0"/>
          <w:lang w:val="es-ES"/>
          <w14:ligatures w14:val="none"/>
        </w:rPr>
        <w:t xml:space="preserve">la medida enmendó el inciso 5 y eliminó los incisos 8 y 9 del artículo 11 de la Ley Notarial. </w:t>
      </w:r>
      <w:r w:rsidR="00D9431E">
        <w:rPr>
          <w:rFonts w:ascii="Book Antiqua" w:eastAsia="Calibri" w:hAnsi="Book Antiqua" w:cs="Times New Roman"/>
          <w:bCs/>
          <w:kern w:val="0"/>
          <w:lang w:val="es-ES"/>
          <w14:ligatures w14:val="none"/>
        </w:rPr>
        <w:t>Esta comisión se limitó</w:t>
      </w:r>
      <w:r w:rsidR="00151461">
        <w:rPr>
          <w:rFonts w:ascii="Book Antiqua" w:eastAsia="Calibri" w:hAnsi="Book Antiqua" w:cs="Times New Roman"/>
          <w:bCs/>
          <w:kern w:val="0"/>
          <w:lang w:val="es-ES"/>
          <w14:ligatures w14:val="none"/>
        </w:rPr>
        <w:t xml:space="preserve"> a adoptar la enmienda que propuso el CNPR, l</w:t>
      </w:r>
      <w:r w:rsidR="006C08D4">
        <w:rPr>
          <w:rFonts w:ascii="Book Antiqua" w:eastAsia="Calibri" w:hAnsi="Book Antiqua" w:cs="Times New Roman"/>
          <w:bCs/>
          <w:kern w:val="0"/>
          <w:lang w:val="es-ES"/>
          <w14:ligatures w14:val="none"/>
        </w:rPr>
        <w:t>a</w:t>
      </w:r>
      <w:r w:rsidR="00151461">
        <w:rPr>
          <w:rFonts w:ascii="Book Antiqua" w:eastAsia="Calibri" w:hAnsi="Book Antiqua" w:cs="Times New Roman"/>
          <w:bCs/>
          <w:kern w:val="0"/>
          <w:lang w:val="es-ES"/>
          <w14:ligatures w14:val="none"/>
        </w:rPr>
        <w:t xml:space="preserve"> cual es cónson</w:t>
      </w:r>
      <w:r w:rsidR="006C08D4">
        <w:rPr>
          <w:rFonts w:ascii="Book Antiqua" w:eastAsia="Calibri" w:hAnsi="Book Antiqua" w:cs="Times New Roman"/>
          <w:bCs/>
          <w:kern w:val="0"/>
          <w:lang w:val="es-ES"/>
          <w14:ligatures w14:val="none"/>
        </w:rPr>
        <w:t>a</w:t>
      </w:r>
      <w:r w:rsidR="00151461">
        <w:rPr>
          <w:rFonts w:ascii="Book Antiqua" w:eastAsia="Calibri" w:hAnsi="Book Antiqua" w:cs="Times New Roman"/>
          <w:bCs/>
          <w:kern w:val="0"/>
          <w:lang w:val="es-ES"/>
          <w14:ligatures w14:val="none"/>
        </w:rPr>
        <w:t xml:space="preserve"> con </w:t>
      </w:r>
      <w:r w:rsidR="006926B3">
        <w:rPr>
          <w:rFonts w:ascii="Book Antiqua" w:eastAsia="Calibri" w:hAnsi="Book Antiqua" w:cs="Times New Roman"/>
          <w:bCs/>
          <w:kern w:val="0"/>
          <w:lang w:val="es-ES"/>
          <w14:ligatures w14:val="none"/>
        </w:rPr>
        <w:t xml:space="preserve">lo que propuso la PRAR. </w:t>
      </w:r>
      <w:r w:rsidR="00600214">
        <w:rPr>
          <w:rFonts w:ascii="Book Antiqua" w:eastAsia="Calibri" w:hAnsi="Book Antiqua" w:cs="Times New Roman"/>
          <w:bCs/>
          <w:kern w:val="0"/>
          <w:lang w:val="es-ES"/>
          <w14:ligatures w14:val="none"/>
        </w:rPr>
        <w:t xml:space="preserve">Además, se actualizaron </w:t>
      </w:r>
      <w:r w:rsidR="00C444CC">
        <w:rPr>
          <w:rFonts w:ascii="Book Antiqua" w:eastAsia="Calibri" w:hAnsi="Book Antiqua" w:cs="Times New Roman"/>
          <w:bCs/>
          <w:kern w:val="0"/>
          <w:lang w:val="es-ES"/>
          <w14:ligatures w14:val="none"/>
        </w:rPr>
        <w:t xml:space="preserve">algunas de </w:t>
      </w:r>
      <w:r w:rsidR="00600214">
        <w:rPr>
          <w:rFonts w:ascii="Book Antiqua" w:eastAsia="Calibri" w:hAnsi="Book Antiqua" w:cs="Times New Roman"/>
          <w:bCs/>
          <w:kern w:val="0"/>
          <w:lang w:val="es-ES"/>
          <w14:ligatures w14:val="none"/>
        </w:rPr>
        <w:t xml:space="preserve">las leyes que menciona el </w:t>
      </w:r>
      <w:r w:rsidR="00C444CC">
        <w:rPr>
          <w:rFonts w:ascii="Book Antiqua" w:eastAsia="Calibri" w:hAnsi="Book Antiqua" w:cs="Times New Roman"/>
          <w:bCs/>
          <w:kern w:val="0"/>
          <w:lang w:val="es-ES"/>
          <w14:ligatures w14:val="none"/>
        </w:rPr>
        <w:t>artículo 11 de la Ley Notarial, y se rescribieron otras leyes mencionadas en tal art</w:t>
      </w:r>
      <w:r w:rsidR="002013E6">
        <w:rPr>
          <w:rFonts w:ascii="Book Antiqua" w:eastAsia="Calibri" w:hAnsi="Book Antiqua" w:cs="Times New Roman"/>
          <w:bCs/>
          <w:kern w:val="0"/>
          <w:lang w:val="es-ES"/>
          <w14:ligatures w14:val="none"/>
        </w:rPr>
        <w:t xml:space="preserve">ículo para que cumplan con </w:t>
      </w:r>
      <w:r w:rsidR="00680197">
        <w:rPr>
          <w:rFonts w:ascii="Book Antiqua" w:eastAsia="Calibri" w:hAnsi="Book Antiqua" w:cs="Times New Roman"/>
          <w:bCs/>
          <w:kern w:val="0"/>
          <w:lang w:val="es-ES"/>
          <w14:ligatures w14:val="none"/>
        </w:rPr>
        <w:t>las formalidades de técnica legislativa.</w:t>
      </w:r>
    </w:p>
    <w:p w14:paraId="44E63056" w14:textId="0B9A658D" w:rsidR="000B72A1" w:rsidRPr="009A1A49" w:rsidRDefault="000743E5" w:rsidP="00980239">
      <w:pPr>
        <w:spacing w:before="240" w:after="360" w:line="298" w:lineRule="auto"/>
        <w:ind w:firstLine="706"/>
        <w:jc w:val="both"/>
        <w:rPr>
          <w:rFonts w:ascii="Book Antiqua" w:eastAsia="Calibri" w:hAnsi="Book Antiqua" w:cs="Times New Roman"/>
          <w:bCs/>
          <w:kern w:val="0"/>
          <w:lang w:val="es-ES"/>
          <w14:ligatures w14:val="none"/>
        </w:rPr>
      </w:pPr>
      <w:r w:rsidRPr="000C1572">
        <w:rPr>
          <w:rFonts w:ascii="Book Antiqua" w:hAnsi="Book Antiqua"/>
          <w:lang w:val="es-ES"/>
        </w:rPr>
        <w:t xml:space="preserve">Por los fundamentos </w:t>
      </w:r>
      <w:r w:rsidR="00192347">
        <w:rPr>
          <w:rFonts w:ascii="Book Antiqua" w:hAnsi="Book Antiqua"/>
          <w:lang w:val="es-ES"/>
        </w:rPr>
        <w:t xml:space="preserve">antes </w:t>
      </w:r>
      <w:r w:rsidRPr="000C1572">
        <w:rPr>
          <w:rFonts w:ascii="Book Antiqua" w:hAnsi="Book Antiqua"/>
          <w:lang w:val="es-ES"/>
        </w:rPr>
        <w:t xml:space="preserve">expuestos, la Comisión de lo Jurídico </w:t>
      </w:r>
      <w:r w:rsidRPr="000D398C">
        <w:rPr>
          <w:rFonts w:ascii="Book Antiqua" w:hAnsi="Book Antiqua"/>
          <w:b/>
          <w:bCs/>
          <w:lang w:val="es-ES"/>
        </w:rPr>
        <w:t xml:space="preserve">recomienda </w:t>
      </w:r>
      <w:r w:rsidR="00CB6A41">
        <w:rPr>
          <w:rFonts w:ascii="Book Antiqua" w:hAnsi="Book Antiqua"/>
          <w:b/>
          <w:bCs/>
          <w:lang w:val="es-ES"/>
        </w:rPr>
        <w:t>que se</w:t>
      </w:r>
      <w:r w:rsidRPr="000D398C">
        <w:rPr>
          <w:rFonts w:ascii="Book Antiqua" w:hAnsi="Book Antiqua"/>
          <w:b/>
          <w:bCs/>
          <w:lang w:val="es-ES"/>
        </w:rPr>
        <w:t xml:space="preserve"> apr</w:t>
      </w:r>
      <w:r w:rsidR="00CB6A41">
        <w:rPr>
          <w:rFonts w:ascii="Book Antiqua" w:hAnsi="Book Antiqua"/>
          <w:b/>
          <w:bCs/>
          <w:lang w:val="es-ES"/>
        </w:rPr>
        <w:t>uebe</w:t>
      </w:r>
      <w:r w:rsidRPr="000C1572">
        <w:rPr>
          <w:rFonts w:ascii="Book Antiqua" w:hAnsi="Book Antiqua"/>
          <w:lang w:val="es-ES"/>
        </w:rPr>
        <w:t xml:space="preserve"> el </w:t>
      </w:r>
      <w:r w:rsidR="00797B74">
        <w:rPr>
          <w:rFonts w:ascii="Book Antiqua" w:hAnsi="Book Antiqua"/>
          <w:lang w:val="es-ES"/>
        </w:rPr>
        <w:t xml:space="preserve">P. del S. </w:t>
      </w:r>
      <w:r w:rsidR="00F5053A">
        <w:rPr>
          <w:rFonts w:ascii="Book Antiqua" w:hAnsi="Book Antiqua"/>
          <w:lang w:val="es-ES"/>
        </w:rPr>
        <w:t>60</w:t>
      </w:r>
      <w:r w:rsidRPr="000C1572">
        <w:rPr>
          <w:rFonts w:ascii="Book Antiqua" w:hAnsi="Book Antiqua"/>
          <w:lang w:val="es-ES"/>
        </w:rPr>
        <w:t xml:space="preserve">, con las enmiendas </w:t>
      </w:r>
      <w:r w:rsidRPr="000C1572">
        <w:rPr>
          <w:rFonts w:ascii="Book Antiqua" w:eastAsia="Calibri" w:hAnsi="Book Antiqua"/>
          <w:lang w:val="es-ES"/>
        </w:rPr>
        <w:t>en el entirillado electrónico</w:t>
      </w:r>
      <w:r w:rsidR="00CB6A41">
        <w:rPr>
          <w:rFonts w:ascii="Book Antiqua" w:eastAsia="Calibri" w:hAnsi="Book Antiqua"/>
          <w:lang w:val="es-ES"/>
        </w:rPr>
        <w:t xml:space="preserve"> adjunto</w:t>
      </w:r>
      <w:r w:rsidR="00457003">
        <w:rPr>
          <w:rFonts w:ascii="Book Antiqua" w:eastAsia="Calibri" w:hAnsi="Book Antiqua"/>
          <w:lang w:val="es-ES"/>
        </w:rPr>
        <w:t>.</w:t>
      </w:r>
    </w:p>
    <w:p w14:paraId="5144D337" w14:textId="104868B9" w:rsidR="00CB4BCC" w:rsidRPr="000C1572" w:rsidRDefault="00CB4BCC" w:rsidP="000B4646">
      <w:pPr>
        <w:spacing w:after="0" w:line="360" w:lineRule="auto"/>
        <w:jc w:val="both"/>
        <w:rPr>
          <w:rFonts w:ascii="Book Antiqua" w:eastAsia="Book Antiqua" w:hAnsi="Book Antiqua" w:cs="Book Antiqua"/>
          <w:kern w:val="0"/>
          <w:lang w:val="es-ES"/>
          <w14:ligatures w14:val="none"/>
        </w:rPr>
      </w:pPr>
      <w:r w:rsidRPr="000C1572">
        <w:rPr>
          <w:rFonts w:ascii="Book Antiqua" w:eastAsia="Book Antiqua" w:hAnsi="Book Antiqua" w:cs="Book Antiqua"/>
          <w:kern w:val="0"/>
          <w:lang w:val="es-ES"/>
          <w14:ligatures w14:val="none"/>
        </w:rPr>
        <w:t xml:space="preserve">Respetuosamente </w:t>
      </w:r>
      <w:r w:rsidR="006B02FF" w:rsidRPr="000C1572">
        <w:rPr>
          <w:rFonts w:ascii="Book Antiqua" w:eastAsia="Book Antiqua" w:hAnsi="Book Antiqua" w:cs="Book Antiqua"/>
          <w:kern w:val="0"/>
          <w:lang w:val="es-ES"/>
          <w14:ligatures w14:val="none"/>
        </w:rPr>
        <w:t>presentad</w:t>
      </w:r>
      <w:r w:rsidRPr="000C1572">
        <w:rPr>
          <w:rFonts w:ascii="Book Antiqua" w:eastAsia="Book Antiqua" w:hAnsi="Book Antiqua" w:cs="Book Antiqua"/>
          <w:kern w:val="0"/>
          <w:lang w:val="es-ES"/>
          <w14:ligatures w14:val="none"/>
        </w:rPr>
        <w:t>o,</w:t>
      </w:r>
    </w:p>
    <w:p w14:paraId="5867B946" w14:textId="77777777" w:rsidR="00CB4BCC" w:rsidRPr="00457003" w:rsidRDefault="00CB4BCC" w:rsidP="00CB4BCC">
      <w:pPr>
        <w:spacing w:after="0" w:line="360" w:lineRule="auto"/>
        <w:jc w:val="both"/>
        <w:rPr>
          <w:rFonts w:ascii="Book Antiqua" w:eastAsia="Book Antiqua" w:hAnsi="Book Antiqua" w:cs="Book Antiqua"/>
          <w:kern w:val="0"/>
          <w:lang w:val="es-ES"/>
          <w14:ligatures w14:val="none"/>
        </w:rPr>
      </w:pPr>
    </w:p>
    <w:p w14:paraId="725277FD" w14:textId="77777777" w:rsidR="00F46CE1" w:rsidRPr="000C1572" w:rsidRDefault="00F46CE1" w:rsidP="00CB4BCC">
      <w:pPr>
        <w:spacing w:after="0" w:line="360" w:lineRule="auto"/>
        <w:jc w:val="both"/>
        <w:rPr>
          <w:rFonts w:ascii="Book Antiqua" w:eastAsia="Book Antiqua" w:hAnsi="Book Antiqua" w:cs="Book Antiqua"/>
          <w:b/>
          <w:bCs/>
          <w:i/>
          <w:iCs/>
          <w:kern w:val="0"/>
          <w:lang w:val="es-ES"/>
          <w14:ligatures w14:val="none"/>
        </w:rPr>
      </w:pPr>
    </w:p>
    <w:p w14:paraId="1E3B9989" w14:textId="4D34957A" w:rsidR="00CB4BCC" w:rsidRPr="000A0AC8" w:rsidRDefault="00320217" w:rsidP="00CB4BCC">
      <w:pPr>
        <w:spacing w:after="0" w:line="240" w:lineRule="auto"/>
        <w:jc w:val="both"/>
        <w:rPr>
          <w:rFonts w:ascii="Book Antiqua" w:eastAsia="Book Antiqua" w:hAnsi="Book Antiqua" w:cs="Book Antiqua"/>
          <w:b/>
          <w:bCs/>
          <w:smallCaps/>
          <w:kern w:val="0"/>
          <w:sz w:val="22"/>
          <w:szCs w:val="22"/>
          <w:lang w:val="es-ES"/>
          <w14:ligatures w14:val="none"/>
        </w:rPr>
      </w:pPr>
      <w:r w:rsidRPr="000A0AC8">
        <w:rPr>
          <w:rFonts w:ascii="Book Antiqua" w:eastAsia="Book Antiqua" w:hAnsi="Book Antiqua" w:cs="Book Antiqua"/>
          <w:b/>
          <w:bCs/>
          <w:smallCaps/>
          <w:kern w:val="0"/>
          <w:lang w:val="es-ES"/>
          <w14:ligatures w14:val="none"/>
        </w:rPr>
        <w:t>José J. Pérez Cordero</w:t>
      </w:r>
    </w:p>
    <w:p w14:paraId="6F7DCDD8" w14:textId="77777777" w:rsidR="00CB4BCC" w:rsidRPr="000C1572" w:rsidRDefault="00CB4BCC" w:rsidP="00CB4BCC">
      <w:pPr>
        <w:spacing w:after="0" w:line="240" w:lineRule="auto"/>
        <w:jc w:val="both"/>
        <w:rPr>
          <w:rFonts w:ascii="Book Antiqua" w:eastAsia="Book Antiqua" w:hAnsi="Book Antiqua" w:cs="Book Antiqua"/>
          <w:kern w:val="0"/>
          <w:lang w:val="es-ES"/>
          <w14:ligatures w14:val="none"/>
        </w:rPr>
      </w:pPr>
      <w:r w:rsidRPr="000C1572">
        <w:rPr>
          <w:rFonts w:ascii="Book Antiqua" w:eastAsia="Book Antiqua" w:hAnsi="Book Antiqua" w:cs="Book Antiqua"/>
          <w:kern w:val="0"/>
          <w:lang w:val="es-ES"/>
          <w14:ligatures w14:val="none"/>
        </w:rPr>
        <w:t>Presidente</w:t>
      </w:r>
    </w:p>
    <w:p w14:paraId="36546E0C" w14:textId="29775F61" w:rsidR="00AD63FF" w:rsidRPr="000C1572" w:rsidRDefault="00320217" w:rsidP="00644A21">
      <w:pPr>
        <w:spacing w:after="0" w:line="240" w:lineRule="auto"/>
        <w:rPr>
          <w:rFonts w:ascii="Book Antiqua" w:eastAsia="Times New Roman" w:hAnsi="Book Antiqua" w:cs="Times New Roman"/>
          <w:kern w:val="0"/>
          <w:szCs w:val="20"/>
          <w:lang w:val="es-ES"/>
          <w14:ligatures w14:val="none"/>
        </w:rPr>
      </w:pPr>
      <w:r w:rsidRPr="000C1572">
        <w:rPr>
          <w:rFonts w:ascii="Book Antiqua" w:eastAsia="Book Antiqua" w:hAnsi="Book Antiqua" w:cs="Book Antiqua"/>
          <w:kern w:val="0"/>
          <w:lang w:val="es-ES"/>
          <w14:ligatures w14:val="none"/>
        </w:rPr>
        <w:t>Comisión de lo Jurídico</w:t>
      </w:r>
    </w:p>
    <w:sectPr w:rsidR="00AD63FF" w:rsidRPr="000C1572"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53242" w14:textId="77777777" w:rsidR="004655B3" w:rsidRDefault="004655B3">
      <w:pPr>
        <w:spacing w:after="0" w:line="240" w:lineRule="auto"/>
      </w:pPr>
      <w:r>
        <w:separator/>
      </w:r>
    </w:p>
  </w:endnote>
  <w:endnote w:type="continuationSeparator" w:id="0">
    <w:p w14:paraId="35B9B46B" w14:textId="77777777" w:rsidR="004655B3" w:rsidRDefault="00465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FB592" w14:textId="77777777" w:rsidR="004655B3" w:rsidRDefault="004655B3">
      <w:pPr>
        <w:spacing w:after="0" w:line="240" w:lineRule="auto"/>
      </w:pPr>
      <w:r>
        <w:separator/>
      </w:r>
    </w:p>
  </w:footnote>
  <w:footnote w:type="continuationSeparator" w:id="0">
    <w:p w14:paraId="6DEF4C1F" w14:textId="77777777" w:rsidR="004655B3" w:rsidRDefault="004655B3">
      <w:pPr>
        <w:spacing w:after="0" w:line="240" w:lineRule="auto"/>
      </w:pPr>
      <w:r>
        <w:continuationSeparator/>
      </w:r>
    </w:p>
  </w:footnote>
  <w:footnote w:id="1">
    <w:p w14:paraId="5D6BF671" w14:textId="4224D020" w:rsidR="00C94306" w:rsidRPr="0056677B" w:rsidRDefault="00C94306" w:rsidP="0056677B">
      <w:pPr>
        <w:pStyle w:val="FootnoteText"/>
        <w:spacing w:after="60"/>
        <w:rPr>
          <w:rFonts w:ascii="Book Antiqua" w:hAnsi="Book Antiqua"/>
        </w:rPr>
      </w:pPr>
      <w:r w:rsidRPr="0056677B">
        <w:rPr>
          <w:rStyle w:val="FootnoteReference"/>
          <w:rFonts w:ascii="Book Antiqua" w:hAnsi="Book Antiqua"/>
        </w:rPr>
        <w:footnoteRef/>
      </w:r>
      <w:r w:rsidRPr="0056677B">
        <w:rPr>
          <w:rFonts w:ascii="Book Antiqua" w:hAnsi="Book Antiqua"/>
        </w:rPr>
        <w:t xml:space="preserve"> Conocida como </w:t>
      </w:r>
      <w:r w:rsidRPr="0056677B">
        <w:rPr>
          <w:rFonts w:ascii="Book Antiqua" w:hAnsi="Book Antiqua"/>
          <w:i/>
          <w:iCs/>
        </w:rPr>
        <w:t>Ley para la Estabilización de las Finanzas Públicas de Puerto Rico</w:t>
      </w:r>
      <w:r w:rsidRPr="0056677B">
        <w:rPr>
          <w:rFonts w:ascii="Book Antiqua" w:hAnsi="Book Antiqua"/>
        </w:rPr>
        <w:t>.</w:t>
      </w:r>
    </w:p>
  </w:footnote>
  <w:footnote w:id="2">
    <w:p w14:paraId="4938519A" w14:textId="23ECA474" w:rsidR="00AB7319" w:rsidRPr="0056677B" w:rsidRDefault="00AB7319" w:rsidP="0056677B">
      <w:pPr>
        <w:pStyle w:val="FootnoteText"/>
        <w:spacing w:after="60"/>
        <w:rPr>
          <w:rFonts w:ascii="Book Antiqua" w:hAnsi="Book Antiqua"/>
        </w:rPr>
      </w:pPr>
      <w:r w:rsidRPr="0056677B">
        <w:rPr>
          <w:rStyle w:val="FootnoteReference"/>
          <w:rFonts w:ascii="Book Antiqua" w:hAnsi="Book Antiqua"/>
        </w:rPr>
        <w:footnoteRef/>
      </w:r>
      <w:r w:rsidRPr="0056677B">
        <w:rPr>
          <w:rFonts w:ascii="Book Antiqua" w:hAnsi="Book Antiqua"/>
        </w:rPr>
        <w:t xml:space="preserve"> </w:t>
      </w:r>
      <w:r w:rsidR="00840B9D" w:rsidRPr="0056677B">
        <w:rPr>
          <w:rFonts w:ascii="Book Antiqua" w:hAnsi="Book Antiqua"/>
        </w:rPr>
        <w:t xml:space="preserve">Conocida como </w:t>
      </w:r>
      <w:r w:rsidR="005D436D" w:rsidRPr="0056677B">
        <w:rPr>
          <w:rFonts w:ascii="Book Antiqua" w:hAnsi="Book Antiqua"/>
          <w:i/>
          <w:iCs/>
        </w:rPr>
        <w:t>Ley para Establecer un Impuesto a las Corporaciones Foráneas</w:t>
      </w:r>
      <w:r w:rsidR="00840B9D" w:rsidRPr="0056677B">
        <w:rPr>
          <w:rFonts w:ascii="Book Antiqua" w:hAnsi="Book Antiqua"/>
        </w:rPr>
        <w:t>.</w:t>
      </w:r>
    </w:p>
  </w:footnote>
  <w:footnote w:id="3">
    <w:p w14:paraId="3CB2D30F" w14:textId="195D0641" w:rsidR="0056677B" w:rsidRPr="0056677B" w:rsidRDefault="0056677B" w:rsidP="0056677B">
      <w:pPr>
        <w:pStyle w:val="FootnoteText"/>
        <w:spacing w:after="60"/>
      </w:pPr>
      <w:r w:rsidRPr="0056677B">
        <w:rPr>
          <w:rStyle w:val="FootnoteReference"/>
          <w:rFonts w:ascii="Book Antiqua" w:hAnsi="Book Antiqua"/>
        </w:rPr>
        <w:footnoteRef/>
      </w:r>
      <w:r w:rsidRPr="0056677B">
        <w:rPr>
          <w:rFonts w:ascii="Book Antiqua" w:hAnsi="Book Antiqua"/>
        </w:rPr>
        <w:t xml:space="preserve"> </w:t>
      </w:r>
      <w:r w:rsidR="002466CF">
        <w:rPr>
          <w:rFonts w:ascii="Book Antiqua" w:hAnsi="Book Antiqua"/>
        </w:rPr>
        <w:t>C</w:t>
      </w:r>
      <w:r w:rsidRPr="0056677B">
        <w:rPr>
          <w:rFonts w:ascii="Book Antiqua" w:hAnsi="Book Antiqua"/>
        </w:rPr>
        <w:t xml:space="preserve">onocida como </w:t>
      </w:r>
      <w:r w:rsidRPr="0056677B">
        <w:rPr>
          <w:rFonts w:ascii="Book Antiqua" w:hAnsi="Book Antiqua"/>
          <w:i/>
          <w:iCs/>
        </w:rPr>
        <w:t>Ley Notarial de Puerto Rico</w:t>
      </w:r>
      <w:r w:rsidRPr="0056677B">
        <w:rPr>
          <w:rFonts w:ascii="Book Antiqua" w:hAnsi="Book Antiqua"/>
        </w:rPr>
        <w:t>.</w:t>
      </w:r>
    </w:p>
  </w:footnote>
  <w:footnote w:id="4">
    <w:p w14:paraId="4FD8100F" w14:textId="3933AC3A" w:rsidR="00B6007B" w:rsidRPr="00B6007B" w:rsidRDefault="00B6007B" w:rsidP="00950069">
      <w:pPr>
        <w:pStyle w:val="FootnoteText"/>
        <w:spacing w:after="60"/>
        <w:rPr>
          <w:rFonts w:ascii="Book Antiqua" w:hAnsi="Book Antiqua"/>
        </w:rPr>
      </w:pPr>
      <w:r w:rsidRPr="00B6007B">
        <w:rPr>
          <w:rStyle w:val="FootnoteReference"/>
          <w:rFonts w:ascii="Book Antiqua" w:hAnsi="Book Antiqua"/>
        </w:rPr>
        <w:footnoteRef/>
      </w:r>
      <w:r w:rsidRPr="00B6007B">
        <w:rPr>
          <w:rFonts w:ascii="Book Antiqua" w:hAnsi="Book Antiqua"/>
        </w:rPr>
        <w:t xml:space="preserve"> </w:t>
      </w:r>
      <w:r w:rsidRPr="00B6007B">
        <w:rPr>
          <w:rFonts w:ascii="Book Antiqua" w:hAnsi="Book Antiqua"/>
        </w:rPr>
        <w:t>Énfasis nuestro</w:t>
      </w:r>
      <w:r w:rsidRPr="00B6007B">
        <w:rPr>
          <w:rFonts w:ascii="Book Antiqua" w:hAnsi="Book Antiqua"/>
        </w:rPr>
        <w:t>.</w:t>
      </w:r>
    </w:p>
  </w:footnote>
  <w:footnote w:id="5">
    <w:p w14:paraId="4B86A4A0" w14:textId="77777777" w:rsidR="00C77D4E" w:rsidRPr="00C77D4E" w:rsidRDefault="00C77D4E" w:rsidP="00950069">
      <w:pPr>
        <w:pStyle w:val="FootnoteText"/>
        <w:spacing w:after="60"/>
      </w:pPr>
      <w:r w:rsidRPr="00B6007B">
        <w:rPr>
          <w:rStyle w:val="FootnoteReference"/>
          <w:rFonts w:ascii="Book Antiqua" w:hAnsi="Book Antiqua"/>
        </w:rPr>
        <w:footnoteRef/>
      </w:r>
      <w:r w:rsidRPr="00B6007B">
        <w:rPr>
          <w:rFonts w:ascii="Book Antiqua" w:hAnsi="Book Antiqua"/>
        </w:rPr>
        <w:t xml:space="preserve"> </w:t>
      </w:r>
      <w:r w:rsidRPr="00B6007B">
        <w:rPr>
          <w:rFonts w:ascii="Book Antiqua" w:eastAsia="Book Antiqua" w:hAnsi="Book Antiqua" w:cs="Book Antiqua"/>
        </w:rPr>
        <w:t>Civil Núm. SJ2022CV05905 (907).</w:t>
      </w:r>
    </w:p>
  </w:footnote>
  <w:footnote w:id="6">
    <w:p w14:paraId="6E7B590A" w14:textId="06EC175D" w:rsidR="00DE6CE0" w:rsidRPr="00953D73" w:rsidRDefault="00DE6CE0">
      <w:pPr>
        <w:pStyle w:val="FootnoteText"/>
      </w:pPr>
      <w:r>
        <w:rPr>
          <w:rStyle w:val="FootnoteReference"/>
        </w:rPr>
        <w:footnoteRef/>
      </w:r>
      <w:r>
        <w:t xml:space="preserve"> </w:t>
      </w:r>
      <w:r w:rsidRPr="00953D73">
        <w:rPr>
          <w:rFonts w:ascii="Book Antiqua" w:hAnsi="Book Antiqua"/>
        </w:rPr>
        <w:t>Memorial Explicativo de 10 de marzo de 2025 sobre el P. del S. 60 dirigido al Presidente del Senado.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Content>
      <w:p w14:paraId="1C5FEFF4" w14:textId="7958099E" w:rsidR="00BA0FB9" w:rsidRPr="00BA0FB9" w:rsidRDefault="00BA0FB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C15CEA1"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30185B6C" w:rsidR="00BA0FB9" w:rsidRPr="00BA0FB9" w:rsidRDefault="00BA0FB9" w:rsidP="00BA0FB9">
    <w:pPr>
      <w:pStyle w:val="Header"/>
      <w:ind w:right="360"/>
      <w:rPr>
        <w:rFonts w:ascii="Book Antiqua" w:hAnsi="Book Antiqua"/>
        <w:sz w:val="20"/>
      </w:rPr>
    </w:pPr>
    <w:r w:rsidRPr="00BA0FB9">
      <w:rPr>
        <w:rFonts w:ascii="Book Antiqua" w:hAnsi="Book Antiqua"/>
        <w:sz w:val="20"/>
      </w:rPr>
      <w:t>Informe</w:t>
    </w:r>
    <w:r w:rsidR="00322F83">
      <w:rPr>
        <w:rFonts w:ascii="Book Antiqua" w:hAnsi="Book Antiqua"/>
        <w:sz w:val="20"/>
      </w:rPr>
      <w:t xml:space="preserve"> Positivo sobre el</w:t>
    </w:r>
    <w:r w:rsidRPr="00BA0FB9">
      <w:rPr>
        <w:rFonts w:ascii="Book Antiqua" w:hAnsi="Book Antiqua"/>
        <w:sz w:val="20"/>
      </w:rPr>
      <w:t xml:space="preserve"> </w:t>
    </w:r>
    <w:r w:rsidR="00797B74">
      <w:rPr>
        <w:rFonts w:ascii="Book Antiqua" w:hAnsi="Book Antiqua"/>
        <w:sz w:val="20"/>
      </w:rPr>
      <w:t xml:space="preserve">P. del S. </w:t>
    </w:r>
    <w:r w:rsidR="00980239">
      <w:rPr>
        <w:rFonts w:ascii="Book Antiqua" w:hAnsi="Book Antiqua"/>
        <w:sz w:val="20"/>
      </w:rPr>
      <w:t>60</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
  </w:num>
  <w:num w:numId="3" w16cid:durableId="574238919">
    <w:abstractNumId w:val="4"/>
  </w:num>
  <w:num w:numId="4" w16cid:durableId="1949703315">
    <w:abstractNumId w:val="0"/>
  </w:num>
  <w:num w:numId="5" w16cid:durableId="69855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5B6"/>
    <w:rsid w:val="0000415C"/>
    <w:rsid w:val="00004406"/>
    <w:rsid w:val="000120EA"/>
    <w:rsid w:val="000136F7"/>
    <w:rsid w:val="000140F6"/>
    <w:rsid w:val="000177B6"/>
    <w:rsid w:val="00017DE0"/>
    <w:rsid w:val="00025394"/>
    <w:rsid w:val="000277D6"/>
    <w:rsid w:val="00033266"/>
    <w:rsid w:val="000341E7"/>
    <w:rsid w:val="00034B0C"/>
    <w:rsid w:val="000368D3"/>
    <w:rsid w:val="00040BF3"/>
    <w:rsid w:val="00042AC4"/>
    <w:rsid w:val="000468B9"/>
    <w:rsid w:val="000510A4"/>
    <w:rsid w:val="000515C3"/>
    <w:rsid w:val="00053414"/>
    <w:rsid w:val="00056E8D"/>
    <w:rsid w:val="00057149"/>
    <w:rsid w:val="0005781F"/>
    <w:rsid w:val="00062B3D"/>
    <w:rsid w:val="0006757A"/>
    <w:rsid w:val="00067A08"/>
    <w:rsid w:val="00070932"/>
    <w:rsid w:val="0007153C"/>
    <w:rsid w:val="00071AFA"/>
    <w:rsid w:val="000743E5"/>
    <w:rsid w:val="000748E3"/>
    <w:rsid w:val="00076BDB"/>
    <w:rsid w:val="00077EA3"/>
    <w:rsid w:val="00087EB1"/>
    <w:rsid w:val="00095FDC"/>
    <w:rsid w:val="00096272"/>
    <w:rsid w:val="000A0AC8"/>
    <w:rsid w:val="000A2504"/>
    <w:rsid w:val="000A48EB"/>
    <w:rsid w:val="000A555F"/>
    <w:rsid w:val="000A5BDE"/>
    <w:rsid w:val="000A762F"/>
    <w:rsid w:val="000B13D7"/>
    <w:rsid w:val="000B15BE"/>
    <w:rsid w:val="000B30BC"/>
    <w:rsid w:val="000B434F"/>
    <w:rsid w:val="000B4646"/>
    <w:rsid w:val="000B72A1"/>
    <w:rsid w:val="000C1572"/>
    <w:rsid w:val="000C18F3"/>
    <w:rsid w:val="000C6CA5"/>
    <w:rsid w:val="000D1CCF"/>
    <w:rsid w:val="000D398C"/>
    <w:rsid w:val="000D434B"/>
    <w:rsid w:val="000D6272"/>
    <w:rsid w:val="000D6426"/>
    <w:rsid w:val="000D7951"/>
    <w:rsid w:val="000E3E7B"/>
    <w:rsid w:val="000F0B24"/>
    <w:rsid w:val="000F3725"/>
    <w:rsid w:val="000F48F4"/>
    <w:rsid w:val="000F5571"/>
    <w:rsid w:val="000F768B"/>
    <w:rsid w:val="000F7BDE"/>
    <w:rsid w:val="00101518"/>
    <w:rsid w:val="00103370"/>
    <w:rsid w:val="001054C2"/>
    <w:rsid w:val="00110219"/>
    <w:rsid w:val="001123B4"/>
    <w:rsid w:val="001124E2"/>
    <w:rsid w:val="0011491A"/>
    <w:rsid w:val="001155A8"/>
    <w:rsid w:val="00121FFB"/>
    <w:rsid w:val="001279AE"/>
    <w:rsid w:val="00127DAC"/>
    <w:rsid w:val="00131433"/>
    <w:rsid w:val="001325B8"/>
    <w:rsid w:val="00133D15"/>
    <w:rsid w:val="00134979"/>
    <w:rsid w:val="0013667B"/>
    <w:rsid w:val="00136D7B"/>
    <w:rsid w:val="00137636"/>
    <w:rsid w:val="001407A8"/>
    <w:rsid w:val="0014669D"/>
    <w:rsid w:val="00147571"/>
    <w:rsid w:val="00151461"/>
    <w:rsid w:val="00151944"/>
    <w:rsid w:val="00151C0B"/>
    <w:rsid w:val="00151EAB"/>
    <w:rsid w:val="00155053"/>
    <w:rsid w:val="00162770"/>
    <w:rsid w:val="00163F28"/>
    <w:rsid w:val="00165172"/>
    <w:rsid w:val="00165BB2"/>
    <w:rsid w:val="00165F38"/>
    <w:rsid w:val="0016625F"/>
    <w:rsid w:val="00167D19"/>
    <w:rsid w:val="00171BA9"/>
    <w:rsid w:val="00171D05"/>
    <w:rsid w:val="001722E3"/>
    <w:rsid w:val="00176FB0"/>
    <w:rsid w:val="001816EA"/>
    <w:rsid w:val="00183348"/>
    <w:rsid w:val="001843A5"/>
    <w:rsid w:val="001849FE"/>
    <w:rsid w:val="00186A03"/>
    <w:rsid w:val="00187592"/>
    <w:rsid w:val="00191A62"/>
    <w:rsid w:val="00192347"/>
    <w:rsid w:val="001A0BCA"/>
    <w:rsid w:val="001A1EDF"/>
    <w:rsid w:val="001A1FF4"/>
    <w:rsid w:val="001A261F"/>
    <w:rsid w:val="001A2630"/>
    <w:rsid w:val="001A5DBD"/>
    <w:rsid w:val="001B058C"/>
    <w:rsid w:val="001B0E86"/>
    <w:rsid w:val="001B2964"/>
    <w:rsid w:val="001B7C12"/>
    <w:rsid w:val="001C6691"/>
    <w:rsid w:val="001C7436"/>
    <w:rsid w:val="001D0ECC"/>
    <w:rsid w:val="001D2E44"/>
    <w:rsid w:val="001D7E64"/>
    <w:rsid w:val="001E040E"/>
    <w:rsid w:val="001F2813"/>
    <w:rsid w:val="001F2BD5"/>
    <w:rsid w:val="001F2E26"/>
    <w:rsid w:val="001F4835"/>
    <w:rsid w:val="001F65F6"/>
    <w:rsid w:val="001F682B"/>
    <w:rsid w:val="00200E2C"/>
    <w:rsid w:val="002013E6"/>
    <w:rsid w:val="002016B5"/>
    <w:rsid w:val="00202382"/>
    <w:rsid w:val="00202B70"/>
    <w:rsid w:val="002039C9"/>
    <w:rsid w:val="00203B38"/>
    <w:rsid w:val="002044FE"/>
    <w:rsid w:val="00204A9D"/>
    <w:rsid w:val="00211176"/>
    <w:rsid w:val="00212F0C"/>
    <w:rsid w:val="002136CB"/>
    <w:rsid w:val="002149FE"/>
    <w:rsid w:val="00215404"/>
    <w:rsid w:val="00217313"/>
    <w:rsid w:val="00217E90"/>
    <w:rsid w:val="002221F0"/>
    <w:rsid w:val="002236D8"/>
    <w:rsid w:val="002241B3"/>
    <w:rsid w:val="00225F88"/>
    <w:rsid w:val="00226E4E"/>
    <w:rsid w:val="00226F27"/>
    <w:rsid w:val="0022747E"/>
    <w:rsid w:val="00230542"/>
    <w:rsid w:val="002310D2"/>
    <w:rsid w:val="002323A7"/>
    <w:rsid w:val="0024129A"/>
    <w:rsid w:val="00242BF0"/>
    <w:rsid w:val="002466CF"/>
    <w:rsid w:val="00250F0F"/>
    <w:rsid w:val="00252E35"/>
    <w:rsid w:val="002541BE"/>
    <w:rsid w:val="0026053E"/>
    <w:rsid w:val="00263686"/>
    <w:rsid w:val="00265D81"/>
    <w:rsid w:val="0026605F"/>
    <w:rsid w:val="00272B73"/>
    <w:rsid w:val="00275C5D"/>
    <w:rsid w:val="00275F07"/>
    <w:rsid w:val="00277355"/>
    <w:rsid w:val="00280CDB"/>
    <w:rsid w:val="00282A9F"/>
    <w:rsid w:val="00283DF6"/>
    <w:rsid w:val="00286642"/>
    <w:rsid w:val="002943C4"/>
    <w:rsid w:val="00294435"/>
    <w:rsid w:val="0029494C"/>
    <w:rsid w:val="00296EC8"/>
    <w:rsid w:val="002A413F"/>
    <w:rsid w:val="002A439F"/>
    <w:rsid w:val="002A5686"/>
    <w:rsid w:val="002A6F11"/>
    <w:rsid w:val="002B0D51"/>
    <w:rsid w:val="002B1F9B"/>
    <w:rsid w:val="002B28D2"/>
    <w:rsid w:val="002B2A35"/>
    <w:rsid w:val="002B4C35"/>
    <w:rsid w:val="002B51B7"/>
    <w:rsid w:val="002B5A64"/>
    <w:rsid w:val="002C0B9E"/>
    <w:rsid w:val="002C0D49"/>
    <w:rsid w:val="002C2D88"/>
    <w:rsid w:val="002C32E5"/>
    <w:rsid w:val="002C46B6"/>
    <w:rsid w:val="002C792B"/>
    <w:rsid w:val="002D2E26"/>
    <w:rsid w:val="002D45AC"/>
    <w:rsid w:val="002D5334"/>
    <w:rsid w:val="002E35F1"/>
    <w:rsid w:val="002E3BD8"/>
    <w:rsid w:val="002E44AD"/>
    <w:rsid w:val="002E49F0"/>
    <w:rsid w:val="002E4EC1"/>
    <w:rsid w:val="002E53E1"/>
    <w:rsid w:val="002F0998"/>
    <w:rsid w:val="002F118A"/>
    <w:rsid w:val="002F13E6"/>
    <w:rsid w:val="002F18AB"/>
    <w:rsid w:val="002F1980"/>
    <w:rsid w:val="002F4AC2"/>
    <w:rsid w:val="002F4E78"/>
    <w:rsid w:val="002F4F33"/>
    <w:rsid w:val="002F53C4"/>
    <w:rsid w:val="002F5B77"/>
    <w:rsid w:val="002F751E"/>
    <w:rsid w:val="002F7C13"/>
    <w:rsid w:val="00300B4D"/>
    <w:rsid w:val="003018D4"/>
    <w:rsid w:val="00303A08"/>
    <w:rsid w:val="00303DE8"/>
    <w:rsid w:val="003062C9"/>
    <w:rsid w:val="003067F4"/>
    <w:rsid w:val="00306E26"/>
    <w:rsid w:val="00310674"/>
    <w:rsid w:val="00310C64"/>
    <w:rsid w:val="00313661"/>
    <w:rsid w:val="003140AD"/>
    <w:rsid w:val="0031417B"/>
    <w:rsid w:val="0031443B"/>
    <w:rsid w:val="00317204"/>
    <w:rsid w:val="00320217"/>
    <w:rsid w:val="003206BB"/>
    <w:rsid w:val="003206D9"/>
    <w:rsid w:val="00322C70"/>
    <w:rsid w:val="00322F83"/>
    <w:rsid w:val="0032636C"/>
    <w:rsid w:val="00331040"/>
    <w:rsid w:val="003325DF"/>
    <w:rsid w:val="00332DC5"/>
    <w:rsid w:val="00333271"/>
    <w:rsid w:val="00337C3E"/>
    <w:rsid w:val="00337DDD"/>
    <w:rsid w:val="003429B9"/>
    <w:rsid w:val="003435EA"/>
    <w:rsid w:val="003439F8"/>
    <w:rsid w:val="00343D15"/>
    <w:rsid w:val="00345A92"/>
    <w:rsid w:val="00345C57"/>
    <w:rsid w:val="00352885"/>
    <w:rsid w:val="00352DF9"/>
    <w:rsid w:val="00361973"/>
    <w:rsid w:val="0037032F"/>
    <w:rsid w:val="00371A01"/>
    <w:rsid w:val="00371D82"/>
    <w:rsid w:val="00374936"/>
    <w:rsid w:val="00376DD0"/>
    <w:rsid w:val="0038195D"/>
    <w:rsid w:val="00381AE9"/>
    <w:rsid w:val="003828D1"/>
    <w:rsid w:val="003829EF"/>
    <w:rsid w:val="003835CF"/>
    <w:rsid w:val="00385EA0"/>
    <w:rsid w:val="003875E0"/>
    <w:rsid w:val="00387AA8"/>
    <w:rsid w:val="003927E7"/>
    <w:rsid w:val="00393AFD"/>
    <w:rsid w:val="00394EBA"/>
    <w:rsid w:val="003A1A56"/>
    <w:rsid w:val="003A4D3E"/>
    <w:rsid w:val="003A5315"/>
    <w:rsid w:val="003A543A"/>
    <w:rsid w:val="003A56B4"/>
    <w:rsid w:val="003B05E6"/>
    <w:rsid w:val="003B353E"/>
    <w:rsid w:val="003B48B0"/>
    <w:rsid w:val="003C2B1D"/>
    <w:rsid w:val="003C2DBF"/>
    <w:rsid w:val="003C30E4"/>
    <w:rsid w:val="003C3D24"/>
    <w:rsid w:val="003C61C9"/>
    <w:rsid w:val="003D0732"/>
    <w:rsid w:val="003D0CCD"/>
    <w:rsid w:val="003D2144"/>
    <w:rsid w:val="003D4C49"/>
    <w:rsid w:val="003E0ACD"/>
    <w:rsid w:val="003E2C27"/>
    <w:rsid w:val="003E2D16"/>
    <w:rsid w:val="003E31B6"/>
    <w:rsid w:val="003E4B8A"/>
    <w:rsid w:val="003E540A"/>
    <w:rsid w:val="003E5F73"/>
    <w:rsid w:val="003F07BA"/>
    <w:rsid w:val="003F1041"/>
    <w:rsid w:val="003F353F"/>
    <w:rsid w:val="003F6738"/>
    <w:rsid w:val="003F6B6E"/>
    <w:rsid w:val="0040058A"/>
    <w:rsid w:val="00400694"/>
    <w:rsid w:val="00400BFB"/>
    <w:rsid w:val="004011C3"/>
    <w:rsid w:val="00401E40"/>
    <w:rsid w:val="00403161"/>
    <w:rsid w:val="004047BE"/>
    <w:rsid w:val="00410994"/>
    <w:rsid w:val="00413517"/>
    <w:rsid w:val="00414D73"/>
    <w:rsid w:val="00416B0C"/>
    <w:rsid w:val="0041772F"/>
    <w:rsid w:val="00417E18"/>
    <w:rsid w:val="00417E3F"/>
    <w:rsid w:val="0042009C"/>
    <w:rsid w:val="0042272E"/>
    <w:rsid w:val="0042399B"/>
    <w:rsid w:val="0042546D"/>
    <w:rsid w:val="00425F9C"/>
    <w:rsid w:val="004264D8"/>
    <w:rsid w:val="00426675"/>
    <w:rsid w:val="0042743B"/>
    <w:rsid w:val="0042783C"/>
    <w:rsid w:val="0043053F"/>
    <w:rsid w:val="00432086"/>
    <w:rsid w:val="00433900"/>
    <w:rsid w:val="004347CD"/>
    <w:rsid w:val="00434BA6"/>
    <w:rsid w:val="00436F2B"/>
    <w:rsid w:val="00436F96"/>
    <w:rsid w:val="00440ED7"/>
    <w:rsid w:val="00443C63"/>
    <w:rsid w:val="00444A9E"/>
    <w:rsid w:val="00450143"/>
    <w:rsid w:val="0045102D"/>
    <w:rsid w:val="004524C9"/>
    <w:rsid w:val="00452A96"/>
    <w:rsid w:val="00453139"/>
    <w:rsid w:val="00453CFE"/>
    <w:rsid w:val="00455EAC"/>
    <w:rsid w:val="00457003"/>
    <w:rsid w:val="00457F21"/>
    <w:rsid w:val="00460F8A"/>
    <w:rsid w:val="004642B0"/>
    <w:rsid w:val="004655B3"/>
    <w:rsid w:val="00465F31"/>
    <w:rsid w:val="004678C2"/>
    <w:rsid w:val="00471331"/>
    <w:rsid w:val="00475B72"/>
    <w:rsid w:val="00480585"/>
    <w:rsid w:val="00481F5C"/>
    <w:rsid w:val="00486A6E"/>
    <w:rsid w:val="0049095B"/>
    <w:rsid w:val="00491057"/>
    <w:rsid w:val="004918F4"/>
    <w:rsid w:val="004922A1"/>
    <w:rsid w:val="004957F0"/>
    <w:rsid w:val="004A18A3"/>
    <w:rsid w:val="004A4D97"/>
    <w:rsid w:val="004A5C02"/>
    <w:rsid w:val="004B05BC"/>
    <w:rsid w:val="004B14E8"/>
    <w:rsid w:val="004B37F9"/>
    <w:rsid w:val="004B39EC"/>
    <w:rsid w:val="004B3E0A"/>
    <w:rsid w:val="004B3E3A"/>
    <w:rsid w:val="004B4944"/>
    <w:rsid w:val="004C0DAB"/>
    <w:rsid w:val="004C14F1"/>
    <w:rsid w:val="004C3C30"/>
    <w:rsid w:val="004D03F0"/>
    <w:rsid w:val="004D07CF"/>
    <w:rsid w:val="004D19BF"/>
    <w:rsid w:val="004D2FC8"/>
    <w:rsid w:val="004E122F"/>
    <w:rsid w:val="004E1D46"/>
    <w:rsid w:val="004E2FEE"/>
    <w:rsid w:val="004E696C"/>
    <w:rsid w:val="004F1018"/>
    <w:rsid w:val="004F380E"/>
    <w:rsid w:val="004F5503"/>
    <w:rsid w:val="004F6867"/>
    <w:rsid w:val="005003E2"/>
    <w:rsid w:val="005007EE"/>
    <w:rsid w:val="005044D6"/>
    <w:rsid w:val="00510A81"/>
    <w:rsid w:val="00511877"/>
    <w:rsid w:val="00512BB2"/>
    <w:rsid w:val="00512D7C"/>
    <w:rsid w:val="00513338"/>
    <w:rsid w:val="005149DD"/>
    <w:rsid w:val="00517B4E"/>
    <w:rsid w:val="0052051E"/>
    <w:rsid w:val="00520850"/>
    <w:rsid w:val="00525C21"/>
    <w:rsid w:val="00526E3D"/>
    <w:rsid w:val="005319CD"/>
    <w:rsid w:val="00532969"/>
    <w:rsid w:val="00532FBC"/>
    <w:rsid w:val="0054073A"/>
    <w:rsid w:val="005429CD"/>
    <w:rsid w:val="00544732"/>
    <w:rsid w:val="00544B79"/>
    <w:rsid w:val="005452A6"/>
    <w:rsid w:val="0054585D"/>
    <w:rsid w:val="0055257F"/>
    <w:rsid w:val="005534C8"/>
    <w:rsid w:val="0055498A"/>
    <w:rsid w:val="0056677B"/>
    <w:rsid w:val="00566EB3"/>
    <w:rsid w:val="005670E8"/>
    <w:rsid w:val="00570CCC"/>
    <w:rsid w:val="00571129"/>
    <w:rsid w:val="00571EBB"/>
    <w:rsid w:val="005743BA"/>
    <w:rsid w:val="00574681"/>
    <w:rsid w:val="00575F07"/>
    <w:rsid w:val="00582671"/>
    <w:rsid w:val="005838C2"/>
    <w:rsid w:val="00586AF3"/>
    <w:rsid w:val="00590826"/>
    <w:rsid w:val="0059332C"/>
    <w:rsid w:val="00593F67"/>
    <w:rsid w:val="00595807"/>
    <w:rsid w:val="00595B66"/>
    <w:rsid w:val="00595E03"/>
    <w:rsid w:val="005979DD"/>
    <w:rsid w:val="005A13A5"/>
    <w:rsid w:val="005A1F4B"/>
    <w:rsid w:val="005A2049"/>
    <w:rsid w:val="005A295E"/>
    <w:rsid w:val="005A32A6"/>
    <w:rsid w:val="005A32FE"/>
    <w:rsid w:val="005A693A"/>
    <w:rsid w:val="005A7DF9"/>
    <w:rsid w:val="005B08F8"/>
    <w:rsid w:val="005B1D73"/>
    <w:rsid w:val="005B1E02"/>
    <w:rsid w:val="005B1E47"/>
    <w:rsid w:val="005B2906"/>
    <w:rsid w:val="005B2A11"/>
    <w:rsid w:val="005B2E79"/>
    <w:rsid w:val="005B5ECB"/>
    <w:rsid w:val="005C4B93"/>
    <w:rsid w:val="005C5B93"/>
    <w:rsid w:val="005C6FEA"/>
    <w:rsid w:val="005D185C"/>
    <w:rsid w:val="005D2E19"/>
    <w:rsid w:val="005D415D"/>
    <w:rsid w:val="005D436D"/>
    <w:rsid w:val="005D6B6C"/>
    <w:rsid w:val="005D7600"/>
    <w:rsid w:val="005E4019"/>
    <w:rsid w:val="005E4419"/>
    <w:rsid w:val="005E49FD"/>
    <w:rsid w:val="005E5A77"/>
    <w:rsid w:val="005E6827"/>
    <w:rsid w:val="005E7466"/>
    <w:rsid w:val="005F06F3"/>
    <w:rsid w:val="005F2D63"/>
    <w:rsid w:val="005F595B"/>
    <w:rsid w:val="00600214"/>
    <w:rsid w:val="0060097E"/>
    <w:rsid w:val="006032A1"/>
    <w:rsid w:val="00604F86"/>
    <w:rsid w:val="00607753"/>
    <w:rsid w:val="00610995"/>
    <w:rsid w:val="00610B2E"/>
    <w:rsid w:val="00611C4C"/>
    <w:rsid w:val="00616C07"/>
    <w:rsid w:val="00621FFC"/>
    <w:rsid w:val="006227E0"/>
    <w:rsid w:val="006238A3"/>
    <w:rsid w:val="00626640"/>
    <w:rsid w:val="0063395F"/>
    <w:rsid w:val="00633DA8"/>
    <w:rsid w:val="00634292"/>
    <w:rsid w:val="00634555"/>
    <w:rsid w:val="00635FC4"/>
    <w:rsid w:val="0063667B"/>
    <w:rsid w:val="0064035D"/>
    <w:rsid w:val="006425CA"/>
    <w:rsid w:val="00642B14"/>
    <w:rsid w:val="0064366D"/>
    <w:rsid w:val="006440AB"/>
    <w:rsid w:val="00644953"/>
    <w:rsid w:val="00644A21"/>
    <w:rsid w:val="00645C61"/>
    <w:rsid w:val="00647AE3"/>
    <w:rsid w:val="00650E61"/>
    <w:rsid w:val="00652302"/>
    <w:rsid w:val="0065253D"/>
    <w:rsid w:val="00655576"/>
    <w:rsid w:val="00656B8F"/>
    <w:rsid w:val="00656F82"/>
    <w:rsid w:val="006609D4"/>
    <w:rsid w:val="00660E3A"/>
    <w:rsid w:val="00661A92"/>
    <w:rsid w:val="00662077"/>
    <w:rsid w:val="00663C6C"/>
    <w:rsid w:val="00665CC0"/>
    <w:rsid w:val="00666BEA"/>
    <w:rsid w:val="0067020F"/>
    <w:rsid w:val="006702E7"/>
    <w:rsid w:val="00671E3F"/>
    <w:rsid w:val="00673104"/>
    <w:rsid w:val="006756B5"/>
    <w:rsid w:val="00680197"/>
    <w:rsid w:val="00681750"/>
    <w:rsid w:val="00681E98"/>
    <w:rsid w:val="00683C80"/>
    <w:rsid w:val="00690458"/>
    <w:rsid w:val="00690505"/>
    <w:rsid w:val="00690C0B"/>
    <w:rsid w:val="006926B3"/>
    <w:rsid w:val="006A151D"/>
    <w:rsid w:val="006A23F8"/>
    <w:rsid w:val="006B02FF"/>
    <w:rsid w:val="006B55C5"/>
    <w:rsid w:val="006B5669"/>
    <w:rsid w:val="006B6070"/>
    <w:rsid w:val="006B7588"/>
    <w:rsid w:val="006C0079"/>
    <w:rsid w:val="006C08D4"/>
    <w:rsid w:val="006C178D"/>
    <w:rsid w:val="006C245D"/>
    <w:rsid w:val="006C26B3"/>
    <w:rsid w:val="006C3629"/>
    <w:rsid w:val="006C3AC9"/>
    <w:rsid w:val="006C5F9E"/>
    <w:rsid w:val="006C6271"/>
    <w:rsid w:val="006C68A1"/>
    <w:rsid w:val="006C6C95"/>
    <w:rsid w:val="006D3D53"/>
    <w:rsid w:val="006D5BFE"/>
    <w:rsid w:val="006D5EC1"/>
    <w:rsid w:val="006E019A"/>
    <w:rsid w:val="006E3AB8"/>
    <w:rsid w:val="006E3AFA"/>
    <w:rsid w:val="006E40DA"/>
    <w:rsid w:val="006E413B"/>
    <w:rsid w:val="006E441B"/>
    <w:rsid w:val="006E44D0"/>
    <w:rsid w:val="006E6FCA"/>
    <w:rsid w:val="006E7EED"/>
    <w:rsid w:val="006F62C4"/>
    <w:rsid w:val="006F687A"/>
    <w:rsid w:val="00700A74"/>
    <w:rsid w:val="0070194A"/>
    <w:rsid w:val="00703AB8"/>
    <w:rsid w:val="00704ABC"/>
    <w:rsid w:val="007059A7"/>
    <w:rsid w:val="00706171"/>
    <w:rsid w:val="00706C48"/>
    <w:rsid w:val="00710CB1"/>
    <w:rsid w:val="00711B31"/>
    <w:rsid w:val="00712767"/>
    <w:rsid w:val="007138E7"/>
    <w:rsid w:val="007142F7"/>
    <w:rsid w:val="00715AEE"/>
    <w:rsid w:val="00717CA9"/>
    <w:rsid w:val="0072272E"/>
    <w:rsid w:val="00724D9D"/>
    <w:rsid w:val="0072787E"/>
    <w:rsid w:val="00727AFB"/>
    <w:rsid w:val="00727FE4"/>
    <w:rsid w:val="00731469"/>
    <w:rsid w:val="007323DD"/>
    <w:rsid w:val="007343F0"/>
    <w:rsid w:val="00734878"/>
    <w:rsid w:val="007353C9"/>
    <w:rsid w:val="00735498"/>
    <w:rsid w:val="00737B0E"/>
    <w:rsid w:val="007431DC"/>
    <w:rsid w:val="00744E2E"/>
    <w:rsid w:val="00746E56"/>
    <w:rsid w:val="00746ED9"/>
    <w:rsid w:val="007535C4"/>
    <w:rsid w:val="00753C77"/>
    <w:rsid w:val="00754522"/>
    <w:rsid w:val="00761B64"/>
    <w:rsid w:val="0076367F"/>
    <w:rsid w:val="0076483A"/>
    <w:rsid w:val="00764B9A"/>
    <w:rsid w:val="00765490"/>
    <w:rsid w:val="0077111F"/>
    <w:rsid w:val="00781046"/>
    <w:rsid w:val="00783C56"/>
    <w:rsid w:val="0078410D"/>
    <w:rsid w:val="007926D0"/>
    <w:rsid w:val="00794D28"/>
    <w:rsid w:val="00797B74"/>
    <w:rsid w:val="00797EDD"/>
    <w:rsid w:val="007A57DF"/>
    <w:rsid w:val="007A58CD"/>
    <w:rsid w:val="007A5E0C"/>
    <w:rsid w:val="007B40D9"/>
    <w:rsid w:val="007B43B9"/>
    <w:rsid w:val="007B7D61"/>
    <w:rsid w:val="007C0447"/>
    <w:rsid w:val="007C07C2"/>
    <w:rsid w:val="007C2647"/>
    <w:rsid w:val="007C2A8D"/>
    <w:rsid w:val="007C2F35"/>
    <w:rsid w:val="007C4D01"/>
    <w:rsid w:val="007C4E34"/>
    <w:rsid w:val="007C60DB"/>
    <w:rsid w:val="007C70DB"/>
    <w:rsid w:val="007D1087"/>
    <w:rsid w:val="007D1174"/>
    <w:rsid w:val="007D1DEA"/>
    <w:rsid w:val="007D6F71"/>
    <w:rsid w:val="007E1DCE"/>
    <w:rsid w:val="007E1FA6"/>
    <w:rsid w:val="007E324B"/>
    <w:rsid w:val="007E4D0B"/>
    <w:rsid w:val="007E520E"/>
    <w:rsid w:val="007E7DD1"/>
    <w:rsid w:val="007F0DBF"/>
    <w:rsid w:val="00800B2C"/>
    <w:rsid w:val="00801078"/>
    <w:rsid w:val="00803808"/>
    <w:rsid w:val="008048EC"/>
    <w:rsid w:val="0080694C"/>
    <w:rsid w:val="00807891"/>
    <w:rsid w:val="00811DB3"/>
    <w:rsid w:val="0081360F"/>
    <w:rsid w:val="00814F73"/>
    <w:rsid w:val="008169F6"/>
    <w:rsid w:val="00816BAF"/>
    <w:rsid w:val="0081723C"/>
    <w:rsid w:val="00817714"/>
    <w:rsid w:val="00821032"/>
    <w:rsid w:val="0082104A"/>
    <w:rsid w:val="0082587F"/>
    <w:rsid w:val="00827EF7"/>
    <w:rsid w:val="008317B0"/>
    <w:rsid w:val="0083327E"/>
    <w:rsid w:val="00833F04"/>
    <w:rsid w:val="0083507A"/>
    <w:rsid w:val="00836B0A"/>
    <w:rsid w:val="00840B9D"/>
    <w:rsid w:val="008414AA"/>
    <w:rsid w:val="00842685"/>
    <w:rsid w:val="008442E6"/>
    <w:rsid w:val="00844890"/>
    <w:rsid w:val="00847C71"/>
    <w:rsid w:val="00847DFE"/>
    <w:rsid w:val="008511D3"/>
    <w:rsid w:val="00855337"/>
    <w:rsid w:val="00860A65"/>
    <w:rsid w:val="00862C0D"/>
    <w:rsid w:val="00862DFE"/>
    <w:rsid w:val="00866738"/>
    <w:rsid w:val="008703A0"/>
    <w:rsid w:val="0087092F"/>
    <w:rsid w:val="00873477"/>
    <w:rsid w:val="00875E12"/>
    <w:rsid w:val="00876716"/>
    <w:rsid w:val="00877607"/>
    <w:rsid w:val="00880772"/>
    <w:rsid w:val="00881EB6"/>
    <w:rsid w:val="00884F8A"/>
    <w:rsid w:val="00885B16"/>
    <w:rsid w:val="00885B8D"/>
    <w:rsid w:val="00887AA1"/>
    <w:rsid w:val="00891843"/>
    <w:rsid w:val="00891F60"/>
    <w:rsid w:val="00895F24"/>
    <w:rsid w:val="00897743"/>
    <w:rsid w:val="008A29AF"/>
    <w:rsid w:val="008A3931"/>
    <w:rsid w:val="008A70CD"/>
    <w:rsid w:val="008B0257"/>
    <w:rsid w:val="008B1DBA"/>
    <w:rsid w:val="008B2587"/>
    <w:rsid w:val="008B5563"/>
    <w:rsid w:val="008C0062"/>
    <w:rsid w:val="008C4002"/>
    <w:rsid w:val="008C5946"/>
    <w:rsid w:val="008D4790"/>
    <w:rsid w:val="008E19A5"/>
    <w:rsid w:val="008E2114"/>
    <w:rsid w:val="008E3355"/>
    <w:rsid w:val="008E47DE"/>
    <w:rsid w:val="008F0220"/>
    <w:rsid w:val="008F12F9"/>
    <w:rsid w:val="008F2F73"/>
    <w:rsid w:val="008F3FC5"/>
    <w:rsid w:val="008F509B"/>
    <w:rsid w:val="008F5B4F"/>
    <w:rsid w:val="008F7972"/>
    <w:rsid w:val="00901D6D"/>
    <w:rsid w:val="00902B84"/>
    <w:rsid w:val="00907023"/>
    <w:rsid w:val="00907242"/>
    <w:rsid w:val="00915134"/>
    <w:rsid w:val="009152B9"/>
    <w:rsid w:val="00916BF1"/>
    <w:rsid w:val="00917264"/>
    <w:rsid w:val="009206FA"/>
    <w:rsid w:val="00921D43"/>
    <w:rsid w:val="00922595"/>
    <w:rsid w:val="009238D7"/>
    <w:rsid w:val="00924D99"/>
    <w:rsid w:val="009266CF"/>
    <w:rsid w:val="00926DE5"/>
    <w:rsid w:val="00927ED0"/>
    <w:rsid w:val="00931025"/>
    <w:rsid w:val="00932679"/>
    <w:rsid w:val="009338C3"/>
    <w:rsid w:val="00935627"/>
    <w:rsid w:val="0093575A"/>
    <w:rsid w:val="0094042B"/>
    <w:rsid w:val="00943BBA"/>
    <w:rsid w:val="00950069"/>
    <w:rsid w:val="00950C3A"/>
    <w:rsid w:val="0095282B"/>
    <w:rsid w:val="00952D5D"/>
    <w:rsid w:val="00953D73"/>
    <w:rsid w:val="00953EB2"/>
    <w:rsid w:val="0095527E"/>
    <w:rsid w:val="00957AEF"/>
    <w:rsid w:val="00962693"/>
    <w:rsid w:val="00963D5B"/>
    <w:rsid w:val="009643AD"/>
    <w:rsid w:val="0096530F"/>
    <w:rsid w:val="00970143"/>
    <w:rsid w:val="009725A9"/>
    <w:rsid w:val="00975A50"/>
    <w:rsid w:val="00977EE6"/>
    <w:rsid w:val="00980239"/>
    <w:rsid w:val="00981DCF"/>
    <w:rsid w:val="00982CB0"/>
    <w:rsid w:val="0098467A"/>
    <w:rsid w:val="009847AF"/>
    <w:rsid w:val="009877D1"/>
    <w:rsid w:val="00991596"/>
    <w:rsid w:val="00993247"/>
    <w:rsid w:val="00993383"/>
    <w:rsid w:val="00993EAF"/>
    <w:rsid w:val="0099414C"/>
    <w:rsid w:val="00996ED7"/>
    <w:rsid w:val="00997187"/>
    <w:rsid w:val="00997AFB"/>
    <w:rsid w:val="00997B9D"/>
    <w:rsid w:val="00997EC4"/>
    <w:rsid w:val="009A04F8"/>
    <w:rsid w:val="009A1A49"/>
    <w:rsid w:val="009A34A6"/>
    <w:rsid w:val="009A378D"/>
    <w:rsid w:val="009A40AE"/>
    <w:rsid w:val="009A497C"/>
    <w:rsid w:val="009A694F"/>
    <w:rsid w:val="009A704E"/>
    <w:rsid w:val="009B217F"/>
    <w:rsid w:val="009B4076"/>
    <w:rsid w:val="009B6234"/>
    <w:rsid w:val="009C2103"/>
    <w:rsid w:val="009C72E9"/>
    <w:rsid w:val="009D5AAE"/>
    <w:rsid w:val="009D7BA0"/>
    <w:rsid w:val="009D7BA5"/>
    <w:rsid w:val="009E04CA"/>
    <w:rsid w:val="009E198A"/>
    <w:rsid w:val="009E6DB5"/>
    <w:rsid w:val="009F2BA0"/>
    <w:rsid w:val="009F4E5C"/>
    <w:rsid w:val="009F53B4"/>
    <w:rsid w:val="009F6764"/>
    <w:rsid w:val="009F6B5A"/>
    <w:rsid w:val="009F7109"/>
    <w:rsid w:val="009F7177"/>
    <w:rsid w:val="009F7A36"/>
    <w:rsid w:val="00A006A6"/>
    <w:rsid w:val="00A0085F"/>
    <w:rsid w:val="00A01C2A"/>
    <w:rsid w:val="00A01F1A"/>
    <w:rsid w:val="00A02F26"/>
    <w:rsid w:val="00A03E58"/>
    <w:rsid w:val="00A04094"/>
    <w:rsid w:val="00A0449E"/>
    <w:rsid w:val="00A0671A"/>
    <w:rsid w:val="00A10A5B"/>
    <w:rsid w:val="00A10AE4"/>
    <w:rsid w:val="00A11846"/>
    <w:rsid w:val="00A14552"/>
    <w:rsid w:val="00A2335A"/>
    <w:rsid w:val="00A23860"/>
    <w:rsid w:val="00A23D33"/>
    <w:rsid w:val="00A24C90"/>
    <w:rsid w:val="00A26896"/>
    <w:rsid w:val="00A27278"/>
    <w:rsid w:val="00A30B31"/>
    <w:rsid w:val="00A3135D"/>
    <w:rsid w:val="00A31858"/>
    <w:rsid w:val="00A36129"/>
    <w:rsid w:val="00A4357E"/>
    <w:rsid w:val="00A436EA"/>
    <w:rsid w:val="00A43EB6"/>
    <w:rsid w:val="00A4506C"/>
    <w:rsid w:val="00A453D6"/>
    <w:rsid w:val="00A456E2"/>
    <w:rsid w:val="00A45DD0"/>
    <w:rsid w:val="00A463AB"/>
    <w:rsid w:val="00A46E53"/>
    <w:rsid w:val="00A50956"/>
    <w:rsid w:val="00A50D44"/>
    <w:rsid w:val="00A619BC"/>
    <w:rsid w:val="00A63F11"/>
    <w:rsid w:val="00A65211"/>
    <w:rsid w:val="00A74BAB"/>
    <w:rsid w:val="00A80596"/>
    <w:rsid w:val="00A816AC"/>
    <w:rsid w:val="00A84B57"/>
    <w:rsid w:val="00A863CE"/>
    <w:rsid w:val="00A864B3"/>
    <w:rsid w:val="00A877FA"/>
    <w:rsid w:val="00A879E7"/>
    <w:rsid w:val="00A925FE"/>
    <w:rsid w:val="00A92C00"/>
    <w:rsid w:val="00A94F88"/>
    <w:rsid w:val="00A977CD"/>
    <w:rsid w:val="00AA1A70"/>
    <w:rsid w:val="00AA394D"/>
    <w:rsid w:val="00AA662B"/>
    <w:rsid w:val="00AB2D42"/>
    <w:rsid w:val="00AB31E0"/>
    <w:rsid w:val="00AB6F18"/>
    <w:rsid w:val="00AB7319"/>
    <w:rsid w:val="00AC073E"/>
    <w:rsid w:val="00AC3192"/>
    <w:rsid w:val="00AC4AA0"/>
    <w:rsid w:val="00AC78A6"/>
    <w:rsid w:val="00AC7AB9"/>
    <w:rsid w:val="00AD29DF"/>
    <w:rsid w:val="00AD2C7C"/>
    <w:rsid w:val="00AD56C6"/>
    <w:rsid w:val="00AD63FF"/>
    <w:rsid w:val="00AD73D0"/>
    <w:rsid w:val="00AD7A94"/>
    <w:rsid w:val="00AE0139"/>
    <w:rsid w:val="00AE37EF"/>
    <w:rsid w:val="00AE4634"/>
    <w:rsid w:val="00AF7B69"/>
    <w:rsid w:val="00B01CED"/>
    <w:rsid w:val="00B0202B"/>
    <w:rsid w:val="00B02865"/>
    <w:rsid w:val="00B03DC3"/>
    <w:rsid w:val="00B0458E"/>
    <w:rsid w:val="00B05F5F"/>
    <w:rsid w:val="00B0753A"/>
    <w:rsid w:val="00B12368"/>
    <w:rsid w:val="00B12DE3"/>
    <w:rsid w:val="00B13836"/>
    <w:rsid w:val="00B13C24"/>
    <w:rsid w:val="00B1497F"/>
    <w:rsid w:val="00B15A72"/>
    <w:rsid w:val="00B166D9"/>
    <w:rsid w:val="00B17875"/>
    <w:rsid w:val="00B20889"/>
    <w:rsid w:val="00B20FD6"/>
    <w:rsid w:val="00B21720"/>
    <w:rsid w:val="00B22333"/>
    <w:rsid w:val="00B35466"/>
    <w:rsid w:val="00B379A4"/>
    <w:rsid w:val="00B41268"/>
    <w:rsid w:val="00B421AC"/>
    <w:rsid w:val="00B4316B"/>
    <w:rsid w:val="00B4354A"/>
    <w:rsid w:val="00B457F6"/>
    <w:rsid w:val="00B45AA5"/>
    <w:rsid w:val="00B461B7"/>
    <w:rsid w:val="00B47C44"/>
    <w:rsid w:val="00B512CC"/>
    <w:rsid w:val="00B515D0"/>
    <w:rsid w:val="00B5398B"/>
    <w:rsid w:val="00B55F44"/>
    <w:rsid w:val="00B5657E"/>
    <w:rsid w:val="00B56E27"/>
    <w:rsid w:val="00B57119"/>
    <w:rsid w:val="00B6007B"/>
    <w:rsid w:val="00B636DF"/>
    <w:rsid w:val="00B6557B"/>
    <w:rsid w:val="00B66D5B"/>
    <w:rsid w:val="00B675FD"/>
    <w:rsid w:val="00B67635"/>
    <w:rsid w:val="00B7012E"/>
    <w:rsid w:val="00B70A60"/>
    <w:rsid w:val="00B7115C"/>
    <w:rsid w:val="00B7159F"/>
    <w:rsid w:val="00B72C62"/>
    <w:rsid w:val="00B749ED"/>
    <w:rsid w:val="00B752A0"/>
    <w:rsid w:val="00B763D3"/>
    <w:rsid w:val="00B77119"/>
    <w:rsid w:val="00B77CEE"/>
    <w:rsid w:val="00B77ED2"/>
    <w:rsid w:val="00B823AA"/>
    <w:rsid w:val="00B82581"/>
    <w:rsid w:val="00B85644"/>
    <w:rsid w:val="00B86D18"/>
    <w:rsid w:val="00B9068E"/>
    <w:rsid w:val="00B954B2"/>
    <w:rsid w:val="00B95B73"/>
    <w:rsid w:val="00B970C8"/>
    <w:rsid w:val="00BA02DF"/>
    <w:rsid w:val="00BA06F2"/>
    <w:rsid w:val="00BA0FB9"/>
    <w:rsid w:val="00BA1765"/>
    <w:rsid w:val="00BA1F27"/>
    <w:rsid w:val="00BA793A"/>
    <w:rsid w:val="00BB02BB"/>
    <w:rsid w:val="00BB0B8D"/>
    <w:rsid w:val="00BB2E27"/>
    <w:rsid w:val="00BB4F35"/>
    <w:rsid w:val="00BB5019"/>
    <w:rsid w:val="00BB61EE"/>
    <w:rsid w:val="00BB651E"/>
    <w:rsid w:val="00BC15B4"/>
    <w:rsid w:val="00BC44F1"/>
    <w:rsid w:val="00BC6187"/>
    <w:rsid w:val="00BC6D11"/>
    <w:rsid w:val="00BD11FF"/>
    <w:rsid w:val="00BD2C11"/>
    <w:rsid w:val="00BD3E7D"/>
    <w:rsid w:val="00BD61BB"/>
    <w:rsid w:val="00BD6DF0"/>
    <w:rsid w:val="00BE17E4"/>
    <w:rsid w:val="00BE4E95"/>
    <w:rsid w:val="00BE6F4B"/>
    <w:rsid w:val="00BF1BAF"/>
    <w:rsid w:val="00BF2BFA"/>
    <w:rsid w:val="00BF3F15"/>
    <w:rsid w:val="00BF4209"/>
    <w:rsid w:val="00BF5559"/>
    <w:rsid w:val="00BF7047"/>
    <w:rsid w:val="00C03C24"/>
    <w:rsid w:val="00C04257"/>
    <w:rsid w:val="00C06D14"/>
    <w:rsid w:val="00C076AB"/>
    <w:rsid w:val="00C10604"/>
    <w:rsid w:val="00C11CB4"/>
    <w:rsid w:val="00C124E4"/>
    <w:rsid w:val="00C12DD1"/>
    <w:rsid w:val="00C14003"/>
    <w:rsid w:val="00C206E4"/>
    <w:rsid w:val="00C31471"/>
    <w:rsid w:val="00C32493"/>
    <w:rsid w:val="00C3522B"/>
    <w:rsid w:val="00C36751"/>
    <w:rsid w:val="00C37B57"/>
    <w:rsid w:val="00C37B75"/>
    <w:rsid w:val="00C4197D"/>
    <w:rsid w:val="00C4228B"/>
    <w:rsid w:val="00C43ACD"/>
    <w:rsid w:val="00C43F3E"/>
    <w:rsid w:val="00C444CC"/>
    <w:rsid w:val="00C50727"/>
    <w:rsid w:val="00C531EE"/>
    <w:rsid w:val="00C537C7"/>
    <w:rsid w:val="00C5445D"/>
    <w:rsid w:val="00C55367"/>
    <w:rsid w:val="00C579AC"/>
    <w:rsid w:val="00C60DB5"/>
    <w:rsid w:val="00C62701"/>
    <w:rsid w:val="00C6479D"/>
    <w:rsid w:val="00C662B4"/>
    <w:rsid w:val="00C665B7"/>
    <w:rsid w:val="00C66EA5"/>
    <w:rsid w:val="00C702FE"/>
    <w:rsid w:val="00C72216"/>
    <w:rsid w:val="00C723C7"/>
    <w:rsid w:val="00C74450"/>
    <w:rsid w:val="00C74F6D"/>
    <w:rsid w:val="00C7578D"/>
    <w:rsid w:val="00C77D4E"/>
    <w:rsid w:val="00C83493"/>
    <w:rsid w:val="00C843F8"/>
    <w:rsid w:val="00C851B0"/>
    <w:rsid w:val="00C9258E"/>
    <w:rsid w:val="00C925B9"/>
    <w:rsid w:val="00C9280C"/>
    <w:rsid w:val="00C94306"/>
    <w:rsid w:val="00C94C59"/>
    <w:rsid w:val="00C94F38"/>
    <w:rsid w:val="00CA0C44"/>
    <w:rsid w:val="00CA4A6F"/>
    <w:rsid w:val="00CA6880"/>
    <w:rsid w:val="00CA6F77"/>
    <w:rsid w:val="00CA7F00"/>
    <w:rsid w:val="00CB1938"/>
    <w:rsid w:val="00CB32B2"/>
    <w:rsid w:val="00CB4BCC"/>
    <w:rsid w:val="00CB5162"/>
    <w:rsid w:val="00CB53F1"/>
    <w:rsid w:val="00CB5CF2"/>
    <w:rsid w:val="00CB6A41"/>
    <w:rsid w:val="00CC1712"/>
    <w:rsid w:val="00CC270A"/>
    <w:rsid w:val="00CC52C2"/>
    <w:rsid w:val="00CD1910"/>
    <w:rsid w:val="00CD4363"/>
    <w:rsid w:val="00CD5176"/>
    <w:rsid w:val="00CD5FF6"/>
    <w:rsid w:val="00CE27B3"/>
    <w:rsid w:val="00CE2DD2"/>
    <w:rsid w:val="00CE3AB5"/>
    <w:rsid w:val="00CE5A0D"/>
    <w:rsid w:val="00CE60F8"/>
    <w:rsid w:val="00CE72F1"/>
    <w:rsid w:val="00CF0B27"/>
    <w:rsid w:val="00CF1113"/>
    <w:rsid w:val="00CF137A"/>
    <w:rsid w:val="00CF3141"/>
    <w:rsid w:val="00CF6F95"/>
    <w:rsid w:val="00D0041B"/>
    <w:rsid w:val="00D00BE8"/>
    <w:rsid w:val="00D01CCF"/>
    <w:rsid w:val="00D032B8"/>
    <w:rsid w:val="00D045AF"/>
    <w:rsid w:val="00D05647"/>
    <w:rsid w:val="00D0586E"/>
    <w:rsid w:val="00D070F5"/>
    <w:rsid w:val="00D075A4"/>
    <w:rsid w:val="00D10A2E"/>
    <w:rsid w:val="00D112EB"/>
    <w:rsid w:val="00D12599"/>
    <w:rsid w:val="00D14319"/>
    <w:rsid w:val="00D163E3"/>
    <w:rsid w:val="00D2019A"/>
    <w:rsid w:val="00D20BF5"/>
    <w:rsid w:val="00D22AEA"/>
    <w:rsid w:val="00D25085"/>
    <w:rsid w:val="00D25253"/>
    <w:rsid w:val="00D26763"/>
    <w:rsid w:val="00D27AA3"/>
    <w:rsid w:val="00D32AE6"/>
    <w:rsid w:val="00D3587B"/>
    <w:rsid w:val="00D362C9"/>
    <w:rsid w:val="00D4136E"/>
    <w:rsid w:val="00D44CC7"/>
    <w:rsid w:val="00D467B9"/>
    <w:rsid w:val="00D53E2B"/>
    <w:rsid w:val="00D5588C"/>
    <w:rsid w:val="00D56EFF"/>
    <w:rsid w:val="00D61097"/>
    <w:rsid w:val="00D70A53"/>
    <w:rsid w:val="00D73A30"/>
    <w:rsid w:val="00D74E7F"/>
    <w:rsid w:val="00D761B6"/>
    <w:rsid w:val="00D82974"/>
    <w:rsid w:val="00D83701"/>
    <w:rsid w:val="00D84B88"/>
    <w:rsid w:val="00D874CD"/>
    <w:rsid w:val="00D90CE6"/>
    <w:rsid w:val="00D91688"/>
    <w:rsid w:val="00D93279"/>
    <w:rsid w:val="00D93876"/>
    <w:rsid w:val="00D93BFA"/>
    <w:rsid w:val="00D9431E"/>
    <w:rsid w:val="00D94AF4"/>
    <w:rsid w:val="00D97A87"/>
    <w:rsid w:val="00DA0861"/>
    <w:rsid w:val="00DA2863"/>
    <w:rsid w:val="00DA2C43"/>
    <w:rsid w:val="00DA437E"/>
    <w:rsid w:val="00DA6C13"/>
    <w:rsid w:val="00DA71D6"/>
    <w:rsid w:val="00DB2921"/>
    <w:rsid w:val="00DB463E"/>
    <w:rsid w:val="00DC0BD4"/>
    <w:rsid w:val="00DC0D78"/>
    <w:rsid w:val="00DC1C4E"/>
    <w:rsid w:val="00DC35F4"/>
    <w:rsid w:val="00DC409D"/>
    <w:rsid w:val="00DC62C2"/>
    <w:rsid w:val="00DC6B0B"/>
    <w:rsid w:val="00DC7ABF"/>
    <w:rsid w:val="00DD0FC6"/>
    <w:rsid w:val="00DD1E4B"/>
    <w:rsid w:val="00DD2AB2"/>
    <w:rsid w:val="00DD46C9"/>
    <w:rsid w:val="00DD5E21"/>
    <w:rsid w:val="00DD5EAD"/>
    <w:rsid w:val="00DD7215"/>
    <w:rsid w:val="00DD78FE"/>
    <w:rsid w:val="00DE1A7D"/>
    <w:rsid w:val="00DE4263"/>
    <w:rsid w:val="00DE5009"/>
    <w:rsid w:val="00DE650E"/>
    <w:rsid w:val="00DE6CE0"/>
    <w:rsid w:val="00DE7346"/>
    <w:rsid w:val="00DF1135"/>
    <w:rsid w:val="00DF22F6"/>
    <w:rsid w:val="00DF30B9"/>
    <w:rsid w:val="00E017BB"/>
    <w:rsid w:val="00E029D3"/>
    <w:rsid w:val="00E06368"/>
    <w:rsid w:val="00E068BB"/>
    <w:rsid w:val="00E10C43"/>
    <w:rsid w:val="00E11D77"/>
    <w:rsid w:val="00E1228D"/>
    <w:rsid w:val="00E13487"/>
    <w:rsid w:val="00E17BB6"/>
    <w:rsid w:val="00E22A58"/>
    <w:rsid w:val="00E2357F"/>
    <w:rsid w:val="00E242D8"/>
    <w:rsid w:val="00E258F1"/>
    <w:rsid w:val="00E266C8"/>
    <w:rsid w:val="00E278F9"/>
    <w:rsid w:val="00E3066B"/>
    <w:rsid w:val="00E3093D"/>
    <w:rsid w:val="00E32E09"/>
    <w:rsid w:val="00E370D2"/>
    <w:rsid w:val="00E3715D"/>
    <w:rsid w:val="00E372BD"/>
    <w:rsid w:val="00E374DF"/>
    <w:rsid w:val="00E37F53"/>
    <w:rsid w:val="00E40788"/>
    <w:rsid w:val="00E40A24"/>
    <w:rsid w:val="00E54C56"/>
    <w:rsid w:val="00E54C5F"/>
    <w:rsid w:val="00E54EEA"/>
    <w:rsid w:val="00E60EB0"/>
    <w:rsid w:val="00E61E41"/>
    <w:rsid w:val="00E61E7C"/>
    <w:rsid w:val="00E634DC"/>
    <w:rsid w:val="00E648E7"/>
    <w:rsid w:val="00E6632B"/>
    <w:rsid w:val="00E677EF"/>
    <w:rsid w:val="00E67EED"/>
    <w:rsid w:val="00E70A15"/>
    <w:rsid w:val="00E72C81"/>
    <w:rsid w:val="00E739D1"/>
    <w:rsid w:val="00E7548B"/>
    <w:rsid w:val="00E80252"/>
    <w:rsid w:val="00E83E01"/>
    <w:rsid w:val="00E84A93"/>
    <w:rsid w:val="00E86B01"/>
    <w:rsid w:val="00E92CD9"/>
    <w:rsid w:val="00E942B8"/>
    <w:rsid w:val="00E9488F"/>
    <w:rsid w:val="00E94C07"/>
    <w:rsid w:val="00E96311"/>
    <w:rsid w:val="00E9671F"/>
    <w:rsid w:val="00EA0FC2"/>
    <w:rsid w:val="00EA2870"/>
    <w:rsid w:val="00EA521C"/>
    <w:rsid w:val="00EA5AE0"/>
    <w:rsid w:val="00EB0977"/>
    <w:rsid w:val="00EB21F1"/>
    <w:rsid w:val="00EB4353"/>
    <w:rsid w:val="00EB5F3B"/>
    <w:rsid w:val="00EB6709"/>
    <w:rsid w:val="00EB69A8"/>
    <w:rsid w:val="00EC088E"/>
    <w:rsid w:val="00EC3B17"/>
    <w:rsid w:val="00EC4BBD"/>
    <w:rsid w:val="00EC5282"/>
    <w:rsid w:val="00ED0F9D"/>
    <w:rsid w:val="00ED2DAA"/>
    <w:rsid w:val="00ED4AE2"/>
    <w:rsid w:val="00ED4FD9"/>
    <w:rsid w:val="00ED6374"/>
    <w:rsid w:val="00ED7B2B"/>
    <w:rsid w:val="00EE0DA3"/>
    <w:rsid w:val="00EE0DD3"/>
    <w:rsid w:val="00EE179A"/>
    <w:rsid w:val="00EE2704"/>
    <w:rsid w:val="00EE40F2"/>
    <w:rsid w:val="00EE560D"/>
    <w:rsid w:val="00EF08ED"/>
    <w:rsid w:val="00EF0B2B"/>
    <w:rsid w:val="00EF1784"/>
    <w:rsid w:val="00EF1E4A"/>
    <w:rsid w:val="00EF4519"/>
    <w:rsid w:val="00EF5599"/>
    <w:rsid w:val="00EF75BF"/>
    <w:rsid w:val="00F02B4A"/>
    <w:rsid w:val="00F03882"/>
    <w:rsid w:val="00F06D9A"/>
    <w:rsid w:val="00F10FD2"/>
    <w:rsid w:val="00F12193"/>
    <w:rsid w:val="00F16319"/>
    <w:rsid w:val="00F16798"/>
    <w:rsid w:val="00F2281A"/>
    <w:rsid w:val="00F2336C"/>
    <w:rsid w:val="00F2640D"/>
    <w:rsid w:val="00F35191"/>
    <w:rsid w:val="00F45D5B"/>
    <w:rsid w:val="00F45E7A"/>
    <w:rsid w:val="00F46CE1"/>
    <w:rsid w:val="00F5053A"/>
    <w:rsid w:val="00F50CDC"/>
    <w:rsid w:val="00F52E63"/>
    <w:rsid w:val="00F550AA"/>
    <w:rsid w:val="00F55FCC"/>
    <w:rsid w:val="00F61973"/>
    <w:rsid w:val="00F62406"/>
    <w:rsid w:val="00F6432B"/>
    <w:rsid w:val="00F64361"/>
    <w:rsid w:val="00F666B5"/>
    <w:rsid w:val="00F66F16"/>
    <w:rsid w:val="00F67A76"/>
    <w:rsid w:val="00F67BF9"/>
    <w:rsid w:val="00F73E6F"/>
    <w:rsid w:val="00F74C3D"/>
    <w:rsid w:val="00F75B7B"/>
    <w:rsid w:val="00F75FA1"/>
    <w:rsid w:val="00F7759E"/>
    <w:rsid w:val="00F835CD"/>
    <w:rsid w:val="00F84C36"/>
    <w:rsid w:val="00F85421"/>
    <w:rsid w:val="00F85460"/>
    <w:rsid w:val="00F85613"/>
    <w:rsid w:val="00F85AC7"/>
    <w:rsid w:val="00F86B2F"/>
    <w:rsid w:val="00F86E81"/>
    <w:rsid w:val="00F870FE"/>
    <w:rsid w:val="00F87F4D"/>
    <w:rsid w:val="00F91156"/>
    <w:rsid w:val="00F91E1A"/>
    <w:rsid w:val="00F921FC"/>
    <w:rsid w:val="00F92D14"/>
    <w:rsid w:val="00F94272"/>
    <w:rsid w:val="00F96204"/>
    <w:rsid w:val="00F97740"/>
    <w:rsid w:val="00FA042E"/>
    <w:rsid w:val="00FA193C"/>
    <w:rsid w:val="00FA4273"/>
    <w:rsid w:val="00FA42E2"/>
    <w:rsid w:val="00FA6928"/>
    <w:rsid w:val="00FA766E"/>
    <w:rsid w:val="00FB21AE"/>
    <w:rsid w:val="00FB5E09"/>
    <w:rsid w:val="00FB6934"/>
    <w:rsid w:val="00FC2512"/>
    <w:rsid w:val="00FC321F"/>
    <w:rsid w:val="00FC3A92"/>
    <w:rsid w:val="00FC413A"/>
    <w:rsid w:val="00FC7356"/>
    <w:rsid w:val="00FC7F10"/>
    <w:rsid w:val="00FD0271"/>
    <w:rsid w:val="00FD25A5"/>
    <w:rsid w:val="00FD5230"/>
    <w:rsid w:val="00FD53B7"/>
    <w:rsid w:val="00FD57B8"/>
    <w:rsid w:val="00FD6918"/>
    <w:rsid w:val="00FD7233"/>
    <w:rsid w:val="00FE2235"/>
    <w:rsid w:val="00FE2E3C"/>
    <w:rsid w:val="00FE3BB3"/>
    <w:rsid w:val="00FE3E9F"/>
    <w:rsid w:val="00FE51C5"/>
    <w:rsid w:val="00FF05FA"/>
    <w:rsid w:val="00FF09CB"/>
    <w:rsid w:val="00FF2005"/>
    <w:rsid w:val="00FF215A"/>
    <w:rsid w:val="00FF303C"/>
    <w:rsid w:val="00FF32BB"/>
    <w:rsid w:val="00FF3AB6"/>
    <w:rsid w:val="00FF4128"/>
    <w:rsid w:val="00FF50B8"/>
    <w:rsid w:val="00FF62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75A74E72-65AD-E24E-8EA1-B27E01C2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264170">
      <w:bodyDiv w:val="1"/>
      <w:marLeft w:val="0"/>
      <w:marRight w:val="0"/>
      <w:marTop w:val="0"/>
      <w:marBottom w:val="0"/>
      <w:divBdr>
        <w:top w:val="none" w:sz="0" w:space="0" w:color="auto"/>
        <w:left w:val="none" w:sz="0" w:space="0" w:color="auto"/>
        <w:bottom w:val="none" w:sz="0" w:space="0" w:color="auto"/>
        <w:right w:val="none" w:sz="0" w:space="0" w:color="auto"/>
      </w:divBdr>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515517">
      <w:bodyDiv w:val="1"/>
      <w:marLeft w:val="0"/>
      <w:marRight w:val="0"/>
      <w:marTop w:val="0"/>
      <w:marBottom w:val="0"/>
      <w:divBdr>
        <w:top w:val="none" w:sz="0" w:space="0" w:color="auto"/>
        <w:left w:val="none" w:sz="0" w:space="0" w:color="auto"/>
        <w:bottom w:val="none" w:sz="0" w:space="0" w:color="auto"/>
        <w:right w:val="none" w:sz="0" w:space="0" w:color="auto"/>
      </w:divBdr>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055255">
      <w:bodyDiv w:val="1"/>
      <w:marLeft w:val="0"/>
      <w:marRight w:val="0"/>
      <w:marTop w:val="0"/>
      <w:marBottom w:val="0"/>
      <w:divBdr>
        <w:top w:val="none" w:sz="0" w:space="0" w:color="auto"/>
        <w:left w:val="none" w:sz="0" w:space="0" w:color="auto"/>
        <w:bottom w:val="none" w:sz="0" w:space="0" w:color="auto"/>
        <w:right w:val="none" w:sz="0" w:space="0" w:color="auto"/>
      </w:divBdr>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4166">
      <w:bodyDiv w:val="1"/>
      <w:marLeft w:val="0"/>
      <w:marRight w:val="0"/>
      <w:marTop w:val="0"/>
      <w:marBottom w:val="0"/>
      <w:divBdr>
        <w:top w:val="none" w:sz="0" w:space="0" w:color="auto"/>
        <w:left w:val="none" w:sz="0" w:space="0" w:color="auto"/>
        <w:bottom w:val="none" w:sz="0" w:space="0" w:color="auto"/>
        <w:right w:val="none" w:sz="0" w:space="0" w:color="auto"/>
      </w:divBdr>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012685-A690-47F9-9B5C-55D1C774DC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3F477C81-B903-48BA-A05A-1FCB72C2D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1619</Words>
  <Characters>8908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Eric O. De la Cruz Iglesias</cp:lastModifiedBy>
  <cp:revision>61</cp:revision>
  <cp:lastPrinted>2025-04-04T20:44:00Z</cp:lastPrinted>
  <dcterms:created xsi:type="dcterms:W3CDTF">2026-06-17T20:10:00Z</dcterms:created>
  <dcterms:modified xsi:type="dcterms:W3CDTF">2026-06-18T18:23:00Z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ies>
</file>