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Pr>
          <w:rFonts w:ascii="Book Antiqua" w:eastAsia="Times New Roman" w:hAnsi="Book Antiqua" w:cs="Times New Roman"/>
          <w:sz w:val="24"/>
          <w:szCs w:val="20"/>
          <w:lang w:val="es-ES_tradnl"/>
        </w:rPr>
        <w:t>1</w:t>
      </w:r>
      <w:r>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432D683D" w:rsidR="002573CC" w:rsidRPr="002573CC" w:rsidRDefault="002573CC" w:rsidP="002573CC">
      <w:pPr>
        <w:spacing w:after="0" w:line="240" w:lineRule="auto"/>
        <w:jc w:val="center"/>
        <w:rPr>
          <w:rFonts w:ascii="Book Antiqua" w:eastAsia="Times New Roman" w:hAnsi="Book Antiqua" w:cs="Times New Roman"/>
          <w:b/>
          <w:sz w:val="52"/>
          <w:szCs w:val="52"/>
          <w:lang w:val="es-ES_tradnl"/>
        </w:rPr>
      </w:pPr>
      <w:r w:rsidRPr="002573CC">
        <w:rPr>
          <w:rFonts w:ascii="Book Antiqua" w:eastAsia="Times New Roman" w:hAnsi="Book Antiqua" w:cs="Times New Roman"/>
          <w:b/>
          <w:sz w:val="52"/>
          <w:szCs w:val="52"/>
          <w:lang w:val="es-ES_tradnl"/>
        </w:rPr>
        <w:t>P. de</w:t>
      </w:r>
      <w:r w:rsidR="00470D75">
        <w:rPr>
          <w:rFonts w:ascii="Book Antiqua" w:eastAsia="Times New Roman" w:hAnsi="Book Antiqua" w:cs="Times New Roman"/>
          <w:b/>
          <w:sz w:val="52"/>
          <w:szCs w:val="52"/>
          <w:lang w:val="es-ES_tradnl"/>
        </w:rPr>
        <w:t>l S</w:t>
      </w:r>
      <w:r w:rsidR="00B03370">
        <w:rPr>
          <w:rFonts w:ascii="Book Antiqua" w:eastAsia="Times New Roman" w:hAnsi="Book Antiqua" w:cs="Times New Roman"/>
          <w:b/>
          <w:sz w:val="52"/>
          <w:szCs w:val="52"/>
          <w:lang w:val="es-ES_tradnl"/>
        </w:rPr>
        <w:t xml:space="preserve">. </w:t>
      </w:r>
      <w:r w:rsidR="00470D75">
        <w:rPr>
          <w:rFonts w:ascii="Book Antiqua" w:eastAsia="Times New Roman" w:hAnsi="Book Antiqua" w:cs="Times New Roman"/>
          <w:b/>
          <w:sz w:val="52"/>
          <w:szCs w:val="52"/>
          <w:lang w:val="es-ES_tradnl"/>
        </w:rPr>
        <w:t>74</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7D9A7AE2" w:rsidR="002573CC" w:rsidRPr="002573CC" w:rsidRDefault="00D94489"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 xml:space="preserve"> </w:t>
      </w:r>
      <w:r w:rsidR="00621DE3">
        <w:rPr>
          <w:rFonts w:ascii="Book Antiqua" w:eastAsia="Times New Roman" w:hAnsi="Book Antiqua" w:cs="Times New Roman"/>
          <w:sz w:val="24"/>
          <w:szCs w:val="24"/>
          <w:lang w:val="es-ES_tradnl"/>
        </w:rPr>
        <w:t>25</w:t>
      </w:r>
      <w:r w:rsidR="00A35ADF">
        <w:rPr>
          <w:rFonts w:ascii="Book Antiqua" w:eastAsia="Times New Roman" w:hAnsi="Book Antiqua" w:cs="Times New Roman"/>
          <w:sz w:val="24"/>
          <w:szCs w:val="24"/>
          <w:lang w:val="es-ES_tradnl"/>
        </w:rPr>
        <w:t xml:space="preserve"> </w:t>
      </w:r>
      <w:r w:rsidR="002573CC" w:rsidRPr="002573CC">
        <w:rPr>
          <w:rFonts w:ascii="Book Antiqua" w:eastAsia="Times New Roman" w:hAnsi="Book Antiqua" w:cs="Times New Roman"/>
          <w:sz w:val="24"/>
          <w:szCs w:val="24"/>
          <w:lang w:val="es-ES_tradnl"/>
        </w:rPr>
        <w:t xml:space="preserve">de </w:t>
      </w:r>
      <w:r w:rsidR="006617C6">
        <w:rPr>
          <w:rFonts w:ascii="Book Antiqua" w:eastAsia="Times New Roman" w:hAnsi="Book Antiqua" w:cs="Times New Roman"/>
          <w:sz w:val="24"/>
          <w:szCs w:val="24"/>
          <w:lang w:val="es-ES_tradnl"/>
        </w:rPr>
        <w:t>abril</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50BB570A" w14:textId="77777777" w:rsidR="006617C6" w:rsidRPr="002573CC" w:rsidRDefault="006617C6" w:rsidP="006617C6">
      <w:pPr>
        <w:spacing w:after="0" w:line="240" w:lineRule="auto"/>
        <w:contextualSpacing/>
        <w:jc w:val="both"/>
        <w:rPr>
          <w:rFonts w:ascii="Book Antiqua" w:eastAsia="Times New Roman" w:hAnsi="Book Antiqua" w:cs="Times New Roman"/>
          <w:b/>
          <w:sz w:val="24"/>
          <w:szCs w:val="20"/>
          <w:lang w:val="es-ES_tradnl"/>
        </w:rPr>
      </w:pPr>
      <w:bookmarkStart w:id="0" w:name="_Hlk191985732"/>
      <w:r w:rsidRPr="002573CC">
        <w:rPr>
          <w:rFonts w:ascii="Book Antiqua" w:eastAsia="Times New Roman" w:hAnsi="Book Antiqua" w:cs="Times New Roman"/>
          <w:b/>
          <w:sz w:val="24"/>
          <w:szCs w:val="20"/>
          <w:lang w:val="es-ES_tradnl"/>
        </w:rPr>
        <w:t>A</w:t>
      </w:r>
      <w:r>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Pr>
          <w:rFonts w:ascii="Book Antiqua" w:eastAsia="Times New Roman" w:hAnsi="Book Antiqua" w:cs="Times New Roman"/>
          <w:b/>
          <w:sz w:val="24"/>
          <w:szCs w:val="20"/>
          <w:lang w:val="es-ES_tradnl"/>
        </w:rPr>
        <w:t>A CÁMARA DE REPRESENTANTES</w:t>
      </w:r>
      <w:r w:rsidRPr="002573CC">
        <w:rPr>
          <w:rFonts w:ascii="Book Antiqua" w:eastAsia="Times New Roman" w:hAnsi="Book Antiqua" w:cs="Times New Roman"/>
          <w:b/>
          <w:sz w:val="24"/>
          <w:szCs w:val="20"/>
          <w:lang w:val="es-ES_tradnl"/>
        </w:rPr>
        <w:t>:</w:t>
      </w:r>
    </w:p>
    <w:p w14:paraId="3E06F0BA" w14:textId="77777777" w:rsidR="006617C6" w:rsidRPr="002573CC" w:rsidRDefault="006617C6" w:rsidP="006617C6">
      <w:pPr>
        <w:spacing w:after="0" w:line="240" w:lineRule="auto"/>
        <w:contextualSpacing/>
        <w:jc w:val="both"/>
        <w:rPr>
          <w:rFonts w:ascii="Book Antiqua" w:eastAsia="Times New Roman" w:hAnsi="Book Antiqua" w:cs="Times New Roman"/>
          <w:b/>
          <w:sz w:val="24"/>
          <w:szCs w:val="20"/>
          <w:lang w:val="es-ES_tradnl"/>
        </w:rPr>
      </w:pPr>
    </w:p>
    <w:p w14:paraId="2B4DDE19" w14:textId="77777777" w:rsidR="006617C6" w:rsidRPr="00A442AC" w:rsidRDefault="006617C6" w:rsidP="00470D75">
      <w:pPr>
        <w:spacing w:after="0" w:line="360" w:lineRule="auto"/>
        <w:ind w:firstLine="706"/>
        <w:contextualSpacing/>
        <w:jc w:val="both"/>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La Comisión de</w:t>
      </w:r>
      <w:r>
        <w:rPr>
          <w:rFonts w:ascii="Book Antiqua" w:eastAsia="Times New Roman" w:hAnsi="Book Antiqua" w:cs="Times New Roman"/>
          <w:sz w:val="24"/>
          <w:szCs w:val="20"/>
          <w:lang w:val="es-ES_tradnl"/>
        </w:rPr>
        <w:t>l Trabajo y Asuntos Laborales de la Cámara de Representantes de Puerto Rico</w:t>
      </w:r>
      <w:r w:rsidRPr="002573CC">
        <w:rPr>
          <w:rFonts w:ascii="Book Antiqua" w:eastAsia="Times New Roman" w:hAnsi="Book Antiqua" w:cs="Times New Roman"/>
          <w:sz w:val="24"/>
          <w:szCs w:val="20"/>
          <w:lang w:val="es-ES_tradnl"/>
        </w:rPr>
        <w:t>, previo estudio y consideración del</w:t>
      </w:r>
      <w:r>
        <w:rPr>
          <w:rFonts w:ascii="Book Antiqua" w:eastAsia="Times New Roman" w:hAnsi="Book Antiqua" w:cs="Times New Roman"/>
          <w:sz w:val="24"/>
          <w:szCs w:val="20"/>
          <w:lang w:val="es-ES_tradnl"/>
        </w:rPr>
        <w:t xml:space="preserve"> Proyecto de</w:t>
      </w:r>
      <w:r>
        <w:rPr>
          <w:rFonts w:ascii="Book Antiqua" w:eastAsia="Times New Roman" w:hAnsi="Book Antiqua"/>
          <w:lang w:val="es-ES_tradnl"/>
        </w:rPr>
        <w:t xml:space="preserve">l </w:t>
      </w:r>
      <w:r w:rsidRPr="00E2493E">
        <w:rPr>
          <w:rFonts w:ascii="Book Antiqua" w:eastAsia="Times New Roman" w:hAnsi="Book Antiqua"/>
          <w:sz w:val="24"/>
          <w:szCs w:val="24"/>
          <w:lang w:val="es-ES_tradnl"/>
        </w:rPr>
        <w:t>Senado</w:t>
      </w:r>
      <w:r w:rsidRPr="00E2493E">
        <w:rPr>
          <w:rFonts w:ascii="Book Antiqua" w:eastAsia="Times New Roman" w:hAnsi="Book Antiqua" w:cs="Times New Roman"/>
          <w:sz w:val="24"/>
          <w:szCs w:val="24"/>
          <w:lang w:val="es-ES_tradnl"/>
        </w:rPr>
        <w:t xml:space="preserve"> </w:t>
      </w:r>
      <w:r w:rsidRPr="00E2493E">
        <w:rPr>
          <w:rFonts w:ascii="Book Antiqua" w:eastAsia="Times New Roman" w:hAnsi="Book Antiqua"/>
          <w:sz w:val="24"/>
          <w:szCs w:val="24"/>
          <w:lang w:val="es-ES_tradnl"/>
        </w:rPr>
        <w:t>74</w:t>
      </w:r>
      <w:r w:rsidRPr="002573CC">
        <w:rPr>
          <w:rFonts w:ascii="Book Antiqua" w:eastAsia="Times New Roman" w:hAnsi="Book Antiqua" w:cs="Times New Roman"/>
          <w:sz w:val="24"/>
          <w:szCs w:val="20"/>
          <w:lang w:val="es-ES_tradnl"/>
        </w:rPr>
        <w:t>,</w:t>
      </w:r>
      <w:r>
        <w:rPr>
          <w:rFonts w:ascii="Book Antiqua" w:eastAsia="Times New Roman" w:hAnsi="Book Antiqua" w:cs="Times New Roman"/>
          <w:sz w:val="24"/>
          <w:szCs w:val="20"/>
          <w:lang w:val="es-ES_tradnl"/>
        </w:rPr>
        <w:t xml:space="preserve"> tiene a bien</w:t>
      </w:r>
      <w:r w:rsidRPr="002573CC">
        <w:rPr>
          <w:rFonts w:ascii="Book Antiqua" w:eastAsia="Times New Roman" w:hAnsi="Book Antiqua" w:cs="Times New Roman"/>
          <w:sz w:val="24"/>
          <w:szCs w:val="20"/>
          <w:lang w:val="es-ES_tradnl"/>
        </w:rPr>
        <w:t xml:space="preserve"> recom</w:t>
      </w:r>
      <w:r>
        <w:rPr>
          <w:rFonts w:ascii="Book Antiqua" w:eastAsia="Times New Roman" w:hAnsi="Book Antiqua" w:cs="Times New Roman"/>
          <w:sz w:val="24"/>
          <w:szCs w:val="20"/>
          <w:lang w:val="es-ES_tradnl"/>
        </w:rPr>
        <w:t>endar</w:t>
      </w:r>
      <w:r w:rsidRPr="002573CC">
        <w:rPr>
          <w:rFonts w:ascii="Book Antiqua" w:eastAsia="Times New Roman" w:hAnsi="Book Antiqua" w:cs="Times New Roman"/>
          <w:sz w:val="24"/>
          <w:szCs w:val="20"/>
          <w:lang w:val="es-ES_tradnl"/>
        </w:rPr>
        <w:t xml:space="preserve"> a este Alto Cuerpo la </w:t>
      </w:r>
      <w:r w:rsidRPr="00A272AE">
        <w:rPr>
          <w:rFonts w:ascii="Book Antiqua" w:eastAsia="Times New Roman" w:hAnsi="Book Antiqua" w:cs="Times New Roman"/>
          <w:b/>
          <w:bCs/>
          <w:sz w:val="24"/>
          <w:szCs w:val="20"/>
          <w:lang w:val="es-ES_tradnl"/>
        </w:rPr>
        <w:t>a</w:t>
      </w:r>
      <w:r w:rsidRPr="00A272AE">
        <w:rPr>
          <w:rFonts w:ascii="Book Antiqua" w:eastAsia="Times New Roman" w:hAnsi="Book Antiqua" w:cs="Times New Roman"/>
          <w:b/>
          <w:sz w:val="24"/>
          <w:szCs w:val="20"/>
          <w:lang w:val="es-ES_tradnl"/>
        </w:rPr>
        <w:t>probación</w:t>
      </w:r>
      <w:r w:rsidRPr="002573CC">
        <w:rPr>
          <w:rFonts w:ascii="Book Antiqua" w:eastAsia="Times New Roman" w:hAnsi="Book Antiqua" w:cs="Times New Roman"/>
          <w:sz w:val="24"/>
          <w:szCs w:val="20"/>
          <w:lang w:val="es-ES_tradnl"/>
        </w:rPr>
        <w:t xml:space="preserve"> de </w:t>
      </w:r>
      <w:r>
        <w:rPr>
          <w:rFonts w:ascii="Book Antiqua" w:eastAsia="Times New Roman" w:hAnsi="Book Antiqua" w:cs="Times New Roman"/>
          <w:sz w:val="24"/>
          <w:szCs w:val="20"/>
          <w:lang w:val="es-ES_tradnl"/>
        </w:rPr>
        <w:t>esta pieza legislativa, sin enmiendas.</w:t>
      </w:r>
    </w:p>
    <w:p w14:paraId="654E2658" w14:textId="77777777" w:rsidR="006617C6" w:rsidRDefault="006617C6" w:rsidP="006617C6">
      <w:pPr>
        <w:spacing w:line="276" w:lineRule="auto"/>
        <w:jc w:val="center"/>
        <w:outlineLvl w:val="0"/>
        <w:rPr>
          <w:rFonts w:ascii="Book Antiqua" w:hAnsi="Book Antiqua"/>
          <w:b/>
          <w:caps/>
          <w:szCs w:val="24"/>
          <w:lang w:val="es-ES_tradnl"/>
        </w:rPr>
      </w:pPr>
    </w:p>
    <w:p w14:paraId="68948408" w14:textId="53777006" w:rsidR="006617C6" w:rsidRPr="00470D75" w:rsidRDefault="006617C6" w:rsidP="006617C6">
      <w:pPr>
        <w:spacing w:line="276" w:lineRule="auto"/>
        <w:jc w:val="center"/>
        <w:outlineLvl w:val="0"/>
        <w:rPr>
          <w:rFonts w:ascii="Book Antiqua" w:hAnsi="Book Antiqua"/>
          <w:b/>
          <w:caps/>
          <w:sz w:val="24"/>
          <w:szCs w:val="24"/>
          <w:lang w:val="es-ES"/>
        </w:rPr>
      </w:pPr>
      <w:r w:rsidRPr="00470D75">
        <w:rPr>
          <w:rFonts w:ascii="Book Antiqua" w:hAnsi="Book Antiqua"/>
          <w:b/>
          <w:caps/>
          <w:sz w:val="24"/>
          <w:szCs w:val="24"/>
          <w:lang w:val="es-ES"/>
        </w:rPr>
        <w:t>ALCANCE DE LA MEDIDA</w:t>
      </w:r>
    </w:p>
    <w:p w14:paraId="249A13B5" w14:textId="77777777" w:rsidR="006617C6" w:rsidRDefault="006617C6" w:rsidP="006617C6">
      <w:pPr>
        <w:suppressLineNumbers/>
        <w:ind w:left="360" w:hanging="360"/>
        <w:jc w:val="both"/>
        <w:rPr>
          <w:rFonts w:ascii="Book Antiqua" w:hAnsi="Book Antiqua"/>
          <w:szCs w:val="24"/>
        </w:rPr>
      </w:pPr>
      <w:bookmarkStart w:id="1" w:name="_Hlk149927717"/>
      <w:r w:rsidRPr="00281864">
        <w:rPr>
          <w:rFonts w:ascii="Book Antiqua" w:hAnsi="Book Antiqua"/>
          <w:sz w:val="24"/>
          <w:szCs w:val="24"/>
        </w:rPr>
        <w:t xml:space="preserve">Para añadir un nuevo </w:t>
      </w:r>
      <w:proofErr w:type="spellStart"/>
      <w:r w:rsidRPr="00281864">
        <w:rPr>
          <w:rFonts w:ascii="Book Antiqua" w:hAnsi="Book Antiqua"/>
          <w:sz w:val="24"/>
          <w:szCs w:val="24"/>
        </w:rPr>
        <w:t>sub-inciso</w:t>
      </w:r>
      <w:proofErr w:type="spellEnd"/>
      <w:r w:rsidRPr="00281864">
        <w:rPr>
          <w:rFonts w:ascii="Book Antiqua" w:hAnsi="Book Antiqua"/>
          <w:sz w:val="24"/>
          <w:szCs w:val="24"/>
        </w:rPr>
        <w:t xml:space="preserve"> (r) al inciso 4 del Artículo 1-B, y enmendar el inciso (b) del Artículo 3 de la Ley Núm. </w:t>
      </w:r>
      <w:bookmarkStart w:id="2" w:name="_Hlk185423466"/>
      <w:r w:rsidRPr="00281864">
        <w:rPr>
          <w:rFonts w:ascii="Book Antiqua" w:hAnsi="Book Antiqua"/>
          <w:sz w:val="24"/>
          <w:szCs w:val="24"/>
        </w:rPr>
        <w:t>45 de 18 de abril de 1935</w:t>
      </w:r>
      <w:bookmarkEnd w:id="2"/>
      <w:r w:rsidRPr="00281864">
        <w:rPr>
          <w:rFonts w:ascii="Book Antiqua" w:hAnsi="Book Antiqua"/>
          <w:sz w:val="24"/>
          <w:szCs w:val="24"/>
        </w:rPr>
        <w:t>, según enmendada, conocida como “Ley del Sistema de Compensaciones por Accidentes del Trabajo”; a los fines de aumentar los beneficios de compensación por incapacidad transitoria (dietas) y autorizar al administrador para realizar ajustes por costo de vida para todos los pagos por incapacidad que permite la ley; y para otros fines relacionados.</w:t>
      </w:r>
      <w:bookmarkEnd w:id="1"/>
      <w:r w:rsidRPr="00281864">
        <w:rPr>
          <w:rFonts w:ascii="Book Antiqua" w:hAnsi="Book Antiqua"/>
          <w:sz w:val="24"/>
          <w:szCs w:val="24"/>
        </w:rPr>
        <w:t xml:space="preserve"> </w:t>
      </w:r>
    </w:p>
    <w:p w14:paraId="45F2C758" w14:textId="77777777" w:rsidR="006617C6" w:rsidRPr="00281864" w:rsidRDefault="006617C6" w:rsidP="006617C6">
      <w:pPr>
        <w:suppressLineNumbers/>
        <w:spacing w:after="0" w:line="240" w:lineRule="auto"/>
        <w:ind w:left="360" w:hanging="360"/>
        <w:jc w:val="both"/>
        <w:rPr>
          <w:rFonts w:ascii="Book Antiqua" w:hAnsi="Book Antiqua"/>
          <w:sz w:val="24"/>
          <w:szCs w:val="24"/>
        </w:rPr>
      </w:pPr>
    </w:p>
    <w:p w14:paraId="700DB710" w14:textId="28116621" w:rsidR="006617C6" w:rsidRDefault="006617C6" w:rsidP="006617C6">
      <w:pPr>
        <w:spacing w:line="276" w:lineRule="auto"/>
        <w:jc w:val="center"/>
        <w:rPr>
          <w:rFonts w:ascii="Book Antiqua" w:hAnsi="Book Antiqua"/>
          <w:b/>
          <w:sz w:val="24"/>
          <w:szCs w:val="24"/>
          <w:lang w:val="es-ES"/>
        </w:rPr>
      </w:pPr>
      <w:r w:rsidRPr="00470D75">
        <w:rPr>
          <w:rFonts w:ascii="Book Antiqua" w:hAnsi="Book Antiqua"/>
          <w:b/>
          <w:sz w:val="24"/>
          <w:szCs w:val="24"/>
          <w:lang w:val="es-ES"/>
        </w:rPr>
        <w:t>INTRODUCCIÓN</w:t>
      </w:r>
    </w:p>
    <w:p w14:paraId="5DA163CF" w14:textId="27434AA2" w:rsidR="001D7C27" w:rsidRPr="001D7C27" w:rsidRDefault="001D7C27" w:rsidP="001D7C27">
      <w:pPr>
        <w:spacing w:line="360" w:lineRule="auto"/>
        <w:ind w:firstLine="708"/>
        <w:jc w:val="both"/>
        <w:rPr>
          <w:rFonts w:ascii="Book Antiqua" w:hAnsi="Book Antiqua"/>
          <w:bCs/>
          <w:sz w:val="24"/>
          <w:szCs w:val="24"/>
        </w:rPr>
      </w:pPr>
      <w:r w:rsidRPr="00470D75">
        <w:rPr>
          <w:rFonts w:ascii="Book Antiqua" w:hAnsi="Book Antiqua"/>
          <w:bCs/>
          <w:sz w:val="24"/>
          <w:szCs w:val="24"/>
        </w:rPr>
        <w:t>El Proyecto del Senado 74 se presenta como una respuesta a las necesidades de actualización y mejora del Sistema de Compensaciones por Accidentes del Trabajo en Puerto Rico. Este sistema, que tiene como objetivo proteger a los trabajadores que sufren accidentes laborales o enfermedades ocupacionales, ofrece compensaciones económicas para garantizar su sustento durante el tiempo de incapacidad. Sin embargo, los beneficios establecidos por la Ley Núm. 45</w:t>
      </w:r>
      <w:r w:rsidR="00E513BB">
        <w:rPr>
          <w:rFonts w:ascii="Book Antiqua" w:hAnsi="Book Antiqua"/>
          <w:bCs/>
          <w:sz w:val="24"/>
          <w:szCs w:val="24"/>
        </w:rPr>
        <w:t xml:space="preserve"> </w:t>
      </w:r>
      <w:r w:rsidR="00E513BB" w:rsidRPr="00281864">
        <w:rPr>
          <w:rFonts w:ascii="Book Antiqua" w:hAnsi="Book Antiqua"/>
          <w:sz w:val="24"/>
          <w:szCs w:val="24"/>
        </w:rPr>
        <w:t xml:space="preserve">de 18 de abril de 1935, según enmendada, conocida como </w:t>
      </w:r>
      <w:r w:rsidR="00E513BB" w:rsidRPr="00281864">
        <w:rPr>
          <w:rFonts w:ascii="Book Antiqua" w:hAnsi="Book Antiqua"/>
          <w:sz w:val="24"/>
          <w:szCs w:val="24"/>
        </w:rPr>
        <w:lastRenderedPageBreak/>
        <w:t>“Ley del Sistema de Compensaciones por Accidentes del Trabajo”</w:t>
      </w:r>
      <w:r w:rsidR="00E513BB">
        <w:rPr>
          <w:rFonts w:ascii="Book Antiqua" w:hAnsi="Book Antiqua"/>
          <w:sz w:val="24"/>
          <w:szCs w:val="24"/>
        </w:rPr>
        <w:t>,</w:t>
      </w:r>
      <w:r w:rsidRPr="00470D75">
        <w:rPr>
          <w:rFonts w:ascii="Book Antiqua" w:hAnsi="Book Antiqua"/>
          <w:bCs/>
          <w:sz w:val="24"/>
          <w:szCs w:val="24"/>
        </w:rPr>
        <w:t xml:space="preserve"> han permanecido sin cambios desde 2004, a pesar de los diversos factores que han impactado el costo de vida, como la crisis económica mundial, la inflación, los desastres naturales y la pandemia del COVID-19.</w:t>
      </w:r>
    </w:p>
    <w:p w14:paraId="593F4F84" w14:textId="18CDB2CB" w:rsidR="006617C6" w:rsidRPr="00470D75" w:rsidRDefault="006617C6" w:rsidP="00470D75">
      <w:pPr>
        <w:spacing w:line="360" w:lineRule="auto"/>
        <w:ind w:firstLine="708"/>
        <w:jc w:val="both"/>
        <w:rPr>
          <w:rFonts w:ascii="Book Antiqua" w:hAnsi="Book Antiqua"/>
          <w:bCs/>
          <w:sz w:val="24"/>
          <w:szCs w:val="24"/>
        </w:rPr>
      </w:pPr>
      <w:r w:rsidRPr="00470D75">
        <w:rPr>
          <w:rFonts w:ascii="Book Antiqua" w:hAnsi="Book Antiqua"/>
          <w:bCs/>
          <w:sz w:val="24"/>
          <w:szCs w:val="24"/>
        </w:rPr>
        <w:t>El Sistema de Compensaciones por Accidentes del Trabajo en Puerto Rico es un componente esencial de la seguridad social, establecido bajo la Ley Núm. 45</w:t>
      </w:r>
      <w:r w:rsidR="00E513BB">
        <w:rPr>
          <w:rFonts w:ascii="Book Antiqua" w:hAnsi="Book Antiqua"/>
          <w:bCs/>
          <w:sz w:val="24"/>
          <w:szCs w:val="24"/>
        </w:rPr>
        <w:t>, antes citada,</w:t>
      </w:r>
      <w:r w:rsidRPr="00470D75">
        <w:rPr>
          <w:rFonts w:ascii="Book Antiqua" w:hAnsi="Book Antiqua"/>
          <w:bCs/>
          <w:sz w:val="24"/>
          <w:szCs w:val="24"/>
        </w:rPr>
        <w:t xml:space="preserve"> con el objetivo de proteger a los trabajadores ante los riesgos para su salud derivados de su actividad laboral. Este sistema ha jugado un papel crucial en la economía del país, promoviendo el bienestar de los trabajadores y contribuyendo a su desarrollo económico. No obstante, a pesar de los esfuerzos históricos por mejorar los beneficios de los trabajadores, desde 2004 no se han realizado ajustes significativos en las compensaciones. Ante </w:t>
      </w:r>
      <w:r w:rsidR="00EF299C">
        <w:rPr>
          <w:rFonts w:ascii="Book Antiqua" w:hAnsi="Book Antiqua"/>
          <w:bCs/>
          <w:sz w:val="24"/>
          <w:szCs w:val="24"/>
        </w:rPr>
        <w:t>la realidad actual</w:t>
      </w:r>
      <w:r w:rsidRPr="00470D75">
        <w:rPr>
          <w:rFonts w:ascii="Book Antiqua" w:hAnsi="Book Antiqua"/>
          <w:bCs/>
          <w:sz w:val="24"/>
          <w:szCs w:val="24"/>
        </w:rPr>
        <w:t xml:space="preserve">, </w:t>
      </w:r>
      <w:r w:rsidR="00EF299C">
        <w:rPr>
          <w:rFonts w:ascii="Book Antiqua" w:hAnsi="Book Antiqua"/>
          <w:bCs/>
          <w:sz w:val="24"/>
          <w:szCs w:val="24"/>
        </w:rPr>
        <w:t>esta medida</w:t>
      </w:r>
      <w:r w:rsidRPr="00470D75">
        <w:rPr>
          <w:rFonts w:ascii="Book Antiqua" w:hAnsi="Book Antiqua"/>
          <w:bCs/>
          <w:sz w:val="24"/>
          <w:szCs w:val="24"/>
        </w:rPr>
        <w:t xml:space="preserve"> promueve una reforma crucial que busca actualizar los beneficios por incapacidad transitoria, ajustándolos a las realidades económicas actuales y mejorando la calidad de vida de los trabajadores lesionados.</w:t>
      </w:r>
    </w:p>
    <w:p w14:paraId="4A7B7964" w14:textId="7D7B8D14" w:rsidR="006617C6" w:rsidRPr="00470D75" w:rsidRDefault="006617C6" w:rsidP="00470D75">
      <w:pPr>
        <w:spacing w:line="360" w:lineRule="auto"/>
        <w:ind w:firstLine="708"/>
        <w:jc w:val="both"/>
        <w:rPr>
          <w:rFonts w:ascii="Book Antiqua" w:hAnsi="Book Antiqua"/>
          <w:bCs/>
          <w:sz w:val="24"/>
          <w:szCs w:val="24"/>
        </w:rPr>
      </w:pPr>
      <w:r w:rsidRPr="00470D75">
        <w:rPr>
          <w:rFonts w:ascii="Book Antiqua" w:hAnsi="Book Antiqua"/>
          <w:bCs/>
          <w:sz w:val="24"/>
          <w:szCs w:val="24"/>
        </w:rPr>
        <w:t>El Proyecto del Senado 74 promueve un ajuste en los beneficios por incapacidad transitoria (dietas), proponiendo un aumento en las compensaciones y autorizando al administrador del sistema a realizar ajustes conforme al costo de vida actual. El objetivo principal es que los beneficios sean proporcionales a la situación económica del país, para que los trabajadores lesionados puedan acceder a una compensación económica más acorde con sus necesidades. Esta iniciativa busca garantizar que los trabajadores reciban un apoyo más justo y adecuado, protegiendo así su derecho constitucional a estar asegurados contra riesgos laborales, y mejorando su calidad de vida.</w:t>
      </w:r>
    </w:p>
    <w:p w14:paraId="7E7A9677" w14:textId="79CEBE7D" w:rsidR="006617C6" w:rsidRPr="00470D75" w:rsidRDefault="00470D75" w:rsidP="00470D75">
      <w:pPr>
        <w:pStyle w:val="NoSpacing"/>
        <w:spacing w:line="360" w:lineRule="auto"/>
        <w:ind w:left="2124" w:firstLine="708"/>
        <w:rPr>
          <w:rFonts w:ascii="Book Antiqua" w:hAnsi="Book Antiqua"/>
          <w:b/>
          <w:bCs/>
          <w:color w:val="000000"/>
          <w:sz w:val="24"/>
          <w:szCs w:val="24"/>
          <w:lang w:val="es-ES"/>
        </w:rPr>
      </w:pPr>
      <w:r>
        <w:rPr>
          <w:rFonts w:ascii="Book Antiqua" w:hAnsi="Book Antiqua"/>
          <w:b/>
          <w:bCs/>
          <w:color w:val="000000"/>
          <w:szCs w:val="24"/>
          <w:lang w:val="es-ES"/>
        </w:rPr>
        <w:t xml:space="preserve">    </w:t>
      </w:r>
      <w:r w:rsidR="006617C6" w:rsidRPr="00470D75">
        <w:rPr>
          <w:rFonts w:ascii="Book Antiqua" w:hAnsi="Book Antiqua"/>
          <w:b/>
          <w:bCs/>
          <w:color w:val="000000"/>
          <w:sz w:val="24"/>
          <w:szCs w:val="24"/>
          <w:lang w:val="es-ES"/>
        </w:rPr>
        <w:t>ANÁLISIS DE LA MEDIDA</w:t>
      </w:r>
    </w:p>
    <w:p w14:paraId="3EA3AC09" w14:textId="77777777" w:rsidR="006617C6" w:rsidRPr="00470D75" w:rsidRDefault="006617C6" w:rsidP="001D7C27">
      <w:pPr>
        <w:spacing w:before="100" w:beforeAutospacing="1" w:after="100" w:afterAutospacing="1" w:line="360" w:lineRule="auto"/>
        <w:ind w:firstLine="360"/>
        <w:jc w:val="both"/>
        <w:rPr>
          <w:rFonts w:ascii="Book Antiqua" w:eastAsia="Times New Roman" w:hAnsi="Book Antiqua"/>
          <w:sz w:val="24"/>
          <w:szCs w:val="24"/>
          <w:lang w:eastAsia="es-PR"/>
        </w:rPr>
      </w:pPr>
      <w:r w:rsidRPr="00470D75">
        <w:rPr>
          <w:rFonts w:ascii="Book Antiqua" w:eastAsia="Times New Roman" w:hAnsi="Book Antiqua"/>
          <w:sz w:val="24"/>
          <w:szCs w:val="24"/>
          <w:lang w:eastAsia="es-PR"/>
        </w:rPr>
        <w:t xml:space="preserve">La Corporación del Fondo del Seguro del Estado (CFSE) ha reconocido que los beneficios para los trabajadores lesionados no se han ajustado desde 2004. Para cumplir con los objetivos de la Asamblea Legislativa, la CFSE encargó un estudio actuarial que evaluó el impacto económico de los aumentos en las mensualidades de las incapacidades </w:t>
      </w:r>
      <w:r w:rsidRPr="00470D75">
        <w:rPr>
          <w:rFonts w:ascii="Book Antiqua" w:eastAsia="Times New Roman" w:hAnsi="Book Antiqua"/>
          <w:sz w:val="24"/>
          <w:szCs w:val="24"/>
          <w:lang w:eastAsia="es-PR"/>
        </w:rPr>
        <w:lastRenderedPageBreak/>
        <w:t>transitorias. El estudio indicó que, si se duplicaran los pagos, el costo sería de aproximadamente $11,022,347.48. En cuanto a la extensión de las semanas de beneficio de 312 a 364 semanas, esta medida no afectaría significativamente, ya que el promedio de semanas pagadas es de menos de 5 semanas.</w:t>
      </w:r>
    </w:p>
    <w:p w14:paraId="280BA2D2" w14:textId="77777777" w:rsidR="006617C6" w:rsidRPr="00470D75" w:rsidRDefault="006617C6" w:rsidP="00470D75">
      <w:pPr>
        <w:spacing w:before="100" w:beforeAutospacing="1" w:after="100" w:afterAutospacing="1" w:line="360" w:lineRule="auto"/>
        <w:ind w:firstLine="360"/>
        <w:jc w:val="both"/>
        <w:rPr>
          <w:rFonts w:ascii="Book Antiqua" w:eastAsia="Times New Roman" w:hAnsi="Book Antiqua"/>
          <w:sz w:val="24"/>
          <w:szCs w:val="24"/>
          <w:lang w:eastAsia="es-PR"/>
        </w:rPr>
      </w:pPr>
      <w:r w:rsidRPr="00470D75">
        <w:rPr>
          <w:rFonts w:ascii="Book Antiqua" w:eastAsia="Times New Roman" w:hAnsi="Book Antiqua"/>
          <w:sz w:val="24"/>
          <w:szCs w:val="24"/>
          <w:lang w:eastAsia="es-PR"/>
        </w:rPr>
        <w:t>La CFSE recomienda a la Asamblea Legislativa que, en lugar de ajustar los beneficios únicamente con base en el costo de vida, se otorguen las herramientas necesarias para revisar la estructura de los beneficios. A pesar de estos desafíos, los últimos siete estados financieros de la CFSE muestran una posición neta promedio de $75,944,970.86, lo que indica que, si esta tendencia continúa, la entidad estaría en una posición favorable para afrontar los aumentos sin necesidad de incrementar los costos de las tarifas.</w:t>
      </w:r>
    </w:p>
    <w:p w14:paraId="225C4E31" w14:textId="300A3B2C" w:rsidR="006617C6" w:rsidRPr="00470D75" w:rsidRDefault="006617C6" w:rsidP="00470D75">
      <w:pPr>
        <w:pStyle w:val="NoSpacing"/>
        <w:spacing w:line="360" w:lineRule="auto"/>
        <w:ind w:firstLine="360"/>
        <w:jc w:val="both"/>
        <w:rPr>
          <w:rFonts w:ascii="Book Antiqua" w:hAnsi="Book Antiqua"/>
          <w:sz w:val="24"/>
          <w:szCs w:val="24"/>
          <w:lang w:val="es-ES"/>
        </w:rPr>
      </w:pPr>
      <w:r w:rsidRPr="00470D75">
        <w:rPr>
          <w:rFonts w:ascii="Book Antiqua" w:hAnsi="Book Antiqua"/>
          <w:sz w:val="24"/>
          <w:szCs w:val="24"/>
          <w:lang w:val="es-ES"/>
        </w:rPr>
        <w:t>Por lo antes expuesto, la Corporación del Fondo del Seguro del Estado (CFSE)</w:t>
      </w:r>
      <w:r w:rsidRPr="00470D75">
        <w:rPr>
          <w:rFonts w:ascii="Book Antiqua" w:hAnsi="Book Antiqua"/>
          <w:b/>
          <w:bCs/>
          <w:sz w:val="24"/>
          <w:szCs w:val="24"/>
          <w:lang w:val="es-ES"/>
        </w:rPr>
        <w:t>, endosó la aprobación</w:t>
      </w:r>
      <w:r w:rsidRPr="00470D75">
        <w:rPr>
          <w:rFonts w:ascii="Book Antiqua" w:hAnsi="Book Antiqua"/>
          <w:sz w:val="24"/>
          <w:szCs w:val="24"/>
          <w:lang w:val="es-ES"/>
        </w:rPr>
        <w:t xml:space="preserve"> de esta pieza legislativa</w:t>
      </w:r>
      <w:r w:rsidR="00470D75" w:rsidRPr="00470D75">
        <w:rPr>
          <w:rFonts w:ascii="Book Antiqua" w:hAnsi="Book Antiqua"/>
          <w:sz w:val="24"/>
          <w:szCs w:val="24"/>
          <w:lang w:val="es-ES"/>
        </w:rPr>
        <w:t>.</w:t>
      </w:r>
    </w:p>
    <w:p w14:paraId="4A307761" w14:textId="77777777" w:rsidR="006617C6" w:rsidRDefault="006617C6" w:rsidP="00470D75">
      <w:pPr>
        <w:pStyle w:val="ColorfulList-Accent11"/>
        <w:spacing w:line="360" w:lineRule="auto"/>
        <w:ind w:left="0"/>
        <w:jc w:val="center"/>
        <w:rPr>
          <w:rFonts w:ascii="Book Antiqua" w:hAnsi="Book Antiqua"/>
          <w:b/>
          <w:szCs w:val="24"/>
          <w:lang w:val="es-ES"/>
        </w:rPr>
      </w:pPr>
    </w:p>
    <w:p w14:paraId="4060AC50" w14:textId="77777777" w:rsidR="006617C6" w:rsidRPr="00230262" w:rsidRDefault="006617C6" w:rsidP="00470D75">
      <w:pPr>
        <w:pStyle w:val="ColorfulList-Accent11"/>
        <w:spacing w:line="360" w:lineRule="auto"/>
        <w:ind w:left="0"/>
        <w:jc w:val="center"/>
        <w:rPr>
          <w:rFonts w:ascii="Book Antiqua" w:hAnsi="Book Antiqua"/>
          <w:b/>
          <w:szCs w:val="24"/>
          <w:lang w:val="es-ES"/>
        </w:rPr>
      </w:pPr>
      <w:r w:rsidRPr="00230262">
        <w:rPr>
          <w:rFonts w:ascii="Book Antiqua" w:hAnsi="Book Antiqua"/>
          <w:b/>
          <w:szCs w:val="24"/>
          <w:lang w:val="es-ES"/>
        </w:rPr>
        <w:t>CONCLUSIÓN</w:t>
      </w:r>
    </w:p>
    <w:p w14:paraId="57BF5E5D" w14:textId="7116C5D2" w:rsidR="006617C6" w:rsidRPr="00470D75" w:rsidRDefault="006617C6" w:rsidP="001D7C27">
      <w:pPr>
        <w:spacing w:before="100" w:beforeAutospacing="1" w:after="100" w:afterAutospacing="1" w:line="360" w:lineRule="auto"/>
        <w:ind w:firstLine="708"/>
        <w:jc w:val="both"/>
        <w:rPr>
          <w:rFonts w:ascii="Book Antiqua" w:eastAsia="Times New Roman" w:hAnsi="Book Antiqua"/>
          <w:sz w:val="24"/>
          <w:szCs w:val="24"/>
          <w:lang w:eastAsia="es-PR"/>
        </w:rPr>
      </w:pPr>
      <w:r w:rsidRPr="00470D75">
        <w:rPr>
          <w:rFonts w:ascii="Book Antiqua" w:eastAsia="Times New Roman" w:hAnsi="Book Antiqua"/>
          <w:sz w:val="24"/>
          <w:szCs w:val="24"/>
          <w:lang w:eastAsia="es-PR"/>
        </w:rPr>
        <w:t>La Comisión del Trabajo y Relaciones Laborales</w:t>
      </w:r>
      <w:r w:rsidR="001D7C27">
        <w:rPr>
          <w:rFonts w:ascii="Book Antiqua" w:eastAsia="Times New Roman" w:hAnsi="Book Antiqua"/>
          <w:sz w:val="24"/>
          <w:szCs w:val="24"/>
          <w:lang w:eastAsia="es-PR"/>
        </w:rPr>
        <w:t xml:space="preserve"> de la Cámara de Representantes, </w:t>
      </w:r>
      <w:r w:rsidRPr="00470D75">
        <w:rPr>
          <w:rFonts w:ascii="Book Antiqua" w:eastAsia="Times New Roman" w:hAnsi="Book Antiqua"/>
          <w:sz w:val="24"/>
          <w:szCs w:val="24"/>
          <w:lang w:eastAsia="es-PR"/>
        </w:rPr>
        <w:t xml:space="preserve">reconociendo la importancia del Proyecto del Senado 74, entiende que esta medida es no solo justa, sino también necesaria para abordar las realidades económicas actuales que enfrentan los trabajadores lesionados en Puerto Rico. </w:t>
      </w:r>
    </w:p>
    <w:p w14:paraId="3099CB9E" w14:textId="42AF7E3B" w:rsidR="005816BA" w:rsidRPr="005816BA" w:rsidRDefault="006617C6" w:rsidP="005816BA">
      <w:pPr>
        <w:spacing w:before="100" w:beforeAutospacing="1" w:after="100" w:afterAutospacing="1" w:line="360" w:lineRule="auto"/>
        <w:ind w:firstLine="708"/>
        <w:jc w:val="both"/>
        <w:rPr>
          <w:rFonts w:ascii="Book Antiqua" w:hAnsi="Book Antiqua"/>
          <w:sz w:val="24"/>
          <w:szCs w:val="24"/>
          <w:lang w:val="es-ES"/>
        </w:rPr>
      </w:pPr>
      <w:r w:rsidRPr="005816BA">
        <w:rPr>
          <w:rFonts w:ascii="Book Antiqua" w:eastAsia="Times New Roman" w:hAnsi="Book Antiqua"/>
          <w:sz w:val="24"/>
          <w:szCs w:val="24"/>
          <w:lang w:eastAsia="es-PR"/>
        </w:rPr>
        <w:t>El Proyecto del Senado 74</w:t>
      </w:r>
      <w:r w:rsidR="005816BA" w:rsidRPr="005816BA">
        <w:rPr>
          <w:rFonts w:ascii="Book Antiqua" w:eastAsia="Times New Roman" w:hAnsi="Book Antiqua"/>
          <w:sz w:val="24"/>
          <w:szCs w:val="24"/>
          <w:lang w:eastAsia="es-PR"/>
        </w:rPr>
        <w:t xml:space="preserve"> representa</w:t>
      </w:r>
      <w:r w:rsidRPr="005816BA">
        <w:rPr>
          <w:rFonts w:ascii="Book Antiqua" w:eastAsia="Times New Roman" w:hAnsi="Book Antiqua"/>
          <w:sz w:val="24"/>
          <w:szCs w:val="24"/>
          <w:lang w:eastAsia="es-PR"/>
        </w:rPr>
        <w:t xml:space="preserve"> </w:t>
      </w:r>
      <w:r w:rsidR="005816BA" w:rsidRPr="006725E0">
        <w:rPr>
          <w:rFonts w:ascii="Book Antiqua" w:hAnsi="Book Antiqua"/>
          <w:sz w:val="24"/>
          <w:szCs w:val="24"/>
          <w:lang w:val="es-ES"/>
        </w:rPr>
        <w:t xml:space="preserve">una iniciativa importante </w:t>
      </w:r>
      <w:r w:rsidRPr="005816BA">
        <w:rPr>
          <w:rFonts w:ascii="Book Antiqua" w:eastAsia="Times New Roman" w:hAnsi="Book Antiqua"/>
          <w:sz w:val="24"/>
          <w:szCs w:val="24"/>
          <w:lang w:eastAsia="es-PR"/>
        </w:rPr>
        <w:t xml:space="preserve">para actualizar los beneficios por incapacidad transitoria, ajustándolos a las condiciones económicas actuales y </w:t>
      </w:r>
      <w:r w:rsidR="005816BA" w:rsidRPr="006725E0">
        <w:rPr>
          <w:rFonts w:ascii="Book Antiqua" w:hAnsi="Book Antiqua"/>
          <w:sz w:val="24"/>
          <w:szCs w:val="24"/>
          <w:lang w:val="es-ES"/>
        </w:rPr>
        <w:t>mejorando el bienestar de los trabajadores que han sufrido lesiones</w:t>
      </w:r>
      <w:r w:rsidRPr="005816BA">
        <w:rPr>
          <w:rFonts w:ascii="Book Antiqua" w:eastAsia="Times New Roman" w:hAnsi="Book Antiqua"/>
          <w:sz w:val="24"/>
          <w:szCs w:val="24"/>
          <w:lang w:eastAsia="es-PR"/>
        </w:rPr>
        <w:t>. La Comisión considera que esta reforma es justa</w:t>
      </w:r>
      <w:r w:rsidR="005816BA" w:rsidRPr="005816BA">
        <w:rPr>
          <w:rFonts w:ascii="Book Antiqua" w:eastAsia="Times New Roman" w:hAnsi="Book Antiqua"/>
          <w:sz w:val="24"/>
          <w:szCs w:val="24"/>
          <w:lang w:eastAsia="es-PR"/>
        </w:rPr>
        <w:t xml:space="preserve"> ya que</w:t>
      </w:r>
      <w:r w:rsidRPr="005816BA">
        <w:rPr>
          <w:rFonts w:ascii="Book Antiqua" w:eastAsia="Times New Roman" w:hAnsi="Book Antiqua"/>
          <w:sz w:val="24"/>
          <w:szCs w:val="24"/>
          <w:lang w:eastAsia="es-PR"/>
        </w:rPr>
        <w:t xml:space="preserve"> busca garantizar que los beneficios </w:t>
      </w:r>
      <w:r w:rsidR="005816BA" w:rsidRPr="006725E0">
        <w:rPr>
          <w:rFonts w:ascii="Book Antiqua" w:hAnsi="Book Antiqua"/>
          <w:sz w:val="24"/>
          <w:szCs w:val="24"/>
          <w:lang w:val="es-ES"/>
        </w:rPr>
        <w:t xml:space="preserve">estén alineados con el costo de vida, permitiendo así que los trabajadores lesionados reciban una compensación económica apropiada para </w:t>
      </w:r>
      <w:r w:rsidR="005816BA" w:rsidRPr="005816BA">
        <w:rPr>
          <w:rFonts w:ascii="Book Antiqua" w:hAnsi="Book Antiqua"/>
          <w:sz w:val="24"/>
          <w:szCs w:val="24"/>
          <w:lang w:val="es-ES"/>
        </w:rPr>
        <w:t>sostenerse</w:t>
      </w:r>
      <w:r w:rsidR="005816BA" w:rsidRPr="006725E0">
        <w:rPr>
          <w:rFonts w:ascii="Book Antiqua" w:hAnsi="Book Antiqua"/>
          <w:sz w:val="24"/>
          <w:szCs w:val="24"/>
          <w:lang w:val="es-ES"/>
        </w:rPr>
        <w:t xml:space="preserve"> durante su incapacidad</w:t>
      </w:r>
      <w:r w:rsidR="005816BA" w:rsidRPr="005816BA">
        <w:rPr>
          <w:rFonts w:ascii="Book Antiqua" w:hAnsi="Book Antiqua"/>
          <w:sz w:val="24"/>
          <w:szCs w:val="24"/>
          <w:lang w:val="es-ES"/>
        </w:rPr>
        <w:t xml:space="preserve">. </w:t>
      </w:r>
    </w:p>
    <w:p w14:paraId="3F8BAD75" w14:textId="3A6A61DA" w:rsidR="005816BA" w:rsidRPr="005816BA" w:rsidRDefault="005816BA" w:rsidP="005816BA">
      <w:pPr>
        <w:spacing w:line="360" w:lineRule="auto"/>
        <w:ind w:firstLine="708"/>
        <w:jc w:val="both"/>
        <w:rPr>
          <w:rFonts w:ascii="Book Antiqua" w:hAnsi="Book Antiqua"/>
          <w:sz w:val="24"/>
          <w:szCs w:val="24"/>
          <w:lang w:val="es-ES"/>
        </w:rPr>
      </w:pPr>
      <w:r w:rsidRPr="006725E0">
        <w:rPr>
          <w:rFonts w:ascii="Book Antiqua" w:hAnsi="Book Antiqua"/>
          <w:sz w:val="24"/>
          <w:szCs w:val="24"/>
          <w:lang w:val="es-ES"/>
        </w:rPr>
        <w:lastRenderedPageBreak/>
        <w:t>La C</w:t>
      </w:r>
      <w:r>
        <w:rPr>
          <w:rFonts w:ascii="Book Antiqua" w:hAnsi="Book Antiqua"/>
          <w:sz w:val="24"/>
          <w:szCs w:val="24"/>
          <w:lang w:val="es-ES"/>
        </w:rPr>
        <w:t>FSE</w:t>
      </w:r>
      <w:r w:rsidRPr="005816BA">
        <w:rPr>
          <w:rFonts w:ascii="Book Antiqua" w:eastAsia="Times New Roman" w:hAnsi="Book Antiqua"/>
          <w:sz w:val="24"/>
          <w:szCs w:val="24"/>
          <w:lang w:eastAsia="es-PR"/>
        </w:rPr>
        <w:t xml:space="preserve"> señala que, </w:t>
      </w:r>
      <w:r>
        <w:rPr>
          <w:rFonts w:ascii="Book Antiqua" w:eastAsia="Times New Roman" w:hAnsi="Book Antiqua"/>
          <w:sz w:val="24"/>
          <w:szCs w:val="24"/>
          <w:lang w:eastAsia="es-PR"/>
        </w:rPr>
        <w:t>cuenta con</w:t>
      </w:r>
      <w:r w:rsidRPr="005816BA">
        <w:rPr>
          <w:rFonts w:ascii="Book Antiqua" w:eastAsia="Times New Roman" w:hAnsi="Book Antiqua"/>
          <w:sz w:val="24"/>
          <w:szCs w:val="24"/>
          <w:lang w:eastAsia="es-PR"/>
        </w:rPr>
        <w:t xml:space="preserve"> los recursos necesarios</w:t>
      </w:r>
      <w:r w:rsidRPr="005816BA">
        <w:rPr>
          <w:rFonts w:ascii="Book Antiqua" w:hAnsi="Book Antiqua"/>
          <w:sz w:val="24"/>
          <w:szCs w:val="24"/>
          <w:lang w:val="es-ES"/>
        </w:rPr>
        <w:t xml:space="preserve"> </w:t>
      </w:r>
      <w:r w:rsidRPr="006725E0">
        <w:rPr>
          <w:rFonts w:ascii="Book Antiqua" w:hAnsi="Book Antiqua"/>
          <w:sz w:val="24"/>
          <w:szCs w:val="24"/>
          <w:lang w:val="es-ES"/>
        </w:rPr>
        <w:t xml:space="preserve">para </w:t>
      </w:r>
      <w:r w:rsidRPr="005816BA">
        <w:rPr>
          <w:rFonts w:ascii="Book Antiqua" w:hAnsi="Book Antiqua"/>
          <w:sz w:val="24"/>
          <w:szCs w:val="24"/>
          <w:lang w:val="es-ES"/>
        </w:rPr>
        <w:t>afrontar</w:t>
      </w:r>
      <w:r w:rsidRPr="006725E0">
        <w:rPr>
          <w:rFonts w:ascii="Book Antiqua" w:hAnsi="Book Antiqua"/>
          <w:sz w:val="24"/>
          <w:szCs w:val="24"/>
          <w:lang w:val="es-ES"/>
        </w:rPr>
        <w:t xml:space="preserve"> el incremento en los beneficios sin que esto implique aumentar las tarifas. Por ello, esta medida responde adecuadamente a las necesidades de los trabajadores y fortalece el sistema de compensaciones, garantizando la protección y el bienestar de los empleados en Puerto Rico</w:t>
      </w:r>
      <w:r>
        <w:rPr>
          <w:rFonts w:ascii="Book Antiqua" w:hAnsi="Book Antiqua"/>
          <w:sz w:val="24"/>
          <w:szCs w:val="24"/>
          <w:lang w:val="es-ES"/>
        </w:rPr>
        <w:t>.</w:t>
      </w:r>
    </w:p>
    <w:p w14:paraId="345735A6" w14:textId="69D8433E" w:rsidR="00470D75" w:rsidRPr="00470D75" w:rsidRDefault="00470D75" w:rsidP="00470D75">
      <w:pPr>
        <w:spacing w:after="120" w:line="360" w:lineRule="auto"/>
        <w:ind w:firstLine="708"/>
        <w:jc w:val="both"/>
        <w:rPr>
          <w:rFonts w:ascii="Book Antiqua" w:hAnsi="Book Antiqua"/>
          <w:bCs/>
          <w:iCs/>
          <w:lang w:val="es-ES_tradnl" w:eastAsia="x-none"/>
        </w:rPr>
      </w:pPr>
      <w:r>
        <w:rPr>
          <w:rFonts w:ascii="Book Antiqua" w:hAnsi="Book Antiqua"/>
          <w:bCs/>
          <w:iCs/>
          <w:lang w:val="es-ES_tradnl" w:eastAsia="x-none"/>
        </w:rPr>
        <w:t>Por todo lo antes expuesto</w:t>
      </w:r>
      <w:r w:rsidRPr="002573CC">
        <w:rPr>
          <w:rFonts w:ascii="Book Antiqua" w:eastAsia="Times New Roman" w:hAnsi="Book Antiqua" w:cs="Times New Roman"/>
          <w:sz w:val="24"/>
          <w:szCs w:val="24"/>
        </w:rPr>
        <w:t xml:space="preserve">, la </w:t>
      </w:r>
      <w:r w:rsidRPr="002573CC">
        <w:rPr>
          <w:rFonts w:ascii="Book Antiqua" w:eastAsia="Times New Roman" w:hAnsi="Book Antiqua" w:cs="Times New Roman"/>
          <w:sz w:val="24"/>
          <w:szCs w:val="24"/>
          <w:lang w:val="es-ES_tradnl"/>
        </w:rPr>
        <w:t xml:space="preserve">Comisión </w:t>
      </w:r>
      <w:r>
        <w:rPr>
          <w:rFonts w:ascii="Book Antiqua" w:eastAsia="Times New Roman" w:hAnsi="Book Antiqua" w:cs="Times New Roman"/>
          <w:sz w:val="24"/>
          <w:szCs w:val="24"/>
        </w:rPr>
        <w:t xml:space="preserve">del Trabajo y Asuntos Laborales de la Cámara de Representantes de </w:t>
      </w:r>
      <w:r w:rsidRPr="002573CC">
        <w:rPr>
          <w:rFonts w:ascii="Book Antiqua" w:eastAsia="Times New Roman" w:hAnsi="Book Antiqua" w:cs="Times New Roman"/>
          <w:sz w:val="24"/>
          <w:szCs w:val="24"/>
          <w:lang w:val="es-ES_tradnl"/>
        </w:rPr>
        <w:t>Puerto Rico</w:t>
      </w:r>
      <w:r w:rsidRPr="002573CC">
        <w:rPr>
          <w:rFonts w:ascii="Book Antiqua" w:eastAsia="Times New Roman" w:hAnsi="Book Antiqua" w:cs="Times New Roman"/>
          <w:sz w:val="24"/>
          <w:szCs w:val="24"/>
        </w:rPr>
        <w:t xml:space="preserve">, luego del estudio y consideración correspondiente, tiene a bien someter a </w:t>
      </w:r>
      <w:r w:rsidRPr="00A77B02">
        <w:rPr>
          <w:rFonts w:ascii="Book Antiqua" w:eastAsia="Times New Roman" w:hAnsi="Book Antiqua" w:cs="Times New Roman"/>
          <w:sz w:val="24"/>
          <w:szCs w:val="24"/>
        </w:rPr>
        <w:t>este Alto</w:t>
      </w:r>
      <w:r w:rsidRPr="002573CC">
        <w:rPr>
          <w:rFonts w:ascii="Book Antiqua" w:eastAsia="Times New Roman" w:hAnsi="Book Antiqua" w:cs="Times New Roman"/>
          <w:sz w:val="24"/>
          <w:szCs w:val="24"/>
        </w:rPr>
        <w:t xml:space="preserve"> Cuerpo Legislativo su informe, </w:t>
      </w:r>
      <w:r w:rsidRPr="002573CC">
        <w:rPr>
          <w:rFonts w:ascii="Book Antiqua" w:eastAsia="Times New Roman" w:hAnsi="Book Antiqua" w:cs="Times New Roman"/>
          <w:b/>
          <w:sz w:val="24"/>
          <w:szCs w:val="24"/>
        </w:rPr>
        <w:t xml:space="preserve">recomendando la </w:t>
      </w:r>
      <w:r w:rsidRPr="00813E35">
        <w:rPr>
          <w:rFonts w:ascii="Book Antiqua" w:eastAsia="Times New Roman" w:hAnsi="Book Antiqua" w:cs="Times New Roman"/>
          <w:b/>
          <w:sz w:val="24"/>
          <w:szCs w:val="24"/>
        </w:rPr>
        <w:t>aprobación</w:t>
      </w:r>
      <w:r w:rsidRPr="002573CC">
        <w:rPr>
          <w:rFonts w:ascii="Book Antiqua" w:eastAsia="Times New Roman" w:hAnsi="Book Antiqua" w:cs="Times New Roman"/>
          <w:sz w:val="24"/>
          <w:szCs w:val="24"/>
        </w:rPr>
        <w:t xml:space="preserve"> del Proyecto </w:t>
      </w:r>
      <w:r w:rsidR="004351D2">
        <w:rPr>
          <w:rFonts w:ascii="Book Antiqua" w:eastAsia="Times New Roman" w:hAnsi="Book Antiqua" w:cs="Times New Roman"/>
          <w:sz w:val="24"/>
          <w:szCs w:val="24"/>
        </w:rPr>
        <w:t>del Senado</w:t>
      </w:r>
      <w:r>
        <w:rPr>
          <w:rFonts w:ascii="Book Antiqua" w:eastAsia="Times New Roman" w:hAnsi="Book Antiqua" w:cs="Times New Roman"/>
          <w:sz w:val="24"/>
          <w:szCs w:val="24"/>
        </w:rPr>
        <w:t xml:space="preserve"> </w:t>
      </w:r>
      <w:r w:rsidR="004351D2">
        <w:rPr>
          <w:rFonts w:ascii="Book Antiqua" w:eastAsia="Times New Roman" w:hAnsi="Book Antiqua" w:cs="Times New Roman"/>
          <w:sz w:val="24"/>
          <w:szCs w:val="24"/>
        </w:rPr>
        <w:t>74</w:t>
      </w:r>
      <w:r>
        <w:rPr>
          <w:rFonts w:ascii="Book Antiqua" w:eastAsia="Times New Roman" w:hAnsi="Book Antiqua" w:cs="Times New Roman"/>
          <w:sz w:val="24"/>
          <w:szCs w:val="24"/>
        </w:rPr>
        <w:t xml:space="preserve">, sin enmiendas. </w:t>
      </w:r>
    </w:p>
    <w:p w14:paraId="10B1F514" w14:textId="77777777" w:rsidR="00470D75" w:rsidRPr="00CE2F7D" w:rsidRDefault="00470D75" w:rsidP="00470D75">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CE2F7D">
        <w:rPr>
          <w:rFonts w:ascii="Book Antiqua" w:eastAsia="Times New Roman" w:hAnsi="Book Antiqua" w:cs="Times New Roman"/>
          <w:b/>
          <w:bCs/>
          <w:sz w:val="24"/>
          <w:szCs w:val="24"/>
          <w:lang w:val="es-ES_tradnl"/>
        </w:rPr>
        <w:t>Respetuosamente sometido,</w:t>
      </w:r>
    </w:p>
    <w:p w14:paraId="1613B697" w14:textId="77777777" w:rsidR="00470D75" w:rsidRDefault="00470D75" w:rsidP="00470D75">
      <w:pPr>
        <w:tabs>
          <w:tab w:val="left" w:pos="567"/>
        </w:tabs>
        <w:spacing w:after="0" w:line="240" w:lineRule="auto"/>
        <w:contextualSpacing/>
        <w:jc w:val="both"/>
        <w:rPr>
          <w:rFonts w:ascii="Book Antiqua" w:eastAsia="Times New Roman" w:hAnsi="Book Antiqua" w:cs="Times New Roman"/>
          <w:sz w:val="24"/>
          <w:szCs w:val="24"/>
          <w:lang w:val="es-ES_tradnl"/>
        </w:rPr>
      </w:pPr>
    </w:p>
    <w:p w14:paraId="0D508CC9" w14:textId="77777777" w:rsidR="00470D75" w:rsidRDefault="00470D75" w:rsidP="00470D75">
      <w:pPr>
        <w:tabs>
          <w:tab w:val="left" w:pos="567"/>
        </w:tabs>
        <w:spacing w:after="0" w:line="240" w:lineRule="auto"/>
        <w:contextualSpacing/>
        <w:jc w:val="both"/>
        <w:rPr>
          <w:rFonts w:ascii="Book Antiqua" w:eastAsia="Times New Roman" w:hAnsi="Book Antiqua" w:cs="Times New Roman"/>
          <w:sz w:val="24"/>
          <w:szCs w:val="24"/>
          <w:lang w:val="es-ES_tradnl"/>
        </w:rPr>
      </w:pPr>
    </w:p>
    <w:p w14:paraId="6635AAE6" w14:textId="77777777" w:rsidR="00470D75" w:rsidRDefault="00470D75" w:rsidP="00470D75">
      <w:pPr>
        <w:tabs>
          <w:tab w:val="left" w:pos="567"/>
        </w:tabs>
        <w:spacing w:after="0" w:line="240" w:lineRule="auto"/>
        <w:contextualSpacing/>
        <w:jc w:val="both"/>
        <w:rPr>
          <w:rFonts w:ascii="Book Antiqua" w:eastAsia="Times New Roman" w:hAnsi="Book Antiqua" w:cs="Times New Roman"/>
          <w:sz w:val="24"/>
          <w:szCs w:val="24"/>
          <w:lang w:val="es-ES_tradnl"/>
        </w:rPr>
      </w:pPr>
    </w:p>
    <w:p w14:paraId="33EA1604" w14:textId="77777777" w:rsidR="00470D75" w:rsidRPr="002573CC" w:rsidRDefault="00470D75" w:rsidP="00470D75">
      <w:pPr>
        <w:tabs>
          <w:tab w:val="left" w:pos="567"/>
        </w:tabs>
        <w:spacing w:after="0" w:line="240" w:lineRule="auto"/>
        <w:contextualSpacing/>
        <w:jc w:val="both"/>
        <w:rPr>
          <w:rFonts w:ascii="Book Antiqua" w:eastAsia="Times New Roman" w:hAnsi="Book Antiqua" w:cs="Times New Roman"/>
          <w:sz w:val="24"/>
          <w:szCs w:val="24"/>
          <w:lang w:val="es-ES_tradnl"/>
        </w:rPr>
      </w:pPr>
    </w:p>
    <w:p w14:paraId="365B76D6" w14:textId="77777777" w:rsidR="00470D75" w:rsidRPr="002573CC" w:rsidRDefault="00470D75" w:rsidP="00470D75">
      <w:pPr>
        <w:tabs>
          <w:tab w:val="left" w:pos="567"/>
        </w:tabs>
        <w:spacing w:after="0" w:line="240" w:lineRule="auto"/>
        <w:contextualSpacing/>
        <w:jc w:val="both"/>
        <w:rPr>
          <w:rFonts w:ascii="Book Antiqua" w:eastAsia="Times New Roman" w:hAnsi="Book Antiqua" w:cs="Times New Roman"/>
          <w:sz w:val="24"/>
          <w:szCs w:val="24"/>
          <w:lang w:val="es-ES_tradnl"/>
        </w:rPr>
      </w:pPr>
    </w:p>
    <w:p w14:paraId="6DEAD258" w14:textId="77777777" w:rsidR="00470D75" w:rsidRPr="00CE2F7D" w:rsidRDefault="00470D75" w:rsidP="00470D75">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CE2F7D">
        <w:rPr>
          <w:rFonts w:ascii="Book Antiqua" w:eastAsia="Times New Roman" w:hAnsi="Book Antiqua" w:cs="Times New Roman"/>
          <w:b/>
          <w:bCs/>
          <w:sz w:val="24"/>
          <w:szCs w:val="24"/>
          <w:lang w:val="es-ES_tradnl"/>
        </w:rPr>
        <w:t xml:space="preserve">HON. </w:t>
      </w:r>
      <w:r>
        <w:rPr>
          <w:rFonts w:ascii="Book Antiqua" w:eastAsia="Times New Roman" w:hAnsi="Book Antiqua" w:cs="Times New Roman"/>
          <w:b/>
          <w:bCs/>
          <w:sz w:val="24"/>
          <w:szCs w:val="24"/>
          <w:lang w:val="es-ES_tradnl"/>
        </w:rPr>
        <w:t>VIMARIE PEÑA DÁVILA</w:t>
      </w:r>
    </w:p>
    <w:p w14:paraId="64947BAB" w14:textId="77777777" w:rsidR="00470D75" w:rsidRPr="002573CC" w:rsidRDefault="00470D75" w:rsidP="00470D75">
      <w:pPr>
        <w:tabs>
          <w:tab w:val="left" w:pos="567"/>
        </w:tabs>
        <w:spacing w:after="0" w:line="240" w:lineRule="auto"/>
        <w:contextualSpacing/>
        <w:jc w:val="both"/>
        <w:rPr>
          <w:rFonts w:ascii="Book Antiqua" w:eastAsia="Times New Roman" w:hAnsi="Book Antiqua" w:cs="Times New Roman"/>
          <w:sz w:val="24"/>
          <w:szCs w:val="24"/>
          <w:lang w:val="es-ES_tradnl"/>
        </w:rPr>
      </w:pPr>
      <w:r w:rsidRPr="002573CC">
        <w:rPr>
          <w:rFonts w:ascii="Book Antiqua" w:eastAsia="Times New Roman" w:hAnsi="Book Antiqua" w:cs="Times New Roman"/>
          <w:sz w:val="24"/>
          <w:szCs w:val="24"/>
          <w:lang w:val="es-ES_tradnl"/>
        </w:rPr>
        <w:t>President</w:t>
      </w:r>
      <w:r>
        <w:rPr>
          <w:rFonts w:ascii="Book Antiqua" w:eastAsia="Times New Roman" w:hAnsi="Book Antiqua" w:cs="Times New Roman"/>
          <w:sz w:val="24"/>
          <w:szCs w:val="24"/>
          <w:lang w:val="es-ES_tradnl"/>
        </w:rPr>
        <w:t>a</w:t>
      </w:r>
    </w:p>
    <w:p w14:paraId="2F593925" w14:textId="77777777" w:rsidR="00470D75" w:rsidRDefault="00470D75" w:rsidP="00470D75">
      <w:pPr>
        <w:tabs>
          <w:tab w:val="left" w:pos="567"/>
        </w:tabs>
        <w:spacing w:after="0" w:line="240" w:lineRule="auto"/>
        <w:contextualSpacing/>
        <w:jc w:val="both"/>
      </w:pPr>
      <w:r w:rsidRPr="002573CC">
        <w:rPr>
          <w:rFonts w:ascii="Book Antiqua" w:eastAsia="Times New Roman" w:hAnsi="Book Antiqua" w:cs="Times New Roman"/>
          <w:sz w:val="24"/>
          <w:szCs w:val="24"/>
          <w:lang w:val="es-ES_tradnl"/>
        </w:rPr>
        <w:t xml:space="preserve">Comisión </w:t>
      </w:r>
      <w:r w:rsidRPr="002573CC">
        <w:rPr>
          <w:rFonts w:ascii="Book Antiqua" w:eastAsia="Times New Roman" w:hAnsi="Book Antiqua" w:cs="Times New Roman"/>
          <w:sz w:val="24"/>
          <w:szCs w:val="20"/>
          <w:lang w:val="es-ES_tradnl"/>
        </w:rPr>
        <w:t>de</w:t>
      </w:r>
      <w:r>
        <w:rPr>
          <w:rFonts w:ascii="Book Antiqua" w:eastAsia="Times New Roman" w:hAnsi="Book Antiqua" w:cs="Times New Roman"/>
          <w:sz w:val="24"/>
          <w:szCs w:val="20"/>
          <w:lang w:val="es-ES_tradnl"/>
        </w:rPr>
        <w:t>l Trabajo y Asuntos Laborales</w:t>
      </w:r>
    </w:p>
    <w:bookmarkEnd w:id="0"/>
    <w:p w14:paraId="204C81EA" w14:textId="77777777" w:rsidR="006725E0" w:rsidRDefault="006725E0" w:rsidP="006725E0">
      <w:pPr>
        <w:jc w:val="both"/>
      </w:pPr>
    </w:p>
    <w:p w14:paraId="2B38A8B1" w14:textId="77777777" w:rsidR="006725E0" w:rsidRDefault="006725E0" w:rsidP="006725E0">
      <w:pPr>
        <w:jc w:val="both"/>
      </w:pPr>
    </w:p>
    <w:p w14:paraId="697ABD66" w14:textId="77777777" w:rsidR="006725E0" w:rsidRPr="006725E0" w:rsidRDefault="006725E0" w:rsidP="006725E0">
      <w:pPr>
        <w:jc w:val="both"/>
        <w:rPr>
          <w:lang w:val="es-ES"/>
        </w:rPr>
      </w:pPr>
    </w:p>
    <w:sectPr w:rsidR="006725E0" w:rsidRPr="006725E0"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711F8" w14:textId="77777777" w:rsidR="00B73F26" w:rsidRDefault="00B73F26">
      <w:pPr>
        <w:spacing w:after="0" w:line="240" w:lineRule="auto"/>
      </w:pPr>
      <w:r>
        <w:separator/>
      </w:r>
    </w:p>
  </w:endnote>
  <w:endnote w:type="continuationSeparator" w:id="0">
    <w:p w14:paraId="04B70819" w14:textId="77777777" w:rsidR="00B73F26" w:rsidRDefault="00B73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77777777"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del Trabajo y Asuntos Laborales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85310" w14:textId="77777777" w:rsidR="00B73F26" w:rsidRDefault="00B73F26">
      <w:pPr>
        <w:spacing w:after="0" w:line="240" w:lineRule="auto"/>
      </w:pPr>
      <w:r>
        <w:separator/>
      </w:r>
    </w:p>
  </w:footnote>
  <w:footnote w:type="continuationSeparator" w:id="0">
    <w:p w14:paraId="3F0866CD" w14:textId="77777777" w:rsidR="00B73F26" w:rsidRDefault="00B73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62144269"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w:t>
    </w:r>
    <w:r w:rsidR="006617C6">
      <w:rPr>
        <w:rFonts w:ascii="Book Antiqua" w:hAnsi="Book Antiqua"/>
        <w:b/>
        <w:i/>
        <w:color w:val="7F7F7F" w:themeColor="text1" w:themeTint="80"/>
        <w:spacing w:val="60"/>
        <w:lang w:val="es-PR"/>
      </w:rPr>
      <w:t>el S.74</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508652">
    <w:abstractNumId w:val="2"/>
  </w:num>
  <w:num w:numId="2" w16cid:durableId="621694957">
    <w:abstractNumId w:val="1"/>
  </w:num>
  <w:num w:numId="3" w16cid:durableId="1176772648">
    <w:abstractNumId w:val="0"/>
  </w:num>
  <w:num w:numId="4" w16cid:durableId="906375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15F9B"/>
    <w:rsid w:val="000304B5"/>
    <w:rsid w:val="00032057"/>
    <w:rsid w:val="00033FC1"/>
    <w:rsid w:val="00050EA2"/>
    <w:rsid w:val="00061727"/>
    <w:rsid w:val="00070369"/>
    <w:rsid w:val="00077928"/>
    <w:rsid w:val="00087891"/>
    <w:rsid w:val="0009177F"/>
    <w:rsid w:val="000D2AC7"/>
    <w:rsid w:val="00104CFC"/>
    <w:rsid w:val="001053AD"/>
    <w:rsid w:val="0012509B"/>
    <w:rsid w:val="00125E9E"/>
    <w:rsid w:val="001270C2"/>
    <w:rsid w:val="00146D4D"/>
    <w:rsid w:val="00166898"/>
    <w:rsid w:val="0018253F"/>
    <w:rsid w:val="00186ECD"/>
    <w:rsid w:val="00193B05"/>
    <w:rsid w:val="00194554"/>
    <w:rsid w:val="001A16E7"/>
    <w:rsid w:val="001C545F"/>
    <w:rsid w:val="001D2F9B"/>
    <w:rsid w:val="001D4D02"/>
    <w:rsid w:val="001D7C27"/>
    <w:rsid w:val="001E470C"/>
    <w:rsid w:val="00214247"/>
    <w:rsid w:val="00215857"/>
    <w:rsid w:val="00224B34"/>
    <w:rsid w:val="002258E0"/>
    <w:rsid w:val="00244846"/>
    <w:rsid w:val="00252895"/>
    <w:rsid w:val="00252EE9"/>
    <w:rsid w:val="00256B0A"/>
    <w:rsid w:val="002573CC"/>
    <w:rsid w:val="00270095"/>
    <w:rsid w:val="0027425D"/>
    <w:rsid w:val="0027486C"/>
    <w:rsid w:val="00274930"/>
    <w:rsid w:val="0029577C"/>
    <w:rsid w:val="002A78E9"/>
    <w:rsid w:val="002B6F5D"/>
    <w:rsid w:val="002C42AD"/>
    <w:rsid w:val="002C73CA"/>
    <w:rsid w:val="002D6515"/>
    <w:rsid w:val="002D7B2D"/>
    <w:rsid w:val="00303634"/>
    <w:rsid w:val="0032169C"/>
    <w:rsid w:val="00383B9C"/>
    <w:rsid w:val="00396185"/>
    <w:rsid w:val="003A38EE"/>
    <w:rsid w:val="003C7251"/>
    <w:rsid w:val="003E12EB"/>
    <w:rsid w:val="003F5D18"/>
    <w:rsid w:val="00412348"/>
    <w:rsid w:val="00416DD1"/>
    <w:rsid w:val="00416F11"/>
    <w:rsid w:val="00421D9C"/>
    <w:rsid w:val="00422688"/>
    <w:rsid w:val="0042540A"/>
    <w:rsid w:val="00426402"/>
    <w:rsid w:val="004351D2"/>
    <w:rsid w:val="00447CEA"/>
    <w:rsid w:val="00453020"/>
    <w:rsid w:val="004620B0"/>
    <w:rsid w:val="00470B60"/>
    <w:rsid w:val="00470D75"/>
    <w:rsid w:val="00472407"/>
    <w:rsid w:val="00477BA6"/>
    <w:rsid w:val="004C4B22"/>
    <w:rsid w:val="004F4F61"/>
    <w:rsid w:val="005021E4"/>
    <w:rsid w:val="00502B33"/>
    <w:rsid w:val="00503E24"/>
    <w:rsid w:val="005213F5"/>
    <w:rsid w:val="00533BD0"/>
    <w:rsid w:val="00547C7B"/>
    <w:rsid w:val="0055155D"/>
    <w:rsid w:val="005536DA"/>
    <w:rsid w:val="00560A4F"/>
    <w:rsid w:val="005816BA"/>
    <w:rsid w:val="00584073"/>
    <w:rsid w:val="005E667D"/>
    <w:rsid w:val="00612BDA"/>
    <w:rsid w:val="00616A32"/>
    <w:rsid w:val="00620F0B"/>
    <w:rsid w:val="00621DE3"/>
    <w:rsid w:val="00622332"/>
    <w:rsid w:val="006271A3"/>
    <w:rsid w:val="0063442C"/>
    <w:rsid w:val="006471A0"/>
    <w:rsid w:val="00651B48"/>
    <w:rsid w:val="006560AF"/>
    <w:rsid w:val="006574EC"/>
    <w:rsid w:val="006617C6"/>
    <w:rsid w:val="0067067D"/>
    <w:rsid w:val="006725E0"/>
    <w:rsid w:val="00680204"/>
    <w:rsid w:val="00686ED6"/>
    <w:rsid w:val="00690604"/>
    <w:rsid w:val="00695B6A"/>
    <w:rsid w:val="006B2162"/>
    <w:rsid w:val="006D03E5"/>
    <w:rsid w:val="006D4A95"/>
    <w:rsid w:val="006E199B"/>
    <w:rsid w:val="006F0BC0"/>
    <w:rsid w:val="00702995"/>
    <w:rsid w:val="0071579E"/>
    <w:rsid w:val="00771F41"/>
    <w:rsid w:val="00774716"/>
    <w:rsid w:val="00774AC3"/>
    <w:rsid w:val="007B0E5F"/>
    <w:rsid w:val="007B2CFB"/>
    <w:rsid w:val="007B6081"/>
    <w:rsid w:val="007C4053"/>
    <w:rsid w:val="007F6B77"/>
    <w:rsid w:val="007F6B80"/>
    <w:rsid w:val="00800B5C"/>
    <w:rsid w:val="00804C1C"/>
    <w:rsid w:val="00813E35"/>
    <w:rsid w:val="00823135"/>
    <w:rsid w:val="00825C96"/>
    <w:rsid w:val="0084732F"/>
    <w:rsid w:val="00850D8F"/>
    <w:rsid w:val="00857C4D"/>
    <w:rsid w:val="008647BE"/>
    <w:rsid w:val="00865118"/>
    <w:rsid w:val="008A7491"/>
    <w:rsid w:val="008C6BBE"/>
    <w:rsid w:val="008D728C"/>
    <w:rsid w:val="008E3937"/>
    <w:rsid w:val="008F1D17"/>
    <w:rsid w:val="009259CF"/>
    <w:rsid w:val="009276C5"/>
    <w:rsid w:val="0093150A"/>
    <w:rsid w:val="009340BE"/>
    <w:rsid w:val="00960FEB"/>
    <w:rsid w:val="00963E72"/>
    <w:rsid w:val="009802D0"/>
    <w:rsid w:val="009866E0"/>
    <w:rsid w:val="009A25C7"/>
    <w:rsid w:val="009A5F8F"/>
    <w:rsid w:val="009A7177"/>
    <w:rsid w:val="009C0504"/>
    <w:rsid w:val="009C1DD7"/>
    <w:rsid w:val="009C4A57"/>
    <w:rsid w:val="009D1631"/>
    <w:rsid w:val="009D6158"/>
    <w:rsid w:val="009D6C16"/>
    <w:rsid w:val="009D708D"/>
    <w:rsid w:val="00A075CE"/>
    <w:rsid w:val="00A1077A"/>
    <w:rsid w:val="00A272AE"/>
    <w:rsid w:val="00A30719"/>
    <w:rsid w:val="00A30F25"/>
    <w:rsid w:val="00A351A4"/>
    <w:rsid w:val="00A35ADF"/>
    <w:rsid w:val="00A442AC"/>
    <w:rsid w:val="00A52B84"/>
    <w:rsid w:val="00A77B02"/>
    <w:rsid w:val="00AA060B"/>
    <w:rsid w:val="00AB2704"/>
    <w:rsid w:val="00AC5728"/>
    <w:rsid w:val="00AD37CB"/>
    <w:rsid w:val="00AE6E12"/>
    <w:rsid w:val="00AE716B"/>
    <w:rsid w:val="00AF5CBC"/>
    <w:rsid w:val="00B03008"/>
    <w:rsid w:val="00B03370"/>
    <w:rsid w:val="00B541DE"/>
    <w:rsid w:val="00B54C95"/>
    <w:rsid w:val="00B7102C"/>
    <w:rsid w:val="00B73F26"/>
    <w:rsid w:val="00B74176"/>
    <w:rsid w:val="00B87D26"/>
    <w:rsid w:val="00B951BC"/>
    <w:rsid w:val="00BB3F58"/>
    <w:rsid w:val="00BB6F81"/>
    <w:rsid w:val="00BD39A5"/>
    <w:rsid w:val="00BE5B3F"/>
    <w:rsid w:val="00BF2010"/>
    <w:rsid w:val="00C10EC0"/>
    <w:rsid w:val="00C72EF4"/>
    <w:rsid w:val="00C83FDF"/>
    <w:rsid w:val="00C9033D"/>
    <w:rsid w:val="00CC1801"/>
    <w:rsid w:val="00CD337C"/>
    <w:rsid w:val="00CE293D"/>
    <w:rsid w:val="00CE2F7D"/>
    <w:rsid w:val="00D07F57"/>
    <w:rsid w:val="00D12404"/>
    <w:rsid w:val="00D20C28"/>
    <w:rsid w:val="00D27220"/>
    <w:rsid w:val="00D3213B"/>
    <w:rsid w:val="00D32D5A"/>
    <w:rsid w:val="00D526C6"/>
    <w:rsid w:val="00D537E1"/>
    <w:rsid w:val="00D80F47"/>
    <w:rsid w:val="00D92151"/>
    <w:rsid w:val="00D94489"/>
    <w:rsid w:val="00D96B2E"/>
    <w:rsid w:val="00D97AF4"/>
    <w:rsid w:val="00DC6EF6"/>
    <w:rsid w:val="00E0723E"/>
    <w:rsid w:val="00E07576"/>
    <w:rsid w:val="00E2493E"/>
    <w:rsid w:val="00E276E6"/>
    <w:rsid w:val="00E312A7"/>
    <w:rsid w:val="00E43951"/>
    <w:rsid w:val="00E43C17"/>
    <w:rsid w:val="00E457D9"/>
    <w:rsid w:val="00E513BB"/>
    <w:rsid w:val="00E55005"/>
    <w:rsid w:val="00E57562"/>
    <w:rsid w:val="00E6365A"/>
    <w:rsid w:val="00E65C8F"/>
    <w:rsid w:val="00E75AF4"/>
    <w:rsid w:val="00EC659A"/>
    <w:rsid w:val="00EF299C"/>
    <w:rsid w:val="00EF5320"/>
    <w:rsid w:val="00F1152E"/>
    <w:rsid w:val="00F530A0"/>
    <w:rsid w:val="00F61DBC"/>
    <w:rsid w:val="00F65F7B"/>
    <w:rsid w:val="00FA028D"/>
    <w:rsid w:val="00FA06F2"/>
    <w:rsid w:val="00FB4D06"/>
    <w:rsid w:val="00FB5682"/>
    <w:rsid w:val="00FE4C21"/>
    <w:rsid w:val="00FE6DD7"/>
    <w:rsid w:val="00FE785D"/>
    <w:rsid w:val="00FF231A"/>
    <w:rsid w:val="00FF2A00"/>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 w:type="paragraph" w:customStyle="1" w:styleId="ColorfulList-Accent11">
    <w:name w:val="Colorful List - Accent 11"/>
    <w:basedOn w:val="Normal"/>
    <w:uiPriority w:val="34"/>
    <w:qFormat/>
    <w:rsid w:val="006617C6"/>
    <w:pPr>
      <w:spacing w:after="0" w:line="240" w:lineRule="auto"/>
      <w:ind w:left="720"/>
      <w:contextualSpacing/>
    </w:pPr>
    <w:rPr>
      <w:rFonts w:ascii="Times New Roman" w:eastAsia="Batang"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1051152604">
      <w:bodyDiv w:val="1"/>
      <w:marLeft w:val="0"/>
      <w:marRight w:val="0"/>
      <w:marTop w:val="0"/>
      <w:marBottom w:val="0"/>
      <w:divBdr>
        <w:top w:val="none" w:sz="0" w:space="0" w:color="auto"/>
        <w:left w:val="none" w:sz="0" w:space="0" w:color="auto"/>
        <w:bottom w:val="none" w:sz="0" w:space="0" w:color="auto"/>
        <w:right w:val="none" w:sz="0" w:space="0" w:color="auto"/>
      </w:divBdr>
    </w:div>
    <w:div w:id="1167288895">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3.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5.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6.xml><?xml version="1.0" encoding="utf-8"?>
<ds:datastoreItem xmlns:ds="http://schemas.openxmlformats.org/officeDocument/2006/customXml" ds:itemID="{2B81C099-B8F1-4DE7-927C-574433167D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920</Words>
  <Characters>5247</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Kristal Rivera Sanchez</cp:lastModifiedBy>
  <cp:revision>2</cp:revision>
  <cp:lastPrinted>2025-04-23T15:17:00Z</cp:lastPrinted>
  <dcterms:created xsi:type="dcterms:W3CDTF">2025-04-25T19:12:00Z</dcterms:created>
  <dcterms:modified xsi:type="dcterms:W3CDTF">2025-04-25T19:12:00Z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