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70D5D" w14:textId="77777777" w:rsidR="00CF577B" w:rsidRDefault="00CF577B" w:rsidP="002A0EA5">
      <w:pPr>
        <w:tabs>
          <w:tab w:val="center" w:pos="4680"/>
          <w:tab w:val="left" w:pos="7920"/>
        </w:tabs>
        <w:jc w:val="center"/>
        <w:rPr>
          <w:rFonts w:ascii="Book Antiqua" w:hAnsi="Book Antiqua"/>
          <w:sz w:val="36"/>
          <w:szCs w:val="36"/>
          <w:lang w:val="es-ES_tradnl"/>
        </w:rPr>
      </w:pPr>
      <w:bookmarkStart w:id="0" w:name="_Hlk183042642"/>
      <w:bookmarkStart w:id="1" w:name="_Hlk183037667"/>
      <w:bookmarkStart w:id="2" w:name="_Hlk183038391"/>
      <w:r>
        <w:rPr>
          <w:rFonts w:ascii="Book Antiqua" w:hAnsi="Book Antiqua"/>
          <w:sz w:val="36"/>
          <w:szCs w:val="36"/>
          <w:lang w:val="es-ES_tradnl"/>
        </w:rPr>
        <w:t>(ENTIRILLADO ELECTRÓNICO)</w:t>
      </w:r>
    </w:p>
    <w:p w14:paraId="360859DD" w14:textId="77777777" w:rsidR="002A0EA5" w:rsidRPr="00B35ECA" w:rsidRDefault="002A0EA5" w:rsidP="002A0EA5">
      <w:pPr>
        <w:tabs>
          <w:tab w:val="center" w:pos="4680"/>
          <w:tab w:val="left" w:pos="7920"/>
        </w:tabs>
        <w:jc w:val="center"/>
        <w:rPr>
          <w:rFonts w:ascii="Book Antiqua" w:hAnsi="Book Antiqua"/>
          <w:sz w:val="36"/>
          <w:szCs w:val="36"/>
          <w:lang w:val="es-ES_tradnl"/>
        </w:rPr>
      </w:pPr>
      <w:r w:rsidRPr="00B35ECA">
        <w:rPr>
          <w:rFonts w:ascii="Book Antiqua" w:hAnsi="Book Antiqua"/>
          <w:sz w:val="36"/>
          <w:szCs w:val="36"/>
          <w:lang w:val="es-ES_tradnl"/>
        </w:rPr>
        <w:t>GOBIERNO DE PUERTO RICO</w:t>
      </w:r>
    </w:p>
    <w:p w14:paraId="796C4C26" w14:textId="77777777" w:rsidR="002A0EA5" w:rsidRPr="00B35ECA" w:rsidRDefault="002A0EA5" w:rsidP="002A0EA5">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2A0EA5" w:rsidRPr="00B35ECA" w14:paraId="6439DBEF" w14:textId="77777777" w:rsidTr="00A02C15">
        <w:trPr>
          <w:trHeight w:val="900"/>
        </w:trPr>
        <w:tc>
          <w:tcPr>
            <w:tcW w:w="3170" w:type="dxa"/>
            <w:shd w:val="clear" w:color="auto" w:fill="auto"/>
          </w:tcPr>
          <w:p w14:paraId="4AB237FA" w14:textId="77777777" w:rsidR="002A0EA5" w:rsidRPr="00B35ECA" w:rsidRDefault="002A0EA5" w:rsidP="00A02C15">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321A5A7F" w14:textId="77777777" w:rsidR="002A0EA5" w:rsidRPr="00B35ECA" w:rsidRDefault="002A0EA5" w:rsidP="00A02C15">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shd w:val="clear" w:color="auto" w:fill="auto"/>
          </w:tcPr>
          <w:p w14:paraId="380E8A76" w14:textId="77777777" w:rsidR="002A0EA5" w:rsidRPr="00B35ECA" w:rsidRDefault="002A0EA5" w:rsidP="00A02C15">
            <w:pPr>
              <w:jc w:val="center"/>
              <w:rPr>
                <w:rFonts w:ascii="Book Antiqua" w:hAnsi="Book Antiqua"/>
                <w:sz w:val="36"/>
                <w:lang w:val="es-ES_tradnl"/>
              </w:rPr>
            </w:pPr>
          </w:p>
        </w:tc>
        <w:tc>
          <w:tcPr>
            <w:tcW w:w="3268" w:type="dxa"/>
            <w:shd w:val="clear" w:color="auto" w:fill="auto"/>
          </w:tcPr>
          <w:p w14:paraId="20E29FEB" w14:textId="77777777" w:rsidR="002A0EA5" w:rsidRPr="00B35ECA" w:rsidRDefault="002A0EA5" w:rsidP="00A02C15">
            <w:pPr>
              <w:rPr>
                <w:rFonts w:ascii="Book Antiqua" w:hAnsi="Book Antiqua"/>
                <w:lang w:val="es-ES_tradnl"/>
              </w:rPr>
            </w:pPr>
            <w:r w:rsidRPr="00B35ECA">
              <w:rPr>
                <w:rFonts w:ascii="Book Antiqua" w:hAnsi="Book Antiqua"/>
                <w:lang w:val="es-ES_tradnl"/>
              </w:rPr>
              <w:tab/>
            </w:r>
            <w:r w:rsidRPr="00B35ECA">
              <w:rPr>
                <w:rFonts w:ascii="Book Antiqua" w:hAnsi="Book Antiqua"/>
                <w:lang w:val="es-ES_tradnl"/>
              </w:rPr>
              <w:tab/>
              <w:t>1</w:t>
            </w:r>
            <w:r w:rsidRPr="00B35ECA">
              <w:rPr>
                <w:rFonts w:ascii="Book Antiqua" w:hAnsi="Book Antiqua"/>
                <w:vertAlign w:val="superscript"/>
                <w:lang w:val="es-ES_tradnl"/>
              </w:rPr>
              <w:t>ra.</w:t>
            </w:r>
            <w:r w:rsidRPr="00B35ECA">
              <w:rPr>
                <w:rFonts w:ascii="Book Antiqua" w:hAnsi="Book Antiqua"/>
                <w:lang w:val="es-ES_tradnl"/>
              </w:rPr>
              <w:t xml:space="preserve"> Sesión</w:t>
            </w:r>
          </w:p>
          <w:p w14:paraId="311DC60D" w14:textId="77777777" w:rsidR="002A0EA5" w:rsidRPr="00B35ECA" w:rsidRDefault="002A0EA5" w:rsidP="00A02C15">
            <w:pPr>
              <w:rPr>
                <w:rFonts w:ascii="Book Antiqua" w:hAnsi="Book Antiqua"/>
                <w:lang w:val="es-ES_tradnl"/>
              </w:rPr>
            </w:pPr>
            <w:r w:rsidRPr="00B35ECA">
              <w:rPr>
                <w:rFonts w:ascii="Book Antiqua" w:hAnsi="Book Antiqua"/>
                <w:lang w:val="es-ES_tradnl"/>
              </w:rPr>
              <w:tab/>
              <w:t xml:space="preserve">       </w:t>
            </w:r>
            <w:r w:rsidRPr="00B35ECA">
              <w:rPr>
                <w:rFonts w:ascii="Book Antiqua" w:hAnsi="Book Antiqua"/>
                <w:lang w:val="es-ES_tradnl"/>
              </w:rPr>
              <w:tab/>
              <w:t xml:space="preserve">      Ordinaria</w:t>
            </w:r>
          </w:p>
          <w:p w14:paraId="5E43A5BB" w14:textId="77777777" w:rsidR="002A0EA5" w:rsidRPr="00B35ECA" w:rsidRDefault="002A0EA5" w:rsidP="00A02C15">
            <w:pPr>
              <w:jc w:val="center"/>
              <w:rPr>
                <w:rFonts w:ascii="Book Antiqua" w:hAnsi="Book Antiqua"/>
                <w:sz w:val="36"/>
                <w:lang w:val="es-ES_tradnl"/>
              </w:rPr>
            </w:pPr>
          </w:p>
        </w:tc>
      </w:tr>
    </w:tbl>
    <w:bookmarkEnd w:id="0"/>
    <w:p w14:paraId="1AB75A56" w14:textId="658E5E49" w:rsidR="002A0EA5" w:rsidRDefault="00F76B7A" w:rsidP="00CE596F">
      <w:pPr>
        <w:spacing w:line="360" w:lineRule="auto"/>
        <w:jc w:val="center"/>
        <w:rPr>
          <w:rFonts w:ascii="Book Antiqua" w:hAnsi="Book Antiqua"/>
          <w:b/>
          <w:sz w:val="36"/>
          <w:lang w:val="es-ES_tradnl"/>
        </w:rPr>
      </w:pPr>
      <w:r>
        <w:rPr>
          <w:rFonts w:ascii="Book Antiqua" w:hAnsi="Book Antiqua"/>
          <w:b/>
          <w:sz w:val="36"/>
          <w:lang w:val="es-ES_tradnl"/>
        </w:rPr>
        <w:t>C</w:t>
      </w:r>
      <w:r>
        <w:rPr>
          <w:rFonts w:ascii="Book Antiqua" w:hAnsi="Book Antiqua"/>
          <w:b/>
          <w:sz w:val="32"/>
          <w:szCs w:val="20"/>
          <w:lang w:val="es-ES_tradnl"/>
        </w:rPr>
        <w:t>Á</w:t>
      </w:r>
      <w:r>
        <w:rPr>
          <w:rFonts w:ascii="Book Antiqua" w:hAnsi="Book Antiqua"/>
          <w:b/>
          <w:sz w:val="36"/>
          <w:lang w:val="es-ES_tradnl"/>
        </w:rPr>
        <w:t>MARA</w:t>
      </w:r>
      <w:r w:rsidR="002A0EA5" w:rsidRPr="00B35ECA">
        <w:rPr>
          <w:rFonts w:ascii="Book Antiqua" w:hAnsi="Book Antiqua"/>
          <w:b/>
          <w:sz w:val="36"/>
          <w:lang w:val="es-ES_tradnl"/>
        </w:rPr>
        <w:t xml:space="preserve"> DE PUERTO RICO</w:t>
      </w:r>
      <w:bookmarkEnd w:id="1"/>
    </w:p>
    <w:p w14:paraId="75C90101" w14:textId="6465CA39" w:rsidR="00F76B7A" w:rsidRPr="003458E5" w:rsidRDefault="00F76B7A" w:rsidP="00CE596F">
      <w:pPr>
        <w:spacing w:line="360" w:lineRule="auto"/>
        <w:jc w:val="center"/>
        <w:rPr>
          <w:rFonts w:ascii="Book Antiqua" w:hAnsi="Book Antiqua"/>
          <w:b/>
          <w:sz w:val="28"/>
          <w:szCs w:val="28"/>
          <w:lang w:val="es-ES_tradnl"/>
        </w:rPr>
      </w:pPr>
      <w:r w:rsidRPr="003458E5">
        <w:rPr>
          <w:rFonts w:ascii="Book Antiqua" w:hAnsi="Book Antiqua"/>
          <w:b/>
          <w:sz w:val="28"/>
          <w:szCs w:val="28"/>
          <w:lang w:val="es-ES_tradnl"/>
        </w:rPr>
        <w:t>Informe Positivo con Enmienda</w:t>
      </w:r>
    </w:p>
    <w:p w14:paraId="0711480C" w14:textId="77777777" w:rsidR="002A0EA5" w:rsidRPr="00B35ECA" w:rsidRDefault="002A0EA5" w:rsidP="00CE596F">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035AC1">
        <w:rPr>
          <w:rFonts w:ascii="Book Antiqua" w:hAnsi="Book Antiqua"/>
          <w:b/>
          <w:sz w:val="52"/>
          <w:lang w:val="es-ES_tradnl"/>
        </w:rPr>
        <w:t>81</w:t>
      </w:r>
    </w:p>
    <w:p w14:paraId="3D05ADAE" w14:textId="06199339" w:rsidR="002A0EA5" w:rsidRPr="00CF577B" w:rsidRDefault="002A0EA5" w:rsidP="00CE596F">
      <w:pPr>
        <w:spacing w:line="360" w:lineRule="auto"/>
        <w:jc w:val="center"/>
        <w:rPr>
          <w:rFonts w:ascii="Book Antiqua" w:hAnsi="Book Antiqua"/>
          <w:sz w:val="24"/>
          <w:szCs w:val="24"/>
          <w:lang w:val="es-ES_tradnl"/>
        </w:rPr>
      </w:pPr>
      <w:r w:rsidRPr="00CF577B">
        <w:rPr>
          <w:rFonts w:ascii="Book Antiqua" w:hAnsi="Book Antiqua"/>
          <w:sz w:val="24"/>
          <w:szCs w:val="24"/>
          <w:lang w:val="es-ES_tradnl"/>
        </w:rPr>
        <w:t xml:space="preserve"> </w:t>
      </w:r>
      <w:bookmarkStart w:id="3" w:name="_Hlk183037684"/>
      <w:r w:rsidR="003458E5">
        <w:rPr>
          <w:rFonts w:ascii="Book Antiqua" w:hAnsi="Book Antiqua"/>
          <w:sz w:val="24"/>
          <w:szCs w:val="24"/>
          <w:lang w:val="es-ES_tradnl"/>
        </w:rPr>
        <w:t>24</w:t>
      </w:r>
      <w:r w:rsidRPr="00CF577B">
        <w:rPr>
          <w:rFonts w:ascii="Book Antiqua" w:hAnsi="Book Antiqua"/>
          <w:sz w:val="24"/>
          <w:szCs w:val="24"/>
          <w:lang w:val="es-ES_tradnl"/>
        </w:rPr>
        <w:t xml:space="preserve"> de </w:t>
      </w:r>
      <w:r w:rsidR="003458E5">
        <w:rPr>
          <w:rFonts w:ascii="Book Antiqua" w:hAnsi="Book Antiqua"/>
          <w:sz w:val="24"/>
          <w:szCs w:val="24"/>
          <w:lang w:val="es-ES_tradnl"/>
        </w:rPr>
        <w:t>junio</w:t>
      </w:r>
      <w:r w:rsidRPr="00CF577B">
        <w:rPr>
          <w:rFonts w:ascii="Book Antiqua" w:hAnsi="Book Antiqua"/>
          <w:sz w:val="24"/>
          <w:szCs w:val="24"/>
          <w:lang w:val="es-ES_tradnl"/>
        </w:rPr>
        <w:t xml:space="preserve"> de 2025</w:t>
      </w:r>
    </w:p>
    <w:p w14:paraId="1DE4C454" w14:textId="77777777" w:rsidR="002A0EA5" w:rsidRPr="00CF577B" w:rsidRDefault="002A0EA5" w:rsidP="00CE596F">
      <w:pPr>
        <w:spacing w:line="360" w:lineRule="auto"/>
        <w:jc w:val="center"/>
        <w:rPr>
          <w:rFonts w:ascii="Book Antiqua" w:hAnsi="Book Antiqua"/>
          <w:sz w:val="24"/>
          <w:szCs w:val="24"/>
          <w:lang w:val="es-ES_tradnl"/>
        </w:rPr>
      </w:pPr>
      <w:r w:rsidRPr="00CF577B">
        <w:rPr>
          <w:rFonts w:ascii="Book Antiqua" w:hAnsi="Book Antiqua"/>
          <w:sz w:val="24"/>
          <w:szCs w:val="24"/>
          <w:lang w:val="es-ES_tradnl"/>
        </w:rPr>
        <w:t>Presentado por el señor</w:t>
      </w:r>
      <w:r w:rsidRPr="00CF577B">
        <w:rPr>
          <w:rFonts w:ascii="Book Antiqua" w:hAnsi="Book Antiqua"/>
          <w:i/>
          <w:sz w:val="24"/>
          <w:szCs w:val="24"/>
          <w:lang w:val="es-ES_tradnl"/>
        </w:rPr>
        <w:t xml:space="preserve"> Rivera Schatz</w:t>
      </w:r>
    </w:p>
    <w:p w14:paraId="6C4C955E" w14:textId="77777777" w:rsidR="00CE596F" w:rsidRPr="00CF577B" w:rsidRDefault="002A0EA5" w:rsidP="00CE596F">
      <w:pPr>
        <w:spacing w:after="120"/>
        <w:jc w:val="center"/>
        <w:rPr>
          <w:rFonts w:ascii="Book Antiqua" w:eastAsia="Times New Roman" w:hAnsi="Book Antiqua"/>
          <w:i/>
          <w:iCs/>
          <w:sz w:val="24"/>
          <w:szCs w:val="24"/>
          <w:lang w:val="es-419"/>
        </w:rPr>
      </w:pPr>
      <w:r w:rsidRPr="00CF577B">
        <w:rPr>
          <w:rFonts w:ascii="Book Antiqua" w:hAnsi="Book Antiqua"/>
          <w:i/>
          <w:sz w:val="24"/>
          <w:szCs w:val="24"/>
          <w:lang w:val="es-ES_tradnl"/>
        </w:rPr>
        <w:t xml:space="preserve">Referido a </w:t>
      </w:r>
      <w:r w:rsidR="00CE596F" w:rsidRPr="00CF577B">
        <w:rPr>
          <w:rFonts w:ascii="Book Antiqua" w:hAnsi="Book Antiqua"/>
          <w:i/>
          <w:sz w:val="24"/>
          <w:szCs w:val="24"/>
          <w:lang w:val="es-ES_tradnl"/>
        </w:rPr>
        <w:t xml:space="preserve">la </w:t>
      </w:r>
      <w:r w:rsidR="00CE596F" w:rsidRPr="00CF577B">
        <w:rPr>
          <w:rFonts w:ascii="Book Antiqua" w:eastAsia="Times New Roman" w:hAnsi="Book Antiqua"/>
          <w:i/>
          <w:iCs/>
          <w:sz w:val="24"/>
          <w:szCs w:val="24"/>
          <w:lang w:val="es-419"/>
        </w:rPr>
        <w:t>Comisión de Planificación, Permisos, Infraestructura y Urbanismo</w:t>
      </w:r>
    </w:p>
    <w:p w14:paraId="510B2298" w14:textId="77777777" w:rsidR="002B02A6" w:rsidRPr="00CF577B" w:rsidRDefault="002A0EA5" w:rsidP="002A0EA5">
      <w:pPr>
        <w:pStyle w:val="MediumShading1-Accent11"/>
        <w:jc w:val="center"/>
        <w:rPr>
          <w:rFonts w:ascii="Book Antiqua" w:hAnsi="Book Antiqua"/>
          <w:b/>
          <w:sz w:val="24"/>
          <w:szCs w:val="24"/>
          <w:lang w:val="es-ES_tradnl"/>
        </w:rPr>
      </w:pPr>
      <w:r w:rsidRPr="00CF577B">
        <w:rPr>
          <w:rFonts w:ascii="Book Antiqua" w:hAnsi="Book Antiqua"/>
          <w:b/>
          <w:sz w:val="24"/>
          <w:szCs w:val="24"/>
          <w:lang w:val="es-ES_tradnl"/>
        </w:rPr>
        <w:t>LEY</w:t>
      </w:r>
      <w:bookmarkEnd w:id="2"/>
      <w:bookmarkEnd w:id="3"/>
    </w:p>
    <w:p w14:paraId="333B0D57" w14:textId="77777777" w:rsidR="002A0EA5" w:rsidRPr="002B02A6" w:rsidRDefault="002A0EA5" w:rsidP="002B02A6">
      <w:pPr>
        <w:pStyle w:val="MediumShading1-Accent11"/>
        <w:jc w:val="center"/>
        <w:rPr>
          <w:rFonts w:ascii="Book Antiqua" w:hAnsi="Book Antiqua"/>
          <w:b/>
          <w:sz w:val="24"/>
          <w:szCs w:val="24"/>
          <w:lang w:val="es-ES_tradnl"/>
        </w:rPr>
      </w:pPr>
    </w:p>
    <w:p w14:paraId="7B7BA090" w14:textId="77777777" w:rsidR="007B6CDB" w:rsidRPr="002B02A6" w:rsidRDefault="002F1359" w:rsidP="000C4840">
      <w:pPr>
        <w:ind w:left="540" w:hanging="540"/>
        <w:rPr>
          <w:rFonts w:ascii="Book Antiqua" w:hAnsi="Book Antiqua" w:cs="Arial"/>
          <w:sz w:val="24"/>
          <w:szCs w:val="24"/>
          <w:lang w:val="es-PR"/>
        </w:rPr>
      </w:pPr>
      <w:r w:rsidRPr="002B02A6">
        <w:rPr>
          <w:rFonts w:ascii="Book Antiqua" w:eastAsia="Times New Roman" w:hAnsi="Book Antiqua"/>
          <w:sz w:val="24"/>
          <w:szCs w:val="24"/>
          <w:lang w:val="es-PR"/>
        </w:rPr>
        <w:t xml:space="preserve">Para enmendar </w:t>
      </w:r>
      <w:r w:rsidRPr="002B02A6">
        <w:rPr>
          <w:rFonts w:ascii="Book Antiqua" w:hAnsi="Book Antiqua"/>
          <w:sz w:val="24"/>
          <w:szCs w:val="24"/>
          <w:lang w:val="es-PR"/>
        </w:rPr>
        <w:t>el</w:t>
      </w:r>
      <w:r w:rsidRPr="002B02A6">
        <w:rPr>
          <w:rFonts w:ascii="Book Antiqua" w:eastAsia="Times New Roman" w:hAnsi="Book Antiqua"/>
          <w:sz w:val="24"/>
          <w:szCs w:val="24"/>
          <w:lang w:val="es-PR"/>
        </w:rPr>
        <w:t xml:space="preserve"> Artículo </w:t>
      </w:r>
      <w:r w:rsidRPr="002B02A6">
        <w:rPr>
          <w:rFonts w:ascii="Book Antiqua" w:hAnsi="Book Antiqua"/>
          <w:sz w:val="24"/>
          <w:szCs w:val="24"/>
          <w:lang w:val="es-PR"/>
        </w:rPr>
        <w:t>8.4</w:t>
      </w:r>
      <w:r w:rsidRPr="002B02A6">
        <w:rPr>
          <w:rFonts w:ascii="Book Antiqua" w:eastAsia="Times New Roman" w:hAnsi="Book Antiqua"/>
          <w:sz w:val="24"/>
          <w:szCs w:val="24"/>
          <w:lang w:val="es-PR"/>
        </w:rPr>
        <w:t xml:space="preserve"> de la Ley</w:t>
      </w:r>
      <w:r w:rsidR="00146F17">
        <w:rPr>
          <w:rFonts w:ascii="Book Antiqua" w:eastAsia="Times New Roman" w:hAnsi="Book Antiqua"/>
          <w:sz w:val="24"/>
          <w:szCs w:val="24"/>
          <w:lang w:val="es-PR"/>
        </w:rPr>
        <w:t xml:space="preserve"> </w:t>
      </w:r>
      <w:r w:rsidRPr="002B02A6">
        <w:rPr>
          <w:rFonts w:ascii="Book Antiqua" w:eastAsia="Times New Roman" w:hAnsi="Book Antiqua"/>
          <w:sz w:val="24"/>
          <w:szCs w:val="24"/>
          <w:lang w:val="es-PR"/>
        </w:rPr>
        <w:t xml:space="preserve">161-2009, según enmendada, conocida como  “Ley para la Reforma del Proceso de Permisos de Puerto Rico”; </w:t>
      </w:r>
      <w:r w:rsidR="00FB593F" w:rsidRPr="008202B2">
        <w:rPr>
          <w:rFonts w:ascii="Book Antiqua" w:eastAsia="Times New Roman" w:hAnsi="Book Antiqua"/>
          <w:sz w:val="24"/>
          <w:szCs w:val="24"/>
          <w:lang w:val="es-PR"/>
        </w:rPr>
        <w:t xml:space="preserve">a </w:t>
      </w:r>
      <w:r w:rsidR="00FB593F" w:rsidRPr="008202B2">
        <w:rPr>
          <w:rFonts w:ascii="Book Antiqua" w:eastAsia="Times New Roman" w:hAnsi="Book Antiqua"/>
          <w:sz w:val="24"/>
          <w:szCs w:val="24"/>
        </w:rPr>
        <w:t>los fines de establecer que, si una entidad gubernamental o agencia no emite sus recomendaciones dentro de los términos establecidos a la Oficina de Gerencia de Permisos, se entenderá que no tiene recomendaciones ni objeciones al proyecto propuesto; para establecer que dichas recomendaciones no serán vinculantes, y que la determinación de conceder o denegar un permiso se basará en la totalidad del expediente administrativo</w:t>
      </w:r>
      <w:r w:rsidRPr="008202B2">
        <w:rPr>
          <w:rFonts w:ascii="Book Antiqua" w:hAnsi="Book Antiqua" w:cs="Arial"/>
          <w:sz w:val="24"/>
          <w:szCs w:val="24"/>
          <w:lang w:val="es-PR"/>
        </w:rPr>
        <w:t xml:space="preserve">; </w:t>
      </w:r>
      <w:r w:rsidR="002B02A6" w:rsidRPr="008202B2">
        <w:rPr>
          <w:rFonts w:ascii="Book Antiqua" w:hAnsi="Book Antiqua" w:cs="Arial"/>
          <w:sz w:val="24"/>
          <w:szCs w:val="24"/>
          <w:lang w:val="es-PR"/>
        </w:rPr>
        <w:t>para</w:t>
      </w:r>
      <w:r w:rsidR="002B02A6" w:rsidRPr="002B02A6">
        <w:rPr>
          <w:rFonts w:ascii="Book Antiqua" w:hAnsi="Book Antiqua" w:cs="Arial"/>
          <w:sz w:val="24"/>
          <w:szCs w:val="24"/>
          <w:lang w:val="es-PR"/>
        </w:rPr>
        <w:t xml:space="preserve"> </w:t>
      </w:r>
      <w:r w:rsidR="00DB3764" w:rsidRPr="002B02A6">
        <w:rPr>
          <w:rFonts w:ascii="Book Antiqua" w:hAnsi="Book Antiqua" w:cs="Arial"/>
          <w:sz w:val="24"/>
          <w:szCs w:val="24"/>
          <w:lang w:val="es-PR"/>
        </w:rPr>
        <w:t xml:space="preserve">enmendar </w:t>
      </w:r>
      <w:r w:rsidR="002A0EA5">
        <w:rPr>
          <w:rFonts w:ascii="Book Antiqua" w:hAnsi="Book Antiqua" w:cs="Arial"/>
          <w:sz w:val="24"/>
          <w:szCs w:val="24"/>
          <w:lang w:val="es-PR"/>
        </w:rPr>
        <w:t>e</w:t>
      </w:r>
      <w:r w:rsidR="00DB3764" w:rsidRPr="002B02A6">
        <w:rPr>
          <w:rFonts w:ascii="Book Antiqua" w:hAnsi="Book Antiqua" w:cs="Arial"/>
          <w:sz w:val="24"/>
          <w:szCs w:val="24"/>
          <w:lang w:val="es-PR"/>
        </w:rPr>
        <w:t>l Artículo 19.12 de</w:t>
      </w:r>
      <w:r w:rsidRPr="002B02A6">
        <w:rPr>
          <w:rFonts w:ascii="Book Antiqua" w:eastAsia="Times New Roman" w:hAnsi="Book Antiqua"/>
          <w:sz w:val="24"/>
          <w:szCs w:val="24"/>
          <w:lang w:val="es-PR"/>
        </w:rPr>
        <w:t xml:space="preserve"> la Ley 161-2009</w:t>
      </w:r>
      <w:r w:rsidR="002B02A6" w:rsidRPr="002B02A6">
        <w:rPr>
          <w:rFonts w:ascii="Book Antiqua" w:eastAsia="Times New Roman" w:hAnsi="Book Antiqua"/>
          <w:sz w:val="24"/>
          <w:szCs w:val="24"/>
          <w:lang w:val="es-PR"/>
        </w:rPr>
        <w:t xml:space="preserve">, supra, </w:t>
      </w:r>
      <w:r w:rsidRPr="002B02A6">
        <w:rPr>
          <w:rFonts w:ascii="Book Antiqua" w:eastAsia="Times New Roman" w:hAnsi="Book Antiqua"/>
          <w:sz w:val="24"/>
          <w:szCs w:val="24"/>
          <w:lang w:val="es-PR"/>
        </w:rPr>
        <w:t xml:space="preserve">para disponer la supremacía de </w:t>
      </w:r>
      <w:r w:rsidR="002B02A6" w:rsidRPr="002B02A6">
        <w:rPr>
          <w:rFonts w:ascii="Book Antiqua" w:eastAsia="Times New Roman" w:hAnsi="Book Antiqua"/>
          <w:sz w:val="24"/>
          <w:szCs w:val="24"/>
          <w:lang w:val="es-PR"/>
        </w:rPr>
        <w:t xml:space="preserve">dicha </w:t>
      </w:r>
      <w:r w:rsidRPr="002B02A6">
        <w:rPr>
          <w:rFonts w:ascii="Book Antiqua" w:eastAsia="Times New Roman" w:hAnsi="Book Antiqua"/>
          <w:sz w:val="24"/>
          <w:szCs w:val="24"/>
          <w:lang w:val="es-PR"/>
        </w:rPr>
        <w:t>ley; p</w:t>
      </w:r>
      <w:r w:rsidR="007B6CDB" w:rsidRPr="002B02A6">
        <w:rPr>
          <w:rFonts w:ascii="Book Antiqua" w:eastAsia="Times New Roman" w:hAnsi="Book Antiqua"/>
          <w:sz w:val="24"/>
          <w:szCs w:val="24"/>
          <w:lang w:val="es-PR"/>
        </w:rPr>
        <w:t xml:space="preserve">ara enmendar </w:t>
      </w:r>
      <w:r w:rsidR="00B778F1" w:rsidRPr="002B02A6">
        <w:rPr>
          <w:rFonts w:ascii="Book Antiqua" w:hAnsi="Book Antiqua"/>
          <w:sz w:val="24"/>
          <w:szCs w:val="24"/>
          <w:lang w:val="es-PR"/>
        </w:rPr>
        <w:t xml:space="preserve">el </w:t>
      </w:r>
      <w:r w:rsidR="00FB593F">
        <w:rPr>
          <w:rFonts w:ascii="Book Antiqua" w:hAnsi="Book Antiqua"/>
          <w:sz w:val="24"/>
          <w:szCs w:val="24"/>
          <w:lang w:val="es-PR"/>
        </w:rPr>
        <w:t xml:space="preserve">inciso (h) del </w:t>
      </w:r>
      <w:r w:rsidR="00B778F1" w:rsidRPr="002B02A6">
        <w:rPr>
          <w:rFonts w:ascii="Book Antiqua" w:hAnsi="Book Antiqua"/>
          <w:sz w:val="24"/>
          <w:szCs w:val="24"/>
          <w:lang w:val="es-PR"/>
        </w:rPr>
        <w:t xml:space="preserve">Artículo 5 de la </w:t>
      </w:r>
      <w:r w:rsidR="00FB593F" w:rsidRPr="002B02A6">
        <w:rPr>
          <w:rFonts w:ascii="Book Antiqua" w:hAnsi="Book Antiqua" w:cs="Arial"/>
          <w:sz w:val="24"/>
          <w:szCs w:val="24"/>
          <w:lang w:val="es-PR"/>
        </w:rPr>
        <w:t xml:space="preserve">Ley </w:t>
      </w:r>
      <w:r w:rsidR="00FB593F">
        <w:rPr>
          <w:rFonts w:ascii="Book Antiqua" w:hAnsi="Book Antiqua" w:cs="Arial"/>
          <w:sz w:val="24"/>
          <w:szCs w:val="24"/>
          <w:lang w:val="es-PR"/>
        </w:rPr>
        <w:t xml:space="preserve">Núm. </w:t>
      </w:r>
      <w:r w:rsidR="00FB593F" w:rsidRPr="002B02A6">
        <w:rPr>
          <w:rFonts w:ascii="Book Antiqua" w:hAnsi="Book Antiqua" w:cs="Arial"/>
          <w:sz w:val="24"/>
          <w:szCs w:val="24"/>
          <w:lang w:val="es-PR"/>
        </w:rPr>
        <w:t>23 de 20 de junio de 1972, según enmendada</w:t>
      </w:r>
      <w:r w:rsidR="00FB593F">
        <w:rPr>
          <w:rFonts w:ascii="Book Antiqua" w:hAnsi="Book Antiqua" w:cs="Arial"/>
          <w:sz w:val="24"/>
          <w:szCs w:val="24"/>
          <w:lang w:val="es-PR"/>
        </w:rPr>
        <w:t>, conocida como</w:t>
      </w:r>
      <w:r w:rsidR="00FB593F" w:rsidRPr="002B02A6">
        <w:rPr>
          <w:rFonts w:ascii="Book Antiqua" w:hAnsi="Book Antiqua" w:cs="Arial"/>
          <w:sz w:val="24"/>
          <w:szCs w:val="24"/>
          <w:lang w:val="es-PR"/>
        </w:rPr>
        <w:t xml:space="preserve"> </w:t>
      </w:r>
      <w:r w:rsidR="00FB593F">
        <w:rPr>
          <w:rFonts w:ascii="Book Antiqua" w:hAnsi="Book Antiqua" w:cs="Arial"/>
          <w:sz w:val="24"/>
          <w:szCs w:val="24"/>
          <w:lang w:val="es-PR"/>
        </w:rPr>
        <w:t>“</w:t>
      </w:r>
      <w:r w:rsidR="00A27428" w:rsidRPr="002B02A6">
        <w:rPr>
          <w:rFonts w:ascii="Book Antiqua" w:hAnsi="Book Antiqua" w:cs="Arial"/>
          <w:sz w:val="24"/>
          <w:szCs w:val="24"/>
          <w:lang w:val="es-PR"/>
        </w:rPr>
        <w:t>Ley Orgánica del Departamento de Recursos Naturales y Ambientales”</w:t>
      </w:r>
      <w:r w:rsidR="00B778F1" w:rsidRPr="002B02A6">
        <w:rPr>
          <w:rFonts w:ascii="Book Antiqua" w:hAnsi="Book Antiqua" w:cs="Arial"/>
          <w:sz w:val="24"/>
          <w:szCs w:val="24"/>
          <w:lang w:val="es-PR"/>
        </w:rPr>
        <w:t>,</w:t>
      </w:r>
      <w:r w:rsidR="00A27428" w:rsidRPr="002B02A6">
        <w:rPr>
          <w:rFonts w:ascii="Book Antiqua" w:hAnsi="Book Antiqua" w:cs="Arial"/>
          <w:sz w:val="24"/>
          <w:szCs w:val="24"/>
          <w:lang w:val="es-PR"/>
        </w:rPr>
        <w:t xml:space="preserve"> </w:t>
      </w:r>
      <w:r w:rsidR="00B778F1" w:rsidRPr="002B02A6">
        <w:rPr>
          <w:rFonts w:ascii="Book Antiqua" w:hAnsi="Book Antiqua" w:cs="Arial"/>
          <w:sz w:val="24"/>
          <w:szCs w:val="24"/>
          <w:lang w:val="es-PR"/>
        </w:rPr>
        <w:t xml:space="preserve">a </w:t>
      </w:r>
      <w:r w:rsidR="008202B2" w:rsidRPr="008202B2">
        <w:rPr>
          <w:rFonts w:ascii="Book Antiqua" w:hAnsi="Book Antiqua" w:cs="Arial"/>
          <w:sz w:val="24"/>
          <w:szCs w:val="24"/>
        </w:rPr>
        <w:t xml:space="preserve">los fines de cumplir con la política pública de agilizar los procesos de permisos, y disponer la obligación del Departamento de Recursos Naturales y Ambientales de asesorar, orientar, guiar y apoyar mediante comentarios a la Oficina de Gerencia de Permisos, a la dependencia gubernamental que la sustituya, y a los municipios concernientes en la toma de decisiones sobre la evaluación de permisos que incidan en la política pública ambiental; así como para disponer que el Departamento de Recursos Naturales y Ambientales </w:t>
      </w:r>
      <w:r w:rsidR="00CF577B" w:rsidRPr="00CF577B">
        <w:rPr>
          <w:rFonts w:ascii="Book Antiqua" w:hAnsi="Book Antiqua" w:cs="Arial"/>
          <w:i/>
          <w:iCs/>
          <w:sz w:val="24"/>
          <w:szCs w:val="24"/>
          <w:u w:val="single"/>
        </w:rPr>
        <w:t>y la Oficina de Gerencia de Permisos</w:t>
      </w:r>
      <w:r w:rsidR="00CF577B">
        <w:rPr>
          <w:rFonts w:ascii="Book Antiqua" w:hAnsi="Book Antiqua" w:cs="Arial"/>
          <w:sz w:val="24"/>
          <w:szCs w:val="24"/>
        </w:rPr>
        <w:t xml:space="preserve"> </w:t>
      </w:r>
      <w:r w:rsidR="008202B2" w:rsidRPr="008202B2">
        <w:rPr>
          <w:rFonts w:ascii="Book Antiqua" w:hAnsi="Book Antiqua" w:cs="Arial"/>
          <w:sz w:val="24"/>
          <w:szCs w:val="24"/>
        </w:rPr>
        <w:t>adopte</w:t>
      </w:r>
      <w:r w:rsidR="00CF577B" w:rsidRPr="00CF577B">
        <w:rPr>
          <w:rFonts w:ascii="Book Antiqua" w:hAnsi="Book Antiqua" w:cs="Arial"/>
          <w:i/>
          <w:iCs/>
          <w:sz w:val="24"/>
          <w:szCs w:val="24"/>
          <w:u w:val="single"/>
        </w:rPr>
        <w:t>n</w:t>
      </w:r>
      <w:r w:rsidR="008202B2" w:rsidRPr="008202B2">
        <w:rPr>
          <w:rFonts w:ascii="Book Antiqua" w:hAnsi="Book Antiqua" w:cs="Arial"/>
          <w:sz w:val="24"/>
          <w:szCs w:val="24"/>
        </w:rPr>
        <w:t xml:space="preserve"> todas las providencias reglamentarias pertinentes para el cumplimiento de esta ley</w:t>
      </w:r>
      <w:r w:rsidR="006B4CAD" w:rsidRPr="002B02A6">
        <w:rPr>
          <w:rFonts w:ascii="Book Antiqua" w:hAnsi="Book Antiqua" w:cs="Arial"/>
          <w:sz w:val="24"/>
          <w:szCs w:val="24"/>
          <w:lang w:val="es-PR"/>
        </w:rPr>
        <w:t xml:space="preserve">; </w:t>
      </w:r>
      <w:r w:rsidR="0020684E" w:rsidRPr="002B02A6">
        <w:rPr>
          <w:rFonts w:ascii="Book Antiqua" w:eastAsia="Times New Roman" w:hAnsi="Book Antiqua"/>
          <w:sz w:val="24"/>
          <w:szCs w:val="24"/>
          <w:lang w:val="es-PR"/>
        </w:rPr>
        <w:t>y p</w:t>
      </w:r>
      <w:r w:rsidR="007B6CDB" w:rsidRPr="002B02A6">
        <w:rPr>
          <w:rFonts w:ascii="Book Antiqua" w:eastAsia="Times New Roman" w:hAnsi="Book Antiqua"/>
          <w:sz w:val="24"/>
          <w:szCs w:val="24"/>
          <w:lang w:val="es-PR"/>
        </w:rPr>
        <w:t xml:space="preserve">ara otros fines </w:t>
      </w:r>
      <w:r w:rsidR="0020684E" w:rsidRPr="002B02A6">
        <w:rPr>
          <w:rFonts w:ascii="Book Antiqua" w:eastAsia="Times New Roman" w:hAnsi="Book Antiqua"/>
          <w:sz w:val="24"/>
          <w:szCs w:val="24"/>
          <w:lang w:val="es-PR"/>
        </w:rPr>
        <w:t xml:space="preserve">para </w:t>
      </w:r>
      <w:r w:rsidR="007B6CDB" w:rsidRPr="002B02A6">
        <w:rPr>
          <w:rFonts w:ascii="Book Antiqua" w:eastAsia="Times New Roman" w:hAnsi="Book Antiqua"/>
          <w:sz w:val="24"/>
          <w:szCs w:val="24"/>
          <w:lang w:val="es-PR"/>
        </w:rPr>
        <w:t xml:space="preserve">relacionados. </w:t>
      </w:r>
    </w:p>
    <w:p w14:paraId="50CBABF9" w14:textId="77777777" w:rsidR="002B02A6" w:rsidRPr="002B02A6" w:rsidRDefault="002B02A6" w:rsidP="002F1359">
      <w:pPr>
        <w:rPr>
          <w:rFonts w:ascii="Book Antiqua" w:hAnsi="Book Antiqua"/>
          <w:sz w:val="24"/>
          <w:szCs w:val="24"/>
        </w:rPr>
      </w:pPr>
    </w:p>
    <w:p w14:paraId="30914C72" w14:textId="77777777" w:rsidR="006F2FCB" w:rsidRPr="002B02A6" w:rsidRDefault="006F2FCB" w:rsidP="0004665F">
      <w:pPr>
        <w:jc w:val="center"/>
        <w:rPr>
          <w:rFonts w:ascii="Book Antiqua" w:hAnsi="Book Antiqua"/>
          <w:b/>
          <w:bCs/>
          <w:sz w:val="24"/>
          <w:szCs w:val="24"/>
          <w:lang w:val="es-CR"/>
        </w:rPr>
      </w:pPr>
      <w:r w:rsidRPr="002B02A6">
        <w:rPr>
          <w:rFonts w:ascii="Book Antiqua" w:hAnsi="Book Antiqua"/>
          <w:b/>
          <w:bCs/>
          <w:sz w:val="24"/>
          <w:szCs w:val="24"/>
          <w:lang w:val="es-CR"/>
        </w:rPr>
        <w:t>EXPOSICIÓN DE MOTIVOS</w:t>
      </w:r>
    </w:p>
    <w:p w14:paraId="512E74D9" w14:textId="77777777" w:rsidR="00E556F8" w:rsidRPr="002B02A6" w:rsidRDefault="00E556F8" w:rsidP="002F1359">
      <w:pPr>
        <w:rPr>
          <w:rFonts w:ascii="Book Antiqua" w:hAnsi="Book Antiqua"/>
          <w:sz w:val="24"/>
          <w:szCs w:val="24"/>
        </w:rPr>
      </w:pPr>
    </w:p>
    <w:p w14:paraId="7E4594F3" w14:textId="77777777" w:rsidR="008C5CCD" w:rsidRDefault="002F1359" w:rsidP="002A0EA5">
      <w:pPr>
        <w:spacing w:line="360" w:lineRule="auto"/>
        <w:rPr>
          <w:rFonts w:ascii="Book Antiqua" w:hAnsi="Book Antiqua"/>
          <w:sz w:val="24"/>
          <w:szCs w:val="24"/>
          <w:lang w:val="es-PR"/>
        </w:rPr>
      </w:pPr>
      <w:r w:rsidRPr="008C5CCD">
        <w:rPr>
          <w:rFonts w:ascii="Book Antiqua" w:eastAsia="Times New Roman" w:hAnsi="Book Antiqua"/>
          <w:sz w:val="24"/>
          <w:szCs w:val="24"/>
          <w:lang w:val="es-PR"/>
        </w:rPr>
        <w:lastRenderedPageBreak/>
        <w:tab/>
      </w:r>
      <w:r w:rsidR="009853EF" w:rsidRPr="009853EF">
        <w:rPr>
          <w:rFonts w:ascii="Book Antiqua" w:eastAsia="Times New Roman" w:hAnsi="Book Antiqua"/>
          <w:sz w:val="24"/>
          <w:szCs w:val="24"/>
        </w:rPr>
        <w:t>El Gobierno de Puerto Rico ha expresado en numerosas ocasiones su compromiso con promover y agilizar el desarrollo económico de la isla. Con este propósito, aprobó la Ley</w:t>
      </w:r>
      <w:r w:rsidR="00CF577B">
        <w:rPr>
          <w:rFonts w:ascii="Book Antiqua" w:eastAsia="Times New Roman" w:hAnsi="Book Antiqua"/>
          <w:sz w:val="24"/>
          <w:szCs w:val="24"/>
        </w:rPr>
        <w:t xml:space="preserve"> </w:t>
      </w:r>
      <w:r w:rsidR="009853EF" w:rsidRPr="009853EF">
        <w:rPr>
          <w:rFonts w:ascii="Book Antiqua" w:eastAsia="Times New Roman" w:hAnsi="Book Antiqua"/>
          <w:sz w:val="24"/>
          <w:szCs w:val="24"/>
        </w:rPr>
        <w:t xml:space="preserve">161-2009, según enmendada, conocida como </w:t>
      </w:r>
      <w:r w:rsidR="009853EF" w:rsidRPr="00CF577B">
        <w:rPr>
          <w:rFonts w:ascii="Book Antiqua" w:eastAsia="Times New Roman" w:hAnsi="Book Antiqua"/>
          <w:strike/>
          <w:sz w:val="24"/>
          <w:szCs w:val="24"/>
        </w:rPr>
        <w:t>la</w:t>
      </w:r>
      <w:r w:rsidR="009853EF" w:rsidRPr="009853EF">
        <w:rPr>
          <w:rFonts w:ascii="Book Antiqua" w:eastAsia="Times New Roman" w:hAnsi="Book Antiqua"/>
          <w:sz w:val="24"/>
          <w:szCs w:val="24"/>
        </w:rPr>
        <w:t xml:space="preserve"> “Ley para la Reforma del Proceso de Permisos</w:t>
      </w:r>
      <w:r w:rsidR="00CF577B">
        <w:rPr>
          <w:rFonts w:ascii="Book Antiqua" w:eastAsia="Times New Roman" w:hAnsi="Book Antiqua"/>
          <w:sz w:val="24"/>
          <w:szCs w:val="24"/>
        </w:rPr>
        <w:t xml:space="preserve"> </w:t>
      </w:r>
      <w:r w:rsidR="00CF577B" w:rsidRPr="00CF577B">
        <w:rPr>
          <w:rFonts w:ascii="Book Antiqua" w:eastAsia="Times New Roman" w:hAnsi="Book Antiqua"/>
          <w:i/>
          <w:iCs/>
          <w:sz w:val="24"/>
          <w:szCs w:val="24"/>
          <w:u w:val="single"/>
        </w:rPr>
        <w:t>de Puerto Rico</w:t>
      </w:r>
      <w:r w:rsidR="009853EF" w:rsidRPr="009853EF">
        <w:rPr>
          <w:rFonts w:ascii="Book Antiqua" w:eastAsia="Times New Roman" w:hAnsi="Book Antiqua"/>
          <w:sz w:val="24"/>
          <w:szCs w:val="24"/>
        </w:rPr>
        <w:t xml:space="preserve">”. Esta ley tiene como objetivo establecer el marco legal y administrativo </w:t>
      </w:r>
      <w:r w:rsidR="009853EF" w:rsidRPr="00CF577B">
        <w:rPr>
          <w:rFonts w:ascii="Book Antiqua" w:eastAsia="Times New Roman" w:hAnsi="Book Antiqua"/>
          <w:strike/>
          <w:sz w:val="24"/>
          <w:szCs w:val="24"/>
        </w:rPr>
        <w:t>que regirá</w:t>
      </w:r>
      <w:r w:rsidR="009853EF" w:rsidRPr="009853EF">
        <w:rPr>
          <w:rFonts w:ascii="Book Antiqua" w:eastAsia="Times New Roman" w:hAnsi="Book Antiqua"/>
          <w:sz w:val="24"/>
          <w:szCs w:val="24"/>
        </w:rPr>
        <w:t xml:space="preserve"> </w:t>
      </w:r>
      <w:r w:rsidR="00CF577B" w:rsidRPr="00CF577B">
        <w:rPr>
          <w:rFonts w:ascii="Book Antiqua" w:eastAsia="Times New Roman" w:hAnsi="Book Antiqua"/>
          <w:i/>
          <w:iCs/>
          <w:sz w:val="24"/>
          <w:szCs w:val="24"/>
          <w:u w:val="single"/>
        </w:rPr>
        <w:t>para</w:t>
      </w:r>
      <w:r w:rsidR="00CF577B">
        <w:rPr>
          <w:rFonts w:ascii="Book Antiqua" w:eastAsia="Times New Roman" w:hAnsi="Book Antiqua"/>
          <w:sz w:val="24"/>
          <w:szCs w:val="24"/>
        </w:rPr>
        <w:t xml:space="preserve"> </w:t>
      </w:r>
      <w:r w:rsidR="009853EF" w:rsidRPr="009853EF">
        <w:rPr>
          <w:rFonts w:ascii="Book Antiqua" w:eastAsia="Times New Roman" w:hAnsi="Book Antiqua"/>
          <w:sz w:val="24"/>
          <w:szCs w:val="24"/>
        </w:rPr>
        <w:t>la solicitud, evaluación, concesión y denegación de permisos por parte del Gobierno de Puerto Rico. Además, creó la Oficina de Gerencia de Permisos, entre otras disposiciones</w:t>
      </w:r>
      <w:r w:rsidR="009853EF">
        <w:rPr>
          <w:rFonts w:ascii="Book Antiqua" w:eastAsia="Times New Roman" w:hAnsi="Book Antiqua"/>
          <w:sz w:val="24"/>
          <w:szCs w:val="24"/>
        </w:rPr>
        <w:t>.</w:t>
      </w:r>
      <w:r w:rsidR="008C5CCD" w:rsidRPr="008C5CCD">
        <w:rPr>
          <w:rFonts w:ascii="Book Antiqua" w:hAnsi="Book Antiqua" w:cs="Arial"/>
          <w:sz w:val="24"/>
          <w:szCs w:val="24"/>
          <w:lang w:val="es-PR"/>
        </w:rPr>
        <w:t xml:space="preserve"> </w:t>
      </w:r>
      <w:r w:rsidR="008C5CCD">
        <w:rPr>
          <w:rFonts w:ascii="Book Antiqua" w:hAnsi="Book Antiqua"/>
          <w:sz w:val="24"/>
          <w:szCs w:val="24"/>
          <w:lang w:val="es-PR"/>
        </w:rPr>
        <w:t>De esta forma se buscó</w:t>
      </w:r>
      <w:r w:rsidRPr="002B02A6">
        <w:rPr>
          <w:rFonts w:ascii="Book Antiqua" w:hAnsi="Book Antiqua"/>
          <w:sz w:val="24"/>
          <w:szCs w:val="24"/>
          <w:lang w:val="es-PR"/>
        </w:rPr>
        <w:t xml:space="preserve"> establecer </w:t>
      </w:r>
      <w:r w:rsidRPr="002B02A6">
        <w:rPr>
          <w:rFonts w:ascii="Book Antiqua" w:eastAsia="Times New Roman" w:hAnsi="Book Antiqua"/>
          <w:sz w:val="24"/>
          <w:szCs w:val="24"/>
          <w:lang w:val="es-PR"/>
        </w:rPr>
        <w:t>un nuevo sistema de permisos</w:t>
      </w:r>
      <w:r w:rsidRPr="002B02A6">
        <w:rPr>
          <w:rFonts w:ascii="Book Antiqua" w:hAnsi="Book Antiqua"/>
          <w:sz w:val="24"/>
          <w:szCs w:val="24"/>
          <w:lang w:val="es-PR"/>
        </w:rPr>
        <w:t xml:space="preserve"> </w:t>
      </w:r>
      <w:r w:rsidRPr="002B02A6">
        <w:rPr>
          <w:rFonts w:ascii="Book Antiqua" w:eastAsia="Times New Roman" w:hAnsi="Book Antiqua"/>
          <w:sz w:val="24"/>
          <w:szCs w:val="24"/>
          <w:lang w:val="es-PR"/>
        </w:rPr>
        <w:t>transparente, ágil y eficiente</w:t>
      </w:r>
      <w:r w:rsidRPr="002B02A6">
        <w:rPr>
          <w:rFonts w:ascii="Book Antiqua" w:hAnsi="Book Antiqua"/>
          <w:sz w:val="24"/>
          <w:szCs w:val="24"/>
          <w:lang w:val="es-PR"/>
        </w:rPr>
        <w:t xml:space="preserve">.  </w:t>
      </w:r>
    </w:p>
    <w:p w14:paraId="4E70329A" w14:textId="77777777" w:rsidR="008C5CCD" w:rsidRPr="008C5CCD" w:rsidRDefault="002A0EA5" w:rsidP="002A0EA5">
      <w:pPr>
        <w:spacing w:line="360" w:lineRule="auto"/>
        <w:ind w:firstLine="708"/>
        <w:rPr>
          <w:rFonts w:ascii="Book Antiqua" w:hAnsi="Book Antiqua"/>
          <w:bCs/>
          <w:sz w:val="24"/>
          <w:szCs w:val="24"/>
          <w:lang w:val="es-PR"/>
        </w:rPr>
      </w:pPr>
      <w:r w:rsidRPr="009853EF">
        <w:rPr>
          <w:rFonts w:ascii="Book Antiqua" w:hAnsi="Book Antiqua"/>
          <w:sz w:val="24"/>
          <w:szCs w:val="24"/>
        </w:rPr>
        <w:t>De conformidad con la exposición de motivos</w:t>
      </w:r>
      <w:r w:rsidR="007F1B47" w:rsidRPr="009853EF">
        <w:rPr>
          <w:rFonts w:ascii="Book Antiqua" w:hAnsi="Book Antiqua"/>
          <w:sz w:val="24"/>
          <w:szCs w:val="24"/>
        </w:rPr>
        <w:t xml:space="preserve"> de</w:t>
      </w:r>
      <w:r w:rsidR="007F1B47" w:rsidRPr="009853EF">
        <w:rPr>
          <w:rFonts w:ascii="Book Antiqua" w:hAnsi="Book Antiqua"/>
          <w:sz w:val="24"/>
          <w:szCs w:val="24"/>
          <w:lang w:val="es-PR"/>
        </w:rPr>
        <w:t xml:space="preserve"> la </w:t>
      </w:r>
      <w:r w:rsidR="007F1B47" w:rsidRPr="004E01B3">
        <w:rPr>
          <w:rFonts w:ascii="Book Antiqua" w:hAnsi="Book Antiqua"/>
          <w:strike/>
          <w:sz w:val="24"/>
          <w:szCs w:val="24"/>
          <w:lang w:val="es-PR"/>
        </w:rPr>
        <w:t>referida</w:t>
      </w:r>
      <w:r w:rsidR="007F1B47" w:rsidRPr="009853EF">
        <w:rPr>
          <w:rFonts w:ascii="Book Antiqua" w:eastAsia="Times New Roman" w:hAnsi="Book Antiqua"/>
          <w:sz w:val="24"/>
          <w:szCs w:val="24"/>
          <w:lang w:val="es-PR"/>
        </w:rPr>
        <w:t xml:space="preserve"> Ley</w:t>
      </w:r>
      <w:r w:rsidR="004E01B3">
        <w:rPr>
          <w:rFonts w:ascii="Book Antiqua" w:eastAsia="Times New Roman" w:hAnsi="Book Antiqua"/>
          <w:sz w:val="24"/>
          <w:szCs w:val="24"/>
          <w:lang w:val="es-PR"/>
        </w:rPr>
        <w:t xml:space="preserve"> </w:t>
      </w:r>
      <w:r w:rsidR="007F1B47" w:rsidRPr="009853EF">
        <w:rPr>
          <w:rFonts w:ascii="Book Antiqua" w:eastAsia="Times New Roman" w:hAnsi="Book Antiqua"/>
          <w:sz w:val="24"/>
          <w:szCs w:val="24"/>
          <w:lang w:val="es-PR"/>
        </w:rPr>
        <w:t>161</w:t>
      </w:r>
      <w:r w:rsidRPr="009853EF">
        <w:rPr>
          <w:rFonts w:ascii="Book Antiqua" w:hAnsi="Book Antiqua"/>
          <w:sz w:val="24"/>
          <w:szCs w:val="24"/>
        </w:rPr>
        <w:t>,</w:t>
      </w:r>
      <w:r w:rsidR="004E01B3">
        <w:rPr>
          <w:rFonts w:ascii="Book Antiqua" w:hAnsi="Book Antiqua"/>
          <w:sz w:val="24"/>
          <w:szCs w:val="24"/>
        </w:rPr>
        <w:t xml:space="preserve"> </w:t>
      </w:r>
      <w:r w:rsidR="004E01B3" w:rsidRPr="004E01B3">
        <w:rPr>
          <w:rFonts w:ascii="Book Antiqua" w:hAnsi="Book Antiqua"/>
          <w:i/>
          <w:iCs/>
          <w:sz w:val="24"/>
          <w:szCs w:val="24"/>
          <w:u w:val="single"/>
        </w:rPr>
        <w:t>supra</w:t>
      </w:r>
      <w:r w:rsidR="004E01B3">
        <w:rPr>
          <w:rFonts w:ascii="Book Antiqua" w:hAnsi="Book Antiqua"/>
          <w:sz w:val="24"/>
          <w:szCs w:val="24"/>
        </w:rPr>
        <w:t>,</w:t>
      </w:r>
      <w:r w:rsidRPr="009853EF">
        <w:rPr>
          <w:rFonts w:ascii="Book Antiqua" w:hAnsi="Book Antiqua"/>
          <w:sz w:val="24"/>
          <w:szCs w:val="24"/>
        </w:rPr>
        <w:t xml:space="preserve"> la intención de la Asamblea Legislativa fue que</w:t>
      </w:r>
      <w:r w:rsidR="009853EF" w:rsidRPr="009853EF">
        <w:rPr>
          <w:rFonts w:ascii="Book Antiqua" w:hAnsi="Book Antiqua"/>
          <w:sz w:val="24"/>
          <w:szCs w:val="24"/>
        </w:rPr>
        <w:t xml:space="preserve"> </w:t>
      </w:r>
      <w:r w:rsidRPr="009853EF">
        <w:rPr>
          <w:rFonts w:ascii="Book Antiqua" w:hAnsi="Book Antiqua"/>
          <w:sz w:val="24"/>
          <w:szCs w:val="24"/>
        </w:rPr>
        <w:t>la Oficina de Gerencia de Permisos, eval</w:t>
      </w:r>
      <w:r w:rsidR="007F1B47" w:rsidRPr="009853EF">
        <w:rPr>
          <w:rFonts w:ascii="Book Antiqua" w:hAnsi="Book Antiqua"/>
          <w:sz w:val="24"/>
          <w:szCs w:val="24"/>
        </w:rPr>
        <w:t>uara</w:t>
      </w:r>
      <w:r w:rsidRPr="009853EF">
        <w:rPr>
          <w:rFonts w:ascii="Book Antiqua" w:hAnsi="Book Antiqua"/>
          <w:sz w:val="24"/>
          <w:szCs w:val="24"/>
        </w:rPr>
        <w:t xml:space="preserve"> las solicitudes de permisos y consultas de ubicación. Además, </w:t>
      </w:r>
      <w:r w:rsidR="007F1B47" w:rsidRPr="009853EF">
        <w:rPr>
          <w:rFonts w:ascii="Book Antiqua" w:hAnsi="Book Antiqua"/>
          <w:sz w:val="24"/>
          <w:szCs w:val="24"/>
        </w:rPr>
        <w:t>requirió que</w:t>
      </w:r>
      <w:r w:rsidRPr="009853EF">
        <w:rPr>
          <w:rFonts w:ascii="Book Antiqua" w:hAnsi="Book Antiqua"/>
          <w:sz w:val="24"/>
          <w:szCs w:val="24"/>
        </w:rPr>
        <w:t xml:space="preserve"> emiti</w:t>
      </w:r>
      <w:r w:rsidR="007F1B47" w:rsidRPr="009853EF">
        <w:rPr>
          <w:rFonts w:ascii="Book Antiqua" w:hAnsi="Book Antiqua"/>
          <w:sz w:val="24"/>
          <w:szCs w:val="24"/>
        </w:rPr>
        <w:t xml:space="preserve">eran </w:t>
      </w:r>
      <w:r w:rsidRPr="009853EF">
        <w:rPr>
          <w:rFonts w:ascii="Book Antiqua" w:hAnsi="Book Antiqua"/>
          <w:sz w:val="24"/>
          <w:szCs w:val="24"/>
        </w:rPr>
        <w:t xml:space="preserve">determinaciones finales, permisos y certificaciones para la prevención de incendios y de salud ambiental. Estos procesos, que antes de la aprobación de </w:t>
      </w:r>
      <w:r w:rsidRPr="004E01B3">
        <w:rPr>
          <w:rFonts w:ascii="Book Antiqua" w:hAnsi="Book Antiqua"/>
          <w:strike/>
          <w:sz w:val="24"/>
          <w:szCs w:val="24"/>
        </w:rPr>
        <w:t>esta</w:t>
      </w:r>
      <w:r w:rsidRPr="009853EF">
        <w:rPr>
          <w:rFonts w:ascii="Book Antiqua" w:hAnsi="Book Antiqua"/>
          <w:sz w:val="24"/>
          <w:szCs w:val="24"/>
        </w:rPr>
        <w:t xml:space="preserve"> </w:t>
      </w:r>
      <w:r w:rsidR="004E01B3" w:rsidRPr="004E01B3">
        <w:rPr>
          <w:rFonts w:ascii="Book Antiqua" w:hAnsi="Book Antiqua"/>
          <w:i/>
          <w:iCs/>
          <w:sz w:val="24"/>
          <w:szCs w:val="24"/>
          <w:u w:val="single"/>
        </w:rPr>
        <w:t>dicha</w:t>
      </w:r>
      <w:r w:rsidR="004E01B3">
        <w:rPr>
          <w:rFonts w:ascii="Book Antiqua" w:hAnsi="Book Antiqua"/>
          <w:sz w:val="24"/>
          <w:szCs w:val="24"/>
        </w:rPr>
        <w:t xml:space="preserve"> </w:t>
      </w:r>
      <w:r w:rsidRPr="009853EF">
        <w:rPr>
          <w:rFonts w:ascii="Book Antiqua" w:hAnsi="Book Antiqua"/>
          <w:sz w:val="24"/>
          <w:szCs w:val="24"/>
        </w:rPr>
        <w:t>ley eran evaluados y expedidos o denegados por diversas entidades gubernamentales bajo sus leyes orgánicas o leyes especiales, ahora están a cargo de la Oficina de Gerencia de Permisos</w:t>
      </w:r>
      <w:r w:rsidR="002F1359" w:rsidRPr="009853EF">
        <w:rPr>
          <w:rFonts w:ascii="Book Antiqua" w:hAnsi="Book Antiqua"/>
          <w:sz w:val="24"/>
          <w:szCs w:val="24"/>
          <w:lang w:val="es-PR"/>
        </w:rPr>
        <w:t xml:space="preserve">. </w:t>
      </w:r>
      <w:r w:rsidRPr="009853EF">
        <w:rPr>
          <w:rFonts w:ascii="Book Antiqua" w:hAnsi="Book Antiqua"/>
          <w:sz w:val="24"/>
          <w:szCs w:val="24"/>
        </w:rPr>
        <w:t xml:space="preserve">Asimismo, las entidades gubernamentales </w:t>
      </w:r>
      <w:r w:rsidR="009853EF" w:rsidRPr="009853EF">
        <w:rPr>
          <w:rFonts w:ascii="Book Antiqua" w:hAnsi="Book Antiqua"/>
          <w:sz w:val="24"/>
          <w:szCs w:val="24"/>
        </w:rPr>
        <w:t>regresa</w:t>
      </w:r>
      <w:r w:rsidR="007F1B47" w:rsidRPr="009853EF">
        <w:rPr>
          <w:rFonts w:ascii="Book Antiqua" w:hAnsi="Book Antiqua"/>
          <w:sz w:val="24"/>
          <w:szCs w:val="24"/>
        </w:rPr>
        <w:t>rían</w:t>
      </w:r>
      <w:r w:rsidRPr="009853EF">
        <w:rPr>
          <w:rFonts w:ascii="Book Antiqua" w:hAnsi="Book Antiqua"/>
          <w:sz w:val="24"/>
          <w:szCs w:val="24"/>
        </w:rPr>
        <w:t xml:space="preserve"> </w:t>
      </w:r>
      <w:r w:rsidR="004E01B3" w:rsidRPr="004E01B3">
        <w:rPr>
          <w:rFonts w:ascii="Book Antiqua" w:hAnsi="Book Antiqua"/>
          <w:i/>
          <w:iCs/>
          <w:sz w:val="24"/>
          <w:szCs w:val="24"/>
          <w:u w:val="single"/>
        </w:rPr>
        <w:t>a</w:t>
      </w:r>
      <w:r w:rsidR="004E01B3">
        <w:rPr>
          <w:rFonts w:ascii="Book Antiqua" w:hAnsi="Book Antiqua"/>
          <w:sz w:val="24"/>
          <w:szCs w:val="24"/>
        </w:rPr>
        <w:t xml:space="preserve"> </w:t>
      </w:r>
      <w:r w:rsidRPr="009853EF">
        <w:rPr>
          <w:rFonts w:ascii="Book Antiqua" w:hAnsi="Book Antiqua"/>
          <w:sz w:val="24"/>
          <w:szCs w:val="24"/>
        </w:rPr>
        <w:t xml:space="preserve">su función original: </w:t>
      </w:r>
      <w:r w:rsidRPr="004E01B3">
        <w:rPr>
          <w:rFonts w:ascii="Book Antiqua" w:hAnsi="Book Antiqua"/>
          <w:strike/>
          <w:sz w:val="24"/>
          <w:szCs w:val="24"/>
        </w:rPr>
        <w:t>la de</w:t>
      </w:r>
      <w:r w:rsidRPr="009853EF">
        <w:rPr>
          <w:rFonts w:ascii="Book Antiqua" w:hAnsi="Book Antiqua"/>
          <w:sz w:val="24"/>
          <w:szCs w:val="24"/>
        </w:rPr>
        <w:t xml:space="preserve"> fiscalizar y proteger los importantes intereses que sus leyes orgánicas les delegan. Así, mediante el mecanismo establecido, estas entidades podrán fiscalizar el cumplimiento de los solicitantes con los permisos otorgados y expedir multas, entre otras acciones</w:t>
      </w:r>
      <w:r w:rsidR="003C6B26" w:rsidRPr="009853EF">
        <w:rPr>
          <w:rFonts w:ascii="Book Antiqua" w:hAnsi="Book Antiqua"/>
          <w:bCs/>
          <w:sz w:val="24"/>
          <w:szCs w:val="24"/>
          <w:lang w:val="es-PR"/>
        </w:rPr>
        <w:t>.</w:t>
      </w:r>
    </w:p>
    <w:p w14:paraId="41520F65" w14:textId="77777777" w:rsidR="007F1B47" w:rsidRPr="007F1B47" w:rsidRDefault="008C5CCD" w:rsidP="007F1B47">
      <w:pPr>
        <w:pStyle w:val="BodyText"/>
        <w:tabs>
          <w:tab w:val="left" w:pos="810"/>
        </w:tabs>
        <w:spacing w:after="0" w:line="360" w:lineRule="auto"/>
        <w:rPr>
          <w:rFonts w:ascii="Book Antiqua" w:hAnsi="Book Antiqua"/>
          <w:bCs/>
          <w:lang w:val="es-PR"/>
        </w:rPr>
      </w:pPr>
      <w:r>
        <w:rPr>
          <w:rFonts w:ascii="Book Antiqua" w:hAnsi="Book Antiqua"/>
          <w:bCs/>
          <w:sz w:val="24"/>
          <w:szCs w:val="24"/>
          <w:lang w:val="es-PR"/>
        </w:rPr>
        <w:tab/>
      </w:r>
      <w:r w:rsidR="007F1B47" w:rsidRPr="009853EF">
        <w:rPr>
          <w:rFonts w:ascii="Book Antiqua" w:hAnsi="Book Antiqua"/>
          <w:bCs/>
          <w:sz w:val="24"/>
          <w:szCs w:val="24"/>
          <w:lang w:val="es-PR"/>
        </w:rPr>
        <w:t>Toda vez que la Ley</w:t>
      </w:r>
      <w:r w:rsidR="004E01B3">
        <w:rPr>
          <w:rFonts w:ascii="Book Antiqua" w:hAnsi="Book Antiqua"/>
          <w:bCs/>
          <w:sz w:val="24"/>
          <w:szCs w:val="24"/>
          <w:lang w:val="es-PR"/>
        </w:rPr>
        <w:t xml:space="preserve"> </w:t>
      </w:r>
      <w:r w:rsidR="007F1B47" w:rsidRPr="009853EF">
        <w:rPr>
          <w:rFonts w:ascii="Book Antiqua" w:hAnsi="Book Antiqua"/>
          <w:bCs/>
          <w:sz w:val="24"/>
          <w:szCs w:val="24"/>
          <w:lang w:val="es-PR"/>
        </w:rPr>
        <w:t>161-2009</w:t>
      </w:r>
      <w:r w:rsidR="004E01B3">
        <w:rPr>
          <w:rFonts w:ascii="Book Antiqua" w:hAnsi="Book Antiqua"/>
          <w:bCs/>
          <w:sz w:val="24"/>
          <w:szCs w:val="24"/>
          <w:lang w:val="es-PR"/>
        </w:rPr>
        <w:t xml:space="preserve">, </w:t>
      </w:r>
      <w:r w:rsidR="004E01B3" w:rsidRPr="004E01B3">
        <w:rPr>
          <w:rFonts w:ascii="Book Antiqua" w:hAnsi="Book Antiqua"/>
          <w:bCs/>
          <w:i/>
          <w:iCs/>
          <w:sz w:val="24"/>
          <w:szCs w:val="24"/>
          <w:u w:val="single"/>
          <w:lang w:val="es-PR"/>
        </w:rPr>
        <w:t>supra,</w:t>
      </w:r>
      <w:r w:rsidR="007F1B47" w:rsidRPr="009853EF">
        <w:rPr>
          <w:rFonts w:ascii="Book Antiqua" w:hAnsi="Book Antiqua"/>
          <w:bCs/>
          <w:sz w:val="24"/>
          <w:szCs w:val="24"/>
          <w:lang w:val="es-PR"/>
        </w:rPr>
        <w:t xml:space="preserve"> es una pieza clave en el andamiaje económico de Puerto Rico, es necesario modificarla para que sea verdaderamente ágil y eficiente, con el fin de impulsar el crecimiento económico. Los permisos son herramientas fundamentales para el inicio o la estabilidad de toda actividad económica, ya que permiten la reglamentación ordenada de los procesos de desarrollo empresarial, privado y de obra pública</w:t>
      </w:r>
      <w:r w:rsidR="007F1B47" w:rsidRPr="009853EF">
        <w:rPr>
          <w:rFonts w:ascii="Book Antiqua" w:hAnsi="Book Antiqua"/>
          <w:bCs/>
          <w:lang w:val="es-PR"/>
        </w:rPr>
        <w:t>.</w:t>
      </w:r>
    </w:p>
    <w:p w14:paraId="04255A2E" w14:textId="77777777" w:rsidR="00387E31" w:rsidRPr="002B02A6" w:rsidRDefault="002F1359" w:rsidP="002A0EA5">
      <w:pPr>
        <w:pStyle w:val="BodyText"/>
        <w:tabs>
          <w:tab w:val="left" w:pos="810"/>
        </w:tabs>
        <w:spacing w:after="0" w:line="360" w:lineRule="auto"/>
        <w:rPr>
          <w:rFonts w:ascii="Book Antiqua" w:hAnsi="Book Antiqua"/>
          <w:sz w:val="24"/>
          <w:szCs w:val="24"/>
          <w:lang w:val="es-PR"/>
        </w:rPr>
      </w:pPr>
      <w:r w:rsidRPr="002B02A6">
        <w:rPr>
          <w:rFonts w:ascii="Book Antiqua" w:hAnsi="Book Antiqua"/>
          <w:sz w:val="24"/>
          <w:szCs w:val="24"/>
          <w:lang w:val="es-PR"/>
        </w:rPr>
        <w:tab/>
        <w:t xml:space="preserve">Por otro lado, la Constitución del Gobierno de Puerto Rico establece como política pública “la más eficaz conservación de los recursos naturales, así como el mayor aprovechamiento de </w:t>
      </w:r>
      <w:r w:rsidR="00117F1A" w:rsidRPr="002B02A6">
        <w:rPr>
          <w:rFonts w:ascii="Book Antiqua" w:hAnsi="Book Antiqua"/>
          <w:sz w:val="24"/>
          <w:szCs w:val="24"/>
          <w:lang w:val="es-PR"/>
        </w:rPr>
        <w:t>estos</w:t>
      </w:r>
      <w:r w:rsidRPr="002B02A6">
        <w:rPr>
          <w:rFonts w:ascii="Book Antiqua" w:hAnsi="Book Antiqua"/>
          <w:sz w:val="24"/>
          <w:szCs w:val="24"/>
          <w:lang w:val="es-PR"/>
        </w:rPr>
        <w:t xml:space="preserve"> para el beneficio general de la comunidad...”. </w:t>
      </w:r>
      <w:r w:rsidRPr="002A0EA5">
        <w:rPr>
          <w:rFonts w:ascii="Book Antiqua" w:hAnsi="Book Antiqua"/>
          <w:sz w:val="24"/>
          <w:szCs w:val="24"/>
          <w:lang w:val="en-US"/>
        </w:rPr>
        <w:t xml:space="preserve">Art. VI, Sec. 19, Const. </w:t>
      </w:r>
      <w:r w:rsidRPr="004E01B3">
        <w:rPr>
          <w:rFonts w:ascii="Book Antiqua" w:hAnsi="Book Antiqua"/>
          <w:strike/>
          <w:sz w:val="24"/>
          <w:szCs w:val="24"/>
          <w:lang w:val="en-US"/>
        </w:rPr>
        <w:t>E.L.A.</w:t>
      </w:r>
      <w:r w:rsidR="004E01B3">
        <w:rPr>
          <w:rFonts w:ascii="Book Antiqua" w:hAnsi="Book Antiqua"/>
          <w:sz w:val="24"/>
          <w:szCs w:val="24"/>
          <w:lang w:val="en-US"/>
        </w:rPr>
        <w:t xml:space="preserve"> </w:t>
      </w:r>
      <w:r w:rsidR="004E01B3" w:rsidRPr="004E01B3">
        <w:rPr>
          <w:rFonts w:ascii="Book Antiqua" w:hAnsi="Book Antiqua"/>
          <w:i/>
          <w:iCs/>
          <w:sz w:val="24"/>
          <w:szCs w:val="24"/>
          <w:u w:val="single"/>
          <w:lang w:val="en-US"/>
        </w:rPr>
        <w:t>PR</w:t>
      </w:r>
      <w:r w:rsidRPr="002A0EA5">
        <w:rPr>
          <w:rFonts w:ascii="Book Antiqua" w:hAnsi="Book Antiqua"/>
          <w:sz w:val="24"/>
          <w:szCs w:val="24"/>
          <w:lang w:val="en-US"/>
        </w:rPr>
        <w:t xml:space="preserve">, L.P.R.A. Tomo 1. </w:t>
      </w:r>
      <w:r w:rsidRPr="002B02A6">
        <w:rPr>
          <w:rFonts w:ascii="Book Antiqua" w:hAnsi="Book Antiqua"/>
          <w:sz w:val="24"/>
          <w:szCs w:val="24"/>
          <w:lang w:val="es-PR"/>
        </w:rPr>
        <w:t xml:space="preserve">La Asamblea Legislativa, ha reiterado su </w:t>
      </w:r>
      <w:r w:rsidRPr="002B02A6">
        <w:rPr>
          <w:rFonts w:ascii="Book Antiqua" w:hAnsi="Book Antiqua"/>
          <w:sz w:val="24"/>
          <w:szCs w:val="24"/>
          <w:lang w:val="es-PR"/>
        </w:rPr>
        <w:lastRenderedPageBreak/>
        <w:t>compromiso con la conservación de los recursos naturales mediante la aprobación de la Ley Orgánica del Departamento de Recursos Naturales y Ambientales, Ley Núm. 23 del 20 de junio de 1972,</w:t>
      </w:r>
      <w:r w:rsidR="004E01B3">
        <w:rPr>
          <w:rFonts w:ascii="Book Antiqua" w:hAnsi="Book Antiqua"/>
          <w:sz w:val="24"/>
          <w:szCs w:val="24"/>
          <w:lang w:val="es-PR"/>
        </w:rPr>
        <w:t xml:space="preserve"> </w:t>
      </w:r>
      <w:r w:rsidR="004E01B3" w:rsidRPr="004E01B3">
        <w:rPr>
          <w:rFonts w:ascii="Book Antiqua" w:hAnsi="Book Antiqua"/>
          <w:i/>
          <w:iCs/>
          <w:sz w:val="24"/>
          <w:szCs w:val="24"/>
          <w:u w:val="single"/>
          <w:lang w:val="es-PR"/>
        </w:rPr>
        <w:t>según enmendada</w:t>
      </w:r>
      <w:r w:rsidR="004E01B3">
        <w:rPr>
          <w:rFonts w:ascii="Book Antiqua" w:hAnsi="Book Antiqua"/>
          <w:sz w:val="24"/>
          <w:szCs w:val="24"/>
          <w:lang w:val="es-PR"/>
        </w:rPr>
        <w:t>,</w:t>
      </w:r>
      <w:r w:rsidRPr="002B02A6">
        <w:rPr>
          <w:rFonts w:ascii="Book Antiqua" w:hAnsi="Book Antiqua"/>
          <w:sz w:val="24"/>
          <w:szCs w:val="24"/>
          <w:lang w:val="es-PR"/>
        </w:rPr>
        <w:t xml:space="preserve"> 3 L.P.R.A. § 151 </w:t>
      </w:r>
      <w:r w:rsidRPr="002B02A6">
        <w:rPr>
          <w:rFonts w:ascii="Book Antiqua" w:hAnsi="Book Antiqua"/>
          <w:i/>
          <w:iCs/>
          <w:sz w:val="24"/>
          <w:szCs w:val="24"/>
          <w:lang w:val="es-PR"/>
        </w:rPr>
        <w:t>et seq</w:t>
      </w:r>
      <w:r w:rsidRPr="002B02A6">
        <w:rPr>
          <w:rFonts w:ascii="Book Antiqua" w:hAnsi="Book Antiqua"/>
          <w:sz w:val="24"/>
          <w:szCs w:val="24"/>
          <w:lang w:val="es-PR"/>
        </w:rPr>
        <w:t xml:space="preserve">. </w:t>
      </w:r>
      <w:r w:rsidR="007F1B47" w:rsidRPr="007F1B47">
        <w:rPr>
          <w:rFonts w:ascii="Book Antiqua" w:hAnsi="Book Antiqua"/>
          <w:sz w:val="24"/>
          <w:szCs w:val="24"/>
        </w:rPr>
        <w:t xml:space="preserve">Dicha ley impone al Departamento de Recursos Naturales y Ambientales (DRNA) la responsabilidad de implementar, en la fase operacional, la política pública ambiental establecida en la Constitución de Puerto Rico. Además, </w:t>
      </w:r>
      <w:r w:rsidR="007F1B47">
        <w:rPr>
          <w:rFonts w:ascii="Book Antiqua" w:hAnsi="Book Antiqua"/>
          <w:sz w:val="24"/>
          <w:szCs w:val="24"/>
        </w:rPr>
        <w:t>confirió</w:t>
      </w:r>
      <w:r w:rsidR="007F1B47" w:rsidRPr="007F1B47">
        <w:rPr>
          <w:rFonts w:ascii="Book Antiqua" w:hAnsi="Book Antiqua"/>
          <w:sz w:val="24"/>
          <w:szCs w:val="24"/>
        </w:rPr>
        <w:t xml:space="preserve"> al </w:t>
      </w:r>
      <w:proofErr w:type="gramStart"/>
      <w:r w:rsidR="007F1B47" w:rsidRPr="007F1B47">
        <w:rPr>
          <w:rFonts w:ascii="Book Antiqua" w:hAnsi="Book Antiqua"/>
          <w:sz w:val="24"/>
          <w:szCs w:val="24"/>
        </w:rPr>
        <w:t>Secretario</w:t>
      </w:r>
      <w:proofErr w:type="gramEnd"/>
      <w:r w:rsidR="007F1B47" w:rsidRPr="007F1B47">
        <w:rPr>
          <w:rFonts w:ascii="Book Antiqua" w:hAnsi="Book Antiqua"/>
          <w:sz w:val="24"/>
          <w:szCs w:val="24"/>
        </w:rPr>
        <w:t xml:space="preserve"> del DRNA la facultad de aprobar la reglamentación necesaria para cumplir con los objetivos de la ley, sin perjudicar los derechos de propiedad garantizados por nuestra Constitución</w:t>
      </w:r>
      <w:r w:rsidRPr="002B02A6">
        <w:rPr>
          <w:rFonts w:ascii="Book Antiqua" w:hAnsi="Book Antiqua"/>
          <w:sz w:val="24"/>
          <w:szCs w:val="24"/>
          <w:lang w:val="es-PR"/>
        </w:rPr>
        <w:t xml:space="preserve">. </w:t>
      </w:r>
    </w:p>
    <w:p w14:paraId="28014AF0" w14:textId="77777777" w:rsidR="00FC5025" w:rsidRPr="008C5CCD" w:rsidRDefault="002F1359" w:rsidP="002A0EA5">
      <w:pPr>
        <w:pStyle w:val="BodyText"/>
        <w:tabs>
          <w:tab w:val="left" w:pos="810"/>
        </w:tabs>
        <w:spacing w:after="0" w:line="360" w:lineRule="auto"/>
        <w:rPr>
          <w:rFonts w:ascii="Book Antiqua" w:hAnsi="Book Antiqua"/>
          <w:sz w:val="24"/>
          <w:szCs w:val="24"/>
          <w:lang w:val="es-PR"/>
        </w:rPr>
      </w:pPr>
      <w:r w:rsidRPr="002B02A6">
        <w:rPr>
          <w:rFonts w:ascii="Book Antiqua" w:hAnsi="Book Antiqua"/>
          <w:sz w:val="24"/>
          <w:szCs w:val="24"/>
          <w:lang w:val="es-PR"/>
        </w:rPr>
        <w:tab/>
      </w:r>
      <w:r w:rsidRPr="002B02A6">
        <w:rPr>
          <w:rFonts w:ascii="Book Antiqua" w:eastAsia="Book Antiqua" w:hAnsi="Book Antiqua" w:cs="Book Antiqua"/>
          <w:sz w:val="24"/>
          <w:szCs w:val="24"/>
          <w:lang w:val="es-PR"/>
        </w:rPr>
        <w:t>Lo que se pretende con esta legislación es enmendar la Ley</w:t>
      </w:r>
      <w:r w:rsidR="004E01B3">
        <w:rPr>
          <w:rFonts w:ascii="Book Antiqua" w:eastAsia="Book Antiqua" w:hAnsi="Book Antiqua" w:cs="Book Antiqua"/>
          <w:sz w:val="24"/>
          <w:szCs w:val="24"/>
          <w:lang w:val="es-PR"/>
        </w:rPr>
        <w:t xml:space="preserve"> </w:t>
      </w:r>
      <w:r w:rsidRPr="002B02A6">
        <w:rPr>
          <w:rFonts w:ascii="Book Antiqua" w:eastAsia="Book Antiqua" w:hAnsi="Book Antiqua" w:cs="Book Antiqua"/>
          <w:sz w:val="24"/>
          <w:szCs w:val="24"/>
          <w:lang w:val="es-PR"/>
        </w:rPr>
        <w:t xml:space="preserve">161-2009, </w:t>
      </w:r>
      <w:r w:rsidRPr="00146F17">
        <w:rPr>
          <w:rFonts w:ascii="Book Antiqua" w:eastAsia="Book Antiqua" w:hAnsi="Book Antiqua" w:cs="Book Antiqua"/>
          <w:i/>
          <w:iCs/>
          <w:sz w:val="24"/>
          <w:szCs w:val="24"/>
          <w:u w:val="single"/>
          <w:lang w:val="es-PR"/>
        </w:rPr>
        <w:t>supra</w:t>
      </w:r>
      <w:r w:rsidRPr="002B02A6">
        <w:rPr>
          <w:rFonts w:ascii="Book Antiqua" w:eastAsia="Book Antiqua" w:hAnsi="Book Antiqua" w:cs="Book Antiqua"/>
          <w:sz w:val="24"/>
          <w:szCs w:val="24"/>
          <w:lang w:val="es-PR"/>
        </w:rPr>
        <w:t xml:space="preserve">, y la Ley </w:t>
      </w:r>
      <w:r w:rsidR="00387E31" w:rsidRPr="002B02A6">
        <w:rPr>
          <w:rFonts w:ascii="Book Antiqua" w:hAnsi="Book Antiqua"/>
          <w:sz w:val="24"/>
          <w:szCs w:val="24"/>
          <w:lang w:val="es-PR"/>
        </w:rPr>
        <w:t>Núm. 23 del 20 de junio de 1972</w:t>
      </w:r>
      <w:r w:rsidR="000853E4">
        <w:rPr>
          <w:rFonts w:ascii="Book Antiqua" w:hAnsi="Book Antiqua"/>
          <w:sz w:val="24"/>
          <w:szCs w:val="24"/>
          <w:lang w:val="es-PR"/>
        </w:rPr>
        <w:t xml:space="preserve">, </w:t>
      </w:r>
      <w:r w:rsidR="000853E4" w:rsidRPr="00146F17">
        <w:rPr>
          <w:rFonts w:ascii="Book Antiqua" w:hAnsi="Book Antiqua"/>
          <w:i/>
          <w:iCs/>
          <w:sz w:val="24"/>
          <w:szCs w:val="24"/>
          <w:u w:val="single"/>
          <w:lang w:val="es-PR"/>
        </w:rPr>
        <w:t>supra</w:t>
      </w:r>
      <w:r w:rsidR="000853E4">
        <w:rPr>
          <w:rFonts w:ascii="Book Antiqua" w:hAnsi="Book Antiqua"/>
          <w:sz w:val="24"/>
          <w:szCs w:val="24"/>
          <w:lang w:val="es-PR"/>
        </w:rPr>
        <w:t>,</w:t>
      </w:r>
      <w:r w:rsidRPr="002B02A6">
        <w:rPr>
          <w:rFonts w:ascii="Book Antiqua" w:eastAsia="Book Antiqua" w:hAnsi="Book Antiqua" w:cs="Book Antiqua"/>
          <w:sz w:val="24"/>
          <w:szCs w:val="24"/>
          <w:lang w:val="es-PR"/>
        </w:rPr>
        <w:t xml:space="preserve"> para cumplir con la política </w:t>
      </w:r>
      <w:r w:rsidR="00387E31" w:rsidRPr="002B02A6">
        <w:rPr>
          <w:rFonts w:ascii="Book Antiqua" w:eastAsia="Book Antiqua" w:hAnsi="Book Antiqua" w:cs="Book Antiqua"/>
          <w:sz w:val="24"/>
          <w:szCs w:val="24"/>
          <w:lang w:val="es-PR"/>
        </w:rPr>
        <w:t>pública</w:t>
      </w:r>
      <w:r w:rsidRPr="002B02A6">
        <w:rPr>
          <w:rFonts w:ascii="Book Antiqua" w:eastAsia="Book Antiqua" w:hAnsi="Book Antiqua" w:cs="Book Antiqua"/>
          <w:sz w:val="24"/>
          <w:szCs w:val="24"/>
          <w:lang w:val="es-PR"/>
        </w:rPr>
        <w:t xml:space="preserve"> establecida de </w:t>
      </w:r>
      <w:r w:rsidRPr="002B02A6">
        <w:rPr>
          <w:rFonts w:ascii="Book Antiqua" w:hAnsi="Book Antiqua" w:cs="Arial"/>
          <w:sz w:val="24"/>
          <w:szCs w:val="24"/>
          <w:lang w:val="es-PR"/>
        </w:rPr>
        <w:t>unificar y centralizar en una sola agencia el proceso de concesión o denegación de permisos</w:t>
      </w:r>
      <w:r w:rsidR="00387E31" w:rsidRPr="002B02A6">
        <w:rPr>
          <w:rFonts w:ascii="Book Antiqua" w:hAnsi="Book Antiqua" w:cs="Arial"/>
          <w:sz w:val="24"/>
          <w:szCs w:val="24"/>
          <w:lang w:val="es-PR"/>
        </w:rPr>
        <w:t xml:space="preserve">. </w:t>
      </w:r>
    </w:p>
    <w:p w14:paraId="54A4A3D1" w14:textId="77777777" w:rsidR="00603740" w:rsidRPr="002B02A6" w:rsidRDefault="00517134" w:rsidP="00D91F00">
      <w:pPr>
        <w:spacing w:line="480" w:lineRule="auto"/>
        <w:rPr>
          <w:rFonts w:ascii="Book Antiqua" w:eastAsia="Times New Roman" w:hAnsi="Book Antiqua"/>
          <w:b/>
          <w:bCs/>
          <w:sz w:val="24"/>
          <w:szCs w:val="24"/>
        </w:rPr>
        <w:sectPr w:rsidR="00603740" w:rsidRPr="002B02A6" w:rsidSect="0004665F">
          <w:headerReference w:type="default" r:id="rId13"/>
          <w:pgSz w:w="12240" w:h="15840" w:code="1"/>
          <w:pgMar w:top="1152" w:right="1440" w:bottom="1152" w:left="1440" w:header="576" w:footer="720" w:gutter="0"/>
          <w:cols w:space="720"/>
          <w:titlePg/>
          <w:docGrid w:linePitch="360"/>
        </w:sectPr>
      </w:pPr>
      <w:r w:rsidRPr="002B02A6">
        <w:rPr>
          <w:rFonts w:ascii="Book Antiqua" w:hAnsi="Book Antiqua"/>
          <w:b/>
          <w:bCs/>
          <w:i/>
          <w:sz w:val="24"/>
          <w:szCs w:val="24"/>
          <w:lang w:val="es-CR"/>
        </w:rPr>
        <w:t>DECR</w:t>
      </w:r>
      <w:r w:rsidR="00A80B49" w:rsidRPr="002B02A6">
        <w:rPr>
          <w:rFonts w:ascii="Book Antiqua" w:hAnsi="Book Antiqua"/>
          <w:b/>
          <w:bCs/>
          <w:i/>
          <w:sz w:val="24"/>
          <w:szCs w:val="24"/>
          <w:lang w:val="es-CR"/>
        </w:rPr>
        <w:t>É</w:t>
      </w:r>
      <w:r w:rsidRPr="002B02A6">
        <w:rPr>
          <w:rFonts w:ascii="Book Antiqua" w:hAnsi="Book Antiqua"/>
          <w:b/>
          <w:bCs/>
          <w:i/>
          <w:sz w:val="24"/>
          <w:szCs w:val="24"/>
          <w:lang w:val="es-CR"/>
        </w:rPr>
        <w:t>TASE POR LA ASAMBLEA LEGISLATIVA DE PUERTO RICO:</w:t>
      </w:r>
      <w:r w:rsidR="00E55A17" w:rsidRPr="002B02A6">
        <w:rPr>
          <w:rFonts w:ascii="Book Antiqua" w:eastAsia="Times New Roman" w:hAnsi="Book Antiqua"/>
          <w:b/>
          <w:bCs/>
          <w:sz w:val="24"/>
          <w:szCs w:val="24"/>
        </w:rPr>
        <w:t> </w:t>
      </w:r>
      <w:r w:rsidR="00D91F00" w:rsidRPr="002B02A6">
        <w:rPr>
          <w:rFonts w:ascii="Book Antiqua" w:eastAsia="Times New Roman" w:hAnsi="Book Antiqua"/>
          <w:b/>
          <w:bCs/>
          <w:sz w:val="24"/>
          <w:szCs w:val="24"/>
        </w:rPr>
        <w:tab/>
      </w:r>
    </w:p>
    <w:p w14:paraId="4B2D5F78" w14:textId="77777777" w:rsidR="00387E31" w:rsidRPr="002B02A6" w:rsidRDefault="00D930B9" w:rsidP="00387E31">
      <w:pPr>
        <w:widowControl w:val="0"/>
        <w:spacing w:line="480" w:lineRule="auto"/>
        <w:ind w:firstLine="720"/>
        <w:rPr>
          <w:rFonts w:ascii="Book Antiqua" w:eastAsia="Times New Roman" w:hAnsi="Book Antiqua"/>
          <w:sz w:val="24"/>
          <w:szCs w:val="24"/>
        </w:rPr>
      </w:pPr>
      <w:r>
        <w:rPr>
          <w:rFonts w:ascii="Book Antiqua" w:hAnsi="Book Antiqua"/>
          <w:sz w:val="24"/>
          <w:szCs w:val="24"/>
          <w:lang w:val="es-ES_tradnl"/>
        </w:rPr>
        <w:t>Sección</w:t>
      </w:r>
      <w:r w:rsidR="00E556F8" w:rsidRPr="002B02A6">
        <w:rPr>
          <w:rFonts w:ascii="Book Antiqua" w:hAnsi="Book Antiqua"/>
          <w:sz w:val="24"/>
          <w:szCs w:val="24"/>
          <w:lang w:val="es-ES_tradnl"/>
        </w:rPr>
        <w:t xml:space="preserve"> </w:t>
      </w:r>
      <w:r w:rsidR="00103C5B" w:rsidRPr="002B02A6">
        <w:rPr>
          <w:rFonts w:ascii="Book Antiqua" w:hAnsi="Book Antiqua"/>
          <w:sz w:val="24"/>
          <w:szCs w:val="24"/>
          <w:lang w:val="es-ES_tradnl"/>
        </w:rPr>
        <w:t>1.</w:t>
      </w:r>
      <w:r w:rsidR="00D967A1" w:rsidRPr="002B02A6">
        <w:rPr>
          <w:rFonts w:ascii="Book Antiqua" w:eastAsia="Times New Roman" w:hAnsi="Book Antiqua"/>
          <w:sz w:val="24"/>
          <w:szCs w:val="24"/>
        </w:rPr>
        <w:t xml:space="preserve">- </w:t>
      </w:r>
      <w:r w:rsidR="00387E31" w:rsidRPr="002B02A6">
        <w:rPr>
          <w:rFonts w:ascii="Book Antiqua" w:eastAsia="Times New Roman" w:hAnsi="Book Antiqua"/>
          <w:sz w:val="24"/>
          <w:szCs w:val="24"/>
        </w:rPr>
        <w:t>Se enmienda el Artículo 8.</w:t>
      </w:r>
      <w:r w:rsidR="00D967A1" w:rsidRPr="002B02A6">
        <w:rPr>
          <w:rFonts w:ascii="Book Antiqua" w:eastAsia="Times New Roman" w:hAnsi="Book Antiqua"/>
          <w:sz w:val="24"/>
          <w:szCs w:val="24"/>
        </w:rPr>
        <w:t xml:space="preserve">4 </w:t>
      </w:r>
      <w:r w:rsidR="00387E31" w:rsidRPr="002B02A6">
        <w:rPr>
          <w:rFonts w:ascii="Book Antiqua" w:eastAsia="Times New Roman" w:hAnsi="Book Antiqua"/>
          <w:sz w:val="24"/>
          <w:szCs w:val="24"/>
        </w:rPr>
        <w:t>de la Ley</w:t>
      </w:r>
      <w:r w:rsidR="004E01B3">
        <w:rPr>
          <w:rFonts w:ascii="Book Antiqua" w:eastAsia="Times New Roman" w:hAnsi="Book Antiqua"/>
          <w:sz w:val="24"/>
          <w:szCs w:val="24"/>
        </w:rPr>
        <w:t xml:space="preserve"> </w:t>
      </w:r>
      <w:r w:rsidR="00387E31" w:rsidRPr="002B02A6">
        <w:rPr>
          <w:rFonts w:ascii="Book Antiqua" w:eastAsia="Times New Roman" w:hAnsi="Book Antiqua"/>
          <w:sz w:val="24"/>
          <w:szCs w:val="24"/>
        </w:rPr>
        <w:t xml:space="preserve">161-2009, según enmendada, conocida como “Ley para la </w:t>
      </w:r>
      <w:proofErr w:type="spellStart"/>
      <w:r w:rsidR="00387E31" w:rsidRPr="004E01B3">
        <w:rPr>
          <w:rFonts w:ascii="Book Antiqua" w:eastAsia="Times New Roman" w:hAnsi="Book Antiqua"/>
          <w:strike/>
          <w:sz w:val="24"/>
          <w:szCs w:val="24"/>
        </w:rPr>
        <w:t>r</w:t>
      </w:r>
      <w:r w:rsidR="004E01B3" w:rsidRPr="004E01B3">
        <w:rPr>
          <w:rFonts w:ascii="Book Antiqua" w:eastAsia="Times New Roman" w:hAnsi="Book Antiqua"/>
          <w:i/>
          <w:iCs/>
          <w:sz w:val="24"/>
          <w:szCs w:val="24"/>
          <w:u w:val="single"/>
        </w:rPr>
        <w:t>R</w:t>
      </w:r>
      <w:r w:rsidR="00387E31" w:rsidRPr="002B02A6">
        <w:rPr>
          <w:rFonts w:ascii="Book Antiqua" w:eastAsia="Times New Roman" w:hAnsi="Book Antiqua"/>
          <w:sz w:val="24"/>
          <w:szCs w:val="24"/>
        </w:rPr>
        <w:t>eforma</w:t>
      </w:r>
      <w:proofErr w:type="spellEnd"/>
      <w:r w:rsidR="00387E31" w:rsidRPr="002B02A6">
        <w:rPr>
          <w:rFonts w:ascii="Book Antiqua" w:eastAsia="Times New Roman" w:hAnsi="Book Antiqua"/>
          <w:sz w:val="24"/>
          <w:szCs w:val="24"/>
        </w:rPr>
        <w:t xml:space="preserve"> del </w:t>
      </w:r>
      <w:proofErr w:type="spellStart"/>
      <w:r w:rsidR="00387E31" w:rsidRPr="004E01B3">
        <w:rPr>
          <w:rFonts w:ascii="Book Antiqua" w:eastAsia="Times New Roman" w:hAnsi="Book Antiqua"/>
          <w:strike/>
          <w:sz w:val="24"/>
          <w:szCs w:val="24"/>
        </w:rPr>
        <w:t>p</w:t>
      </w:r>
      <w:r w:rsidR="004E01B3" w:rsidRPr="004E01B3">
        <w:rPr>
          <w:rFonts w:ascii="Book Antiqua" w:eastAsia="Times New Roman" w:hAnsi="Book Antiqua"/>
          <w:i/>
          <w:iCs/>
          <w:sz w:val="24"/>
          <w:szCs w:val="24"/>
          <w:u w:val="single"/>
        </w:rPr>
        <w:t>P</w:t>
      </w:r>
      <w:r w:rsidR="00387E31" w:rsidRPr="002B02A6">
        <w:rPr>
          <w:rFonts w:ascii="Book Antiqua" w:eastAsia="Times New Roman" w:hAnsi="Book Antiqua"/>
          <w:sz w:val="24"/>
          <w:szCs w:val="24"/>
        </w:rPr>
        <w:t>roceso</w:t>
      </w:r>
      <w:proofErr w:type="spellEnd"/>
      <w:r w:rsidR="00387E31" w:rsidRPr="002B02A6">
        <w:rPr>
          <w:rFonts w:ascii="Book Antiqua" w:eastAsia="Times New Roman" w:hAnsi="Book Antiqua"/>
          <w:sz w:val="24"/>
          <w:szCs w:val="24"/>
        </w:rPr>
        <w:t xml:space="preserve"> de </w:t>
      </w:r>
      <w:proofErr w:type="spellStart"/>
      <w:r w:rsidR="00387E31" w:rsidRPr="004E01B3">
        <w:rPr>
          <w:rFonts w:ascii="Book Antiqua" w:eastAsia="Times New Roman" w:hAnsi="Book Antiqua"/>
          <w:strike/>
          <w:sz w:val="24"/>
          <w:szCs w:val="24"/>
        </w:rPr>
        <w:t>p</w:t>
      </w:r>
      <w:r w:rsidR="004E01B3" w:rsidRPr="004E01B3">
        <w:rPr>
          <w:rFonts w:ascii="Book Antiqua" w:eastAsia="Times New Roman" w:hAnsi="Book Antiqua"/>
          <w:i/>
          <w:iCs/>
          <w:sz w:val="24"/>
          <w:szCs w:val="24"/>
          <w:u w:val="single"/>
        </w:rPr>
        <w:t>P</w:t>
      </w:r>
      <w:r w:rsidR="00387E31" w:rsidRPr="002B02A6">
        <w:rPr>
          <w:rFonts w:ascii="Book Antiqua" w:eastAsia="Times New Roman" w:hAnsi="Book Antiqua"/>
          <w:sz w:val="24"/>
          <w:szCs w:val="24"/>
        </w:rPr>
        <w:t>ermisos</w:t>
      </w:r>
      <w:proofErr w:type="spellEnd"/>
      <w:r w:rsidR="00387E31" w:rsidRPr="002B02A6">
        <w:rPr>
          <w:rFonts w:ascii="Book Antiqua" w:eastAsia="Times New Roman" w:hAnsi="Book Antiqua"/>
          <w:sz w:val="24"/>
          <w:szCs w:val="24"/>
        </w:rPr>
        <w:t>”, para que lea como sigue:</w:t>
      </w:r>
    </w:p>
    <w:p w14:paraId="26B45091" w14:textId="77777777" w:rsidR="00387E31" w:rsidRPr="002B02A6" w:rsidRDefault="004E01B3" w:rsidP="00387E31">
      <w:pPr>
        <w:spacing w:line="480" w:lineRule="auto"/>
        <w:ind w:left="720"/>
        <w:rPr>
          <w:rFonts w:ascii="Book Antiqua" w:hAnsi="Book Antiqua" w:cs="Arial"/>
          <w:sz w:val="24"/>
          <w:szCs w:val="24"/>
          <w:lang w:val="es-PR"/>
        </w:rPr>
      </w:pPr>
      <w:r w:rsidRPr="004E01B3">
        <w:rPr>
          <w:rFonts w:ascii="Book Antiqua" w:hAnsi="Book Antiqua" w:cs="Arial"/>
          <w:i/>
          <w:iCs/>
          <w:sz w:val="24"/>
          <w:szCs w:val="24"/>
          <w:u w:val="single"/>
          <w:lang w:val="es-PR"/>
        </w:rPr>
        <w:t>“</w:t>
      </w:r>
      <w:r w:rsidR="00387E31" w:rsidRPr="002B02A6">
        <w:rPr>
          <w:rFonts w:ascii="Book Antiqua" w:hAnsi="Book Antiqua" w:cs="Arial"/>
          <w:sz w:val="24"/>
          <w:szCs w:val="24"/>
          <w:lang w:val="es-PR"/>
        </w:rPr>
        <w:t xml:space="preserve">Artículo 8.4. — Evaluación de las solicitudes de recomendaciones, consultas y permisos (23 L.P.R.A. § 9018c) </w:t>
      </w:r>
    </w:p>
    <w:p w14:paraId="6E839993" w14:textId="77777777" w:rsidR="00387E31" w:rsidRPr="002B02A6" w:rsidRDefault="00387E31" w:rsidP="00387E31">
      <w:pPr>
        <w:spacing w:line="480" w:lineRule="auto"/>
        <w:ind w:firstLine="720"/>
        <w:rPr>
          <w:rFonts w:ascii="Book Antiqua" w:hAnsi="Book Antiqua" w:cs="Arial"/>
          <w:sz w:val="24"/>
          <w:szCs w:val="24"/>
          <w:lang w:val="es-PR"/>
        </w:rPr>
      </w:pPr>
      <w:r w:rsidRPr="002B02A6">
        <w:rPr>
          <w:rFonts w:ascii="Book Antiqua" w:hAnsi="Book Antiqua" w:cs="Arial"/>
          <w:sz w:val="24"/>
          <w:szCs w:val="24"/>
          <w:lang w:val="es-PR"/>
        </w:rPr>
        <w:t xml:space="preserve">(a) Recomendaciones </w:t>
      </w:r>
    </w:p>
    <w:p w14:paraId="49A78082" w14:textId="77777777" w:rsidR="00387E31" w:rsidRPr="00D46E16" w:rsidRDefault="00387E31" w:rsidP="00387E31">
      <w:pPr>
        <w:spacing w:line="480" w:lineRule="auto"/>
        <w:ind w:left="720"/>
        <w:rPr>
          <w:rFonts w:ascii="Book Antiqua" w:hAnsi="Book Antiqua" w:cs="Arial"/>
          <w:i/>
          <w:iCs/>
          <w:sz w:val="24"/>
          <w:szCs w:val="24"/>
          <w:u w:val="single"/>
          <w:lang w:val="es-PR"/>
        </w:rPr>
      </w:pPr>
      <w:r w:rsidRPr="002B02A6">
        <w:rPr>
          <w:rFonts w:ascii="Book Antiqua" w:hAnsi="Book Antiqua" w:cs="Arial"/>
          <w:sz w:val="24"/>
          <w:szCs w:val="24"/>
          <w:lang w:val="es-PR"/>
        </w:rPr>
        <w:t xml:space="preserve">Previo a la presentación de toda solicitud de consulta o permiso, deberán solicitarse y obtenerse las recomendaciones, según se establezca en el Reglamento Conjunto de Permisos de conformidad con lo dispuesto en esta ley. En dicho reglamento se fijará el término para la expedición de las recomendaciones, el cual no será mayor de quince (15) días naturales para proyectos ministeriales, ni de treinta (30) días naturales para proyectos discrecionales, excepto en los casos donde se propongan proyectos a ser ubicados </w:t>
      </w:r>
      <w:r w:rsidRPr="002B02A6">
        <w:rPr>
          <w:rFonts w:ascii="Book Antiqua" w:hAnsi="Book Antiqua" w:cs="Arial"/>
          <w:sz w:val="24"/>
          <w:szCs w:val="24"/>
          <w:lang w:val="es-PR"/>
        </w:rPr>
        <w:lastRenderedPageBreak/>
        <w:t>en áreas ecológicamente sensitivas, en los cuales el término para que se emitan las recomendaciones relacionadas a los recursos naturales será de cuarenta y cinco (45) días naturales, permitiéndose una extensión a dicho término de quince (15) días naturales adicionales, según las condiciones que se establezcan en el Reglamento Conjunto de Permisos</w:t>
      </w:r>
      <w:r w:rsidRPr="002B02A6">
        <w:rPr>
          <w:rFonts w:ascii="Book Antiqua" w:hAnsi="Book Antiqua" w:cs="Arial"/>
          <w:b/>
          <w:bCs/>
          <w:sz w:val="24"/>
          <w:szCs w:val="24"/>
          <w:lang w:val="es-PR"/>
        </w:rPr>
        <w:t xml:space="preserve">. </w:t>
      </w:r>
      <w:r w:rsidRPr="002B02A6">
        <w:rPr>
          <w:rFonts w:ascii="Book Antiqua" w:hAnsi="Book Antiqua" w:cs="Arial"/>
          <w:sz w:val="24"/>
          <w:szCs w:val="24"/>
          <w:lang w:val="es-PR"/>
        </w:rPr>
        <w:t xml:space="preserve">La solicitud de recomendación que sea presentada ante cualquier agencia o municipio equivaldrá a cualquier notificación que por ley o reglamento se requiera a los mismos. Si un municipio, </w:t>
      </w:r>
      <w:r w:rsidRPr="002B02A6">
        <w:rPr>
          <w:rFonts w:ascii="Book Antiqua" w:hAnsi="Book Antiqua" w:cs="Arial"/>
          <w:i/>
          <w:iCs/>
          <w:sz w:val="24"/>
          <w:szCs w:val="24"/>
          <w:lang w:val="es-PR"/>
        </w:rPr>
        <w:t>agencia o entidad gubernamental</w:t>
      </w:r>
      <w:r w:rsidRPr="002B02A6">
        <w:rPr>
          <w:rFonts w:ascii="Book Antiqua" w:hAnsi="Book Antiqua" w:cs="Arial"/>
          <w:sz w:val="24"/>
          <w:szCs w:val="24"/>
          <w:lang w:val="es-PR"/>
        </w:rPr>
        <w:t xml:space="preserve"> no emitiere sus recomendaciones dentro de los términos aquí establecidos, se entenderá que no tiene recomendaciones ni objeciones al proyecto propuesto. </w:t>
      </w:r>
      <w:r w:rsidR="007A508A" w:rsidRPr="007A508A">
        <w:rPr>
          <w:rFonts w:ascii="Book Antiqua" w:hAnsi="Book Antiqua" w:cs="Arial"/>
          <w:i/>
          <w:iCs/>
          <w:sz w:val="24"/>
          <w:szCs w:val="24"/>
          <w:lang w:val="es-PR"/>
        </w:rPr>
        <w:t>E</w:t>
      </w:r>
      <w:r w:rsidRPr="007A508A">
        <w:rPr>
          <w:rFonts w:ascii="Book Antiqua" w:hAnsi="Book Antiqua" w:cs="Arial"/>
          <w:i/>
          <w:iCs/>
          <w:sz w:val="24"/>
          <w:szCs w:val="24"/>
          <w:lang w:val="es-PR"/>
        </w:rPr>
        <w:t>stas</w:t>
      </w:r>
      <w:r w:rsidRPr="002B02A6">
        <w:rPr>
          <w:rFonts w:ascii="Book Antiqua" w:hAnsi="Book Antiqua" w:cs="Arial"/>
          <w:i/>
          <w:iCs/>
          <w:sz w:val="24"/>
          <w:szCs w:val="24"/>
          <w:lang w:val="es-PR"/>
        </w:rPr>
        <w:t xml:space="preserve"> recomendaciones no serán </w:t>
      </w:r>
      <w:r w:rsidR="00FB593F">
        <w:rPr>
          <w:rFonts w:ascii="Book Antiqua" w:hAnsi="Book Antiqua" w:cs="Arial"/>
          <w:i/>
          <w:iCs/>
          <w:sz w:val="24"/>
          <w:szCs w:val="24"/>
          <w:lang w:val="es-PR"/>
        </w:rPr>
        <w:t>vinculantes</w:t>
      </w:r>
      <w:r w:rsidRPr="002B02A6">
        <w:rPr>
          <w:rFonts w:ascii="Book Antiqua" w:hAnsi="Book Antiqua" w:cs="Arial"/>
          <w:i/>
          <w:iCs/>
          <w:sz w:val="24"/>
          <w:szCs w:val="24"/>
          <w:lang w:val="es-PR"/>
        </w:rPr>
        <w:t xml:space="preserve">, y la determinación de conceder o denegar un permiso será de conformidad con la totalidad del expediente administrativo. </w:t>
      </w:r>
      <w:r w:rsidR="00D46E16">
        <w:rPr>
          <w:rFonts w:ascii="Book Antiqua" w:hAnsi="Book Antiqua" w:cs="Arial"/>
          <w:i/>
          <w:iCs/>
          <w:sz w:val="24"/>
          <w:szCs w:val="24"/>
          <w:u w:val="single"/>
          <w:lang w:val="es-PR"/>
        </w:rPr>
        <w:t>No obstante,</w:t>
      </w:r>
      <w:r w:rsidR="00AA284E">
        <w:rPr>
          <w:rFonts w:ascii="Book Antiqua" w:hAnsi="Book Antiqua" w:cs="Arial"/>
          <w:i/>
          <w:iCs/>
          <w:sz w:val="24"/>
          <w:szCs w:val="24"/>
          <w:u w:val="single"/>
          <w:lang w:val="es-PR"/>
        </w:rPr>
        <w:t xml:space="preserve"> en casos de naturaleza de mayor complejidad,</w:t>
      </w:r>
      <w:r w:rsidR="00D46E16">
        <w:rPr>
          <w:rFonts w:ascii="Book Antiqua" w:hAnsi="Book Antiqua" w:cs="Arial"/>
          <w:i/>
          <w:iCs/>
          <w:sz w:val="24"/>
          <w:szCs w:val="24"/>
          <w:u w:val="single"/>
          <w:lang w:val="es-PR"/>
        </w:rPr>
        <w:t xml:space="preserve"> la </w:t>
      </w:r>
      <w:r w:rsidR="00CC25C4">
        <w:rPr>
          <w:rFonts w:ascii="Book Antiqua" w:hAnsi="Book Antiqua" w:cs="Arial"/>
          <w:i/>
          <w:iCs/>
          <w:sz w:val="24"/>
          <w:szCs w:val="24"/>
          <w:u w:val="single"/>
          <w:lang w:val="es-PR"/>
        </w:rPr>
        <w:t>Oficina de Gerencia de Permisos</w:t>
      </w:r>
      <w:r w:rsidR="00D46E16">
        <w:rPr>
          <w:rFonts w:ascii="Book Antiqua" w:hAnsi="Book Antiqua" w:cs="Arial"/>
          <w:i/>
          <w:iCs/>
          <w:sz w:val="24"/>
          <w:szCs w:val="24"/>
          <w:u w:val="single"/>
          <w:lang w:val="es-PR"/>
        </w:rPr>
        <w:t xml:space="preserve"> podrá, en el ejercicio de su discreción, conceder un término adicional</w:t>
      </w:r>
      <w:r w:rsidR="00AA284E">
        <w:rPr>
          <w:rFonts w:ascii="Book Antiqua" w:hAnsi="Book Antiqua" w:cs="Arial"/>
          <w:i/>
          <w:iCs/>
          <w:sz w:val="24"/>
          <w:szCs w:val="24"/>
          <w:u w:val="single"/>
          <w:lang w:val="es-PR"/>
        </w:rPr>
        <w:t xml:space="preserve"> de treinta (30) días</w:t>
      </w:r>
      <w:r w:rsidR="00D46E16">
        <w:rPr>
          <w:rFonts w:ascii="Book Antiqua" w:hAnsi="Book Antiqua" w:cs="Arial"/>
          <w:i/>
          <w:iCs/>
          <w:sz w:val="24"/>
          <w:szCs w:val="24"/>
          <w:u w:val="single"/>
          <w:lang w:val="es-PR"/>
        </w:rPr>
        <w:t xml:space="preserve"> a aquellos municipios, agencias o entidades gubernamentales</w:t>
      </w:r>
      <w:r w:rsidR="000F67B1">
        <w:rPr>
          <w:rFonts w:ascii="Book Antiqua" w:hAnsi="Book Antiqua" w:cs="Arial"/>
          <w:i/>
          <w:iCs/>
          <w:sz w:val="24"/>
          <w:szCs w:val="24"/>
          <w:u w:val="single"/>
          <w:lang w:val="es-PR"/>
        </w:rPr>
        <w:t xml:space="preserve"> que así lo soliciten afirmativamente. </w:t>
      </w:r>
    </w:p>
    <w:p w14:paraId="39F9C87A" w14:textId="77777777" w:rsidR="00387E31" w:rsidRDefault="00387E31" w:rsidP="00387E31">
      <w:pPr>
        <w:widowControl w:val="0"/>
        <w:spacing w:line="480" w:lineRule="auto"/>
        <w:ind w:left="708" w:firstLine="12"/>
        <w:rPr>
          <w:rFonts w:ascii="Book Antiqua" w:hAnsi="Book Antiqua" w:cs="Arial"/>
          <w:sz w:val="24"/>
          <w:szCs w:val="24"/>
          <w:lang w:val="es-PR"/>
        </w:rPr>
      </w:pPr>
      <w:r w:rsidRPr="002B02A6">
        <w:rPr>
          <w:rFonts w:ascii="Book Antiqua" w:hAnsi="Book Antiqua" w:cs="Arial"/>
          <w:sz w:val="24"/>
          <w:szCs w:val="24"/>
          <w:lang w:val="es-PR"/>
        </w:rPr>
        <w:t>En el Reglamento Conjunto de Permisos se definirán las recomendaciones que serán requeridas para las distintas solicitudes de consultas, permisos o autorizaciones, estableciendo categorías basadas en los tipos de proyectos, suelos donde ubiquen y otras consideraciones relacionadas, de manera que se cuente con un expediente administrativo completo y claro. Se definirá, además, cuáles recomendaciones podrán ser emitidas por las distintas entidades, agencias o profesionales, conforme a las facultades delegadas en esta ley.</w:t>
      </w:r>
    </w:p>
    <w:p w14:paraId="3E8CD493" w14:textId="77777777" w:rsidR="00655556" w:rsidRDefault="00655556" w:rsidP="00387E31">
      <w:pPr>
        <w:widowControl w:val="0"/>
        <w:spacing w:line="480" w:lineRule="auto"/>
        <w:ind w:left="708" w:firstLine="12"/>
        <w:rPr>
          <w:rFonts w:ascii="Book Antiqua" w:hAnsi="Book Antiqua" w:cs="Arial"/>
          <w:sz w:val="24"/>
          <w:szCs w:val="24"/>
          <w:lang w:val="es-PR"/>
        </w:rPr>
      </w:pPr>
      <w:r>
        <w:rPr>
          <w:rFonts w:ascii="Book Antiqua" w:hAnsi="Book Antiqua" w:cs="Arial"/>
          <w:sz w:val="24"/>
          <w:szCs w:val="24"/>
          <w:lang w:val="es-PR"/>
        </w:rPr>
        <w:lastRenderedPageBreak/>
        <w:t xml:space="preserve">… </w:t>
      </w:r>
    </w:p>
    <w:p w14:paraId="3BC3E697" w14:textId="77777777" w:rsidR="00655556" w:rsidRDefault="00655556" w:rsidP="00387E31">
      <w:pPr>
        <w:widowControl w:val="0"/>
        <w:spacing w:line="480" w:lineRule="auto"/>
        <w:ind w:left="708" w:firstLine="12"/>
        <w:rPr>
          <w:rFonts w:ascii="Book Antiqua" w:hAnsi="Book Antiqua" w:cs="Arial"/>
          <w:sz w:val="24"/>
          <w:szCs w:val="24"/>
          <w:lang w:val="es-PR"/>
        </w:rPr>
      </w:pPr>
      <w:r>
        <w:rPr>
          <w:rFonts w:ascii="Book Antiqua" w:hAnsi="Book Antiqua" w:cs="Arial"/>
          <w:sz w:val="24"/>
          <w:szCs w:val="24"/>
          <w:lang w:val="es-PR"/>
        </w:rPr>
        <w:t>b.  …</w:t>
      </w:r>
    </w:p>
    <w:p w14:paraId="65720ADE" w14:textId="77777777" w:rsidR="00655556" w:rsidRDefault="00655556" w:rsidP="00387E31">
      <w:pPr>
        <w:widowControl w:val="0"/>
        <w:spacing w:line="480" w:lineRule="auto"/>
        <w:ind w:left="708" w:firstLine="12"/>
        <w:rPr>
          <w:rFonts w:ascii="Book Antiqua" w:hAnsi="Book Antiqua" w:cs="Arial"/>
          <w:sz w:val="24"/>
          <w:szCs w:val="24"/>
          <w:lang w:val="es-PR"/>
        </w:rPr>
      </w:pPr>
      <w:r>
        <w:rPr>
          <w:rFonts w:ascii="Book Antiqua" w:hAnsi="Book Antiqua" w:cs="Arial"/>
          <w:sz w:val="24"/>
          <w:szCs w:val="24"/>
          <w:lang w:val="es-PR"/>
        </w:rPr>
        <w:t>…</w:t>
      </w:r>
    </w:p>
    <w:p w14:paraId="6317C295" w14:textId="77777777" w:rsidR="00655556" w:rsidRDefault="00655556" w:rsidP="00387E31">
      <w:pPr>
        <w:widowControl w:val="0"/>
        <w:spacing w:line="480" w:lineRule="auto"/>
        <w:ind w:left="708" w:firstLine="12"/>
        <w:rPr>
          <w:rFonts w:ascii="Book Antiqua" w:hAnsi="Book Antiqua" w:cs="Arial"/>
          <w:sz w:val="24"/>
          <w:szCs w:val="24"/>
          <w:lang w:val="es-PR"/>
        </w:rPr>
      </w:pPr>
      <w:r>
        <w:rPr>
          <w:rFonts w:ascii="Book Antiqua" w:hAnsi="Book Antiqua" w:cs="Arial"/>
          <w:sz w:val="24"/>
          <w:szCs w:val="24"/>
          <w:lang w:val="es-PR"/>
        </w:rPr>
        <w:t xml:space="preserve">c… </w:t>
      </w:r>
    </w:p>
    <w:p w14:paraId="2190C977" w14:textId="77777777" w:rsidR="00655556" w:rsidRPr="002B02A6" w:rsidRDefault="00655556" w:rsidP="00387E31">
      <w:pPr>
        <w:widowControl w:val="0"/>
        <w:spacing w:line="480" w:lineRule="auto"/>
        <w:ind w:left="708" w:firstLine="12"/>
        <w:rPr>
          <w:rFonts w:ascii="Book Antiqua" w:eastAsia="Times New Roman" w:hAnsi="Book Antiqua"/>
          <w:sz w:val="24"/>
          <w:szCs w:val="24"/>
        </w:rPr>
      </w:pPr>
      <w:r>
        <w:rPr>
          <w:rFonts w:ascii="Book Antiqua" w:hAnsi="Book Antiqua" w:cs="Arial"/>
          <w:sz w:val="24"/>
          <w:szCs w:val="24"/>
          <w:lang w:val="es-PR"/>
        </w:rPr>
        <w:t>…</w:t>
      </w:r>
      <w:r w:rsidR="004E01B3">
        <w:rPr>
          <w:rFonts w:ascii="Book Antiqua" w:hAnsi="Book Antiqua" w:cs="Arial"/>
          <w:sz w:val="24"/>
          <w:szCs w:val="24"/>
          <w:lang w:val="es-PR"/>
        </w:rPr>
        <w:t xml:space="preserve"> </w:t>
      </w:r>
      <w:r w:rsidR="004E01B3" w:rsidRPr="004E01B3">
        <w:rPr>
          <w:rFonts w:ascii="Book Antiqua" w:hAnsi="Book Antiqua" w:cs="Arial"/>
          <w:i/>
          <w:iCs/>
          <w:sz w:val="24"/>
          <w:szCs w:val="24"/>
          <w:u w:val="single"/>
          <w:lang w:val="es-PR"/>
        </w:rPr>
        <w:t>“</w:t>
      </w:r>
    </w:p>
    <w:p w14:paraId="4A8D8CF5" w14:textId="77777777" w:rsidR="00DB3764" w:rsidRPr="002B02A6" w:rsidRDefault="00D930B9" w:rsidP="00DB3764">
      <w:pPr>
        <w:widowControl w:val="0"/>
        <w:spacing w:line="480" w:lineRule="auto"/>
        <w:ind w:firstLine="720"/>
        <w:rPr>
          <w:rFonts w:ascii="Book Antiqua" w:eastAsia="Times New Roman" w:hAnsi="Book Antiqua"/>
          <w:sz w:val="24"/>
          <w:szCs w:val="24"/>
        </w:rPr>
      </w:pPr>
      <w:r>
        <w:rPr>
          <w:rFonts w:ascii="Book Antiqua" w:hAnsi="Book Antiqua"/>
          <w:sz w:val="24"/>
          <w:szCs w:val="24"/>
          <w:lang w:val="es-ES_tradnl"/>
        </w:rPr>
        <w:t>Sección</w:t>
      </w:r>
      <w:r w:rsidR="00D967A1" w:rsidRPr="002B02A6">
        <w:rPr>
          <w:rFonts w:ascii="Book Antiqua" w:eastAsia="Times New Roman" w:hAnsi="Book Antiqua"/>
          <w:sz w:val="24"/>
          <w:szCs w:val="24"/>
        </w:rPr>
        <w:t xml:space="preserve"> 2.-Se enmienda el Artículo </w:t>
      </w:r>
      <w:r w:rsidR="00DB3764" w:rsidRPr="002B02A6">
        <w:rPr>
          <w:rFonts w:ascii="Book Antiqua" w:eastAsia="Times New Roman" w:hAnsi="Book Antiqua"/>
          <w:sz w:val="24"/>
          <w:szCs w:val="24"/>
        </w:rPr>
        <w:t>19.12</w:t>
      </w:r>
      <w:r w:rsidR="00D967A1" w:rsidRPr="002B02A6">
        <w:rPr>
          <w:rFonts w:ascii="Book Antiqua" w:eastAsia="Times New Roman" w:hAnsi="Book Antiqua"/>
          <w:sz w:val="24"/>
          <w:szCs w:val="24"/>
        </w:rPr>
        <w:t xml:space="preserve"> de la Ley</w:t>
      </w:r>
      <w:r w:rsidR="001E58F4">
        <w:rPr>
          <w:rFonts w:ascii="Book Antiqua" w:eastAsia="Times New Roman" w:hAnsi="Book Antiqua"/>
          <w:sz w:val="24"/>
          <w:szCs w:val="24"/>
        </w:rPr>
        <w:t xml:space="preserve"> </w:t>
      </w:r>
      <w:r w:rsidR="00D967A1" w:rsidRPr="002B02A6">
        <w:rPr>
          <w:rFonts w:ascii="Book Antiqua" w:eastAsia="Times New Roman" w:hAnsi="Book Antiqua"/>
          <w:sz w:val="24"/>
          <w:szCs w:val="24"/>
        </w:rPr>
        <w:t xml:space="preserve">161-2009, según enmendada, conocida como “Ley para la </w:t>
      </w:r>
      <w:proofErr w:type="spellStart"/>
      <w:r w:rsidR="00D967A1" w:rsidRPr="001E58F4">
        <w:rPr>
          <w:rFonts w:ascii="Book Antiqua" w:eastAsia="Times New Roman" w:hAnsi="Book Antiqua"/>
          <w:strike/>
          <w:sz w:val="24"/>
          <w:szCs w:val="24"/>
        </w:rPr>
        <w:t>r</w:t>
      </w:r>
      <w:r w:rsidR="001E58F4" w:rsidRPr="001E58F4">
        <w:rPr>
          <w:rFonts w:ascii="Book Antiqua" w:eastAsia="Times New Roman" w:hAnsi="Book Antiqua"/>
          <w:i/>
          <w:iCs/>
          <w:sz w:val="24"/>
          <w:szCs w:val="24"/>
          <w:u w:val="single"/>
        </w:rPr>
        <w:t>R</w:t>
      </w:r>
      <w:r w:rsidR="00D967A1" w:rsidRPr="002B02A6">
        <w:rPr>
          <w:rFonts w:ascii="Book Antiqua" w:eastAsia="Times New Roman" w:hAnsi="Book Antiqua"/>
          <w:sz w:val="24"/>
          <w:szCs w:val="24"/>
        </w:rPr>
        <w:t>eforma</w:t>
      </w:r>
      <w:proofErr w:type="spellEnd"/>
      <w:r w:rsidR="00D967A1" w:rsidRPr="002B02A6">
        <w:rPr>
          <w:rFonts w:ascii="Book Antiqua" w:eastAsia="Times New Roman" w:hAnsi="Book Antiqua"/>
          <w:sz w:val="24"/>
          <w:szCs w:val="24"/>
        </w:rPr>
        <w:t xml:space="preserve"> del </w:t>
      </w:r>
      <w:proofErr w:type="spellStart"/>
      <w:r w:rsidR="00D967A1" w:rsidRPr="001E58F4">
        <w:rPr>
          <w:rFonts w:ascii="Book Antiqua" w:eastAsia="Times New Roman" w:hAnsi="Book Antiqua"/>
          <w:strike/>
          <w:sz w:val="24"/>
          <w:szCs w:val="24"/>
        </w:rPr>
        <w:t>p</w:t>
      </w:r>
      <w:r w:rsidR="001E58F4" w:rsidRPr="001E58F4">
        <w:rPr>
          <w:rFonts w:ascii="Book Antiqua" w:eastAsia="Times New Roman" w:hAnsi="Book Antiqua"/>
          <w:i/>
          <w:iCs/>
          <w:sz w:val="24"/>
          <w:szCs w:val="24"/>
          <w:u w:val="single"/>
        </w:rPr>
        <w:t>P</w:t>
      </w:r>
      <w:r w:rsidR="00D967A1" w:rsidRPr="002B02A6">
        <w:rPr>
          <w:rFonts w:ascii="Book Antiqua" w:eastAsia="Times New Roman" w:hAnsi="Book Antiqua"/>
          <w:sz w:val="24"/>
          <w:szCs w:val="24"/>
        </w:rPr>
        <w:t>roceso</w:t>
      </w:r>
      <w:proofErr w:type="spellEnd"/>
      <w:r w:rsidR="00D967A1" w:rsidRPr="002B02A6">
        <w:rPr>
          <w:rFonts w:ascii="Book Antiqua" w:eastAsia="Times New Roman" w:hAnsi="Book Antiqua"/>
          <w:sz w:val="24"/>
          <w:szCs w:val="24"/>
        </w:rPr>
        <w:t xml:space="preserve"> de </w:t>
      </w:r>
      <w:proofErr w:type="spellStart"/>
      <w:r w:rsidR="00D967A1" w:rsidRPr="001E58F4">
        <w:rPr>
          <w:rFonts w:ascii="Book Antiqua" w:eastAsia="Times New Roman" w:hAnsi="Book Antiqua"/>
          <w:strike/>
          <w:sz w:val="24"/>
          <w:szCs w:val="24"/>
        </w:rPr>
        <w:t>p</w:t>
      </w:r>
      <w:r w:rsidR="001E58F4" w:rsidRPr="001E58F4">
        <w:rPr>
          <w:rFonts w:ascii="Book Antiqua" w:eastAsia="Times New Roman" w:hAnsi="Book Antiqua"/>
          <w:i/>
          <w:iCs/>
          <w:sz w:val="24"/>
          <w:szCs w:val="24"/>
          <w:u w:val="single"/>
        </w:rPr>
        <w:t>P</w:t>
      </w:r>
      <w:r w:rsidR="00D967A1" w:rsidRPr="002B02A6">
        <w:rPr>
          <w:rFonts w:ascii="Book Antiqua" w:eastAsia="Times New Roman" w:hAnsi="Book Antiqua"/>
          <w:sz w:val="24"/>
          <w:szCs w:val="24"/>
        </w:rPr>
        <w:t>ermisos</w:t>
      </w:r>
      <w:proofErr w:type="spellEnd"/>
      <w:r w:rsidR="00D967A1" w:rsidRPr="002B02A6">
        <w:rPr>
          <w:rFonts w:ascii="Book Antiqua" w:eastAsia="Times New Roman" w:hAnsi="Book Antiqua"/>
          <w:sz w:val="24"/>
          <w:szCs w:val="24"/>
        </w:rPr>
        <w:t>”, para que lea como sigue:</w:t>
      </w:r>
    </w:p>
    <w:p w14:paraId="33656BB8" w14:textId="77777777" w:rsidR="00DB3764" w:rsidRPr="002B02A6" w:rsidRDefault="001E58F4" w:rsidP="00DB3764">
      <w:pPr>
        <w:spacing w:line="480" w:lineRule="auto"/>
        <w:ind w:left="720"/>
        <w:rPr>
          <w:rFonts w:ascii="Book Antiqua" w:hAnsi="Book Antiqua" w:cs="Arial"/>
          <w:sz w:val="24"/>
          <w:szCs w:val="24"/>
          <w:lang w:val="es-PR"/>
        </w:rPr>
      </w:pPr>
      <w:r w:rsidRPr="001E58F4">
        <w:rPr>
          <w:rFonts w:ascii="Book Antiqua" w:hAnsi="Book Antiqua" w:cs="Arial"/>
          <w:i/>
          <w:iCs/>
          <w:sz w:val="24"/>
          <w:szCs w:val="24"/>
          <w:u w:val="single"/>
          <w:lang w:val="es-PR"/>
        </w:rPr>
        <w:t>“</w:t>
      </w:r>
      <w:r w:rsidR="00DB3764" w:rsidRPr="002B02A6">
        <w:rPr>
          <w:rFonts w:ascii="Book Antiqua" w:hAnsi="Book Antiqua" w:cs="Arial"/>
          <w:sz w:val="24"/>
          <w:szCs w:val="24"/>
          <w:lang w:val="es-PR"/>
        </w:rPr>
        <w:t xml:space="preserve">Artículo 19.12. — Interpretación en caso de otras leyes y reglamentos conflictivos. (23 L.P.R.A. § 9011 nota) </w:t>
      </w:r>
    </w:p>
    <w:p w14:paraId="54E24E14" w14:textId="77777777" w:rsidR="00DB3764" w:rsidRPr="002B02A6" w:rsidRDefault="00DB3764" w:rsidP="00DB3764">
      <w:pPr>
        <w:spacing w:line="480" w:lineRule="auto"/>
        <w:ind w:left="720"/>
        <w:rPr>
          <w:rFonts w:ascii="Book Antiqua" w:hAnsi="Book Antiqua" w:cs="Arial"/>
          <w:i/>
          <w:iCs/>
          <w:sz w:val="24"/>
          <w:szCs w:val="24"/>
          <w:lang w:val="es-PR"/>
        </w:rPr>
      </w:pPr>
      <w:r w:rsidRPr="002B02A6">
        <w:rPr>
          <w:rFonts w:ascii="Book Antiqua" w:hAnsi="Book Antiqua" w:cs="Arial"/>
          <w:i/>
          <w:iCs/>
          <w:sz w:val="24"/>
          <w:szCs w:val="24"/>
          <w:lang w:val="es-PR"/>
        </w:rPr>
        <w:t>Las disposiciones de esta ley tendrán supremacía sobre toda ley, norma o procedimiento que entre en conflicto con és</w:t>
      </w:r>
      <w:r w:rsidR="000853E4">
        <w:rPr>
          <w:rFonts w:ascii="Book Antiqua" w:hAnsi="Book Antiqua" w:cs="Arial"/>
          <w:i/>
          <w:iCs/>
          <w:sz w:val="24"/>
          <w:szCs w:val="24"/>
          <w:lang w:val="es-PR"/>
        </w:rPr>
        <w:t>t</w:t>
      </w:r>
      <w:r w:rsidRPr="002B02A6">
        <w:rPr>
          <w:rFonts w:ascii="Book Antiqua" w:hAnsi="Book Antiqua" w:cs="Arial"/>
          <w:i/>
          <w:iCs/>
          <w:sz w:val="24"/>
          <w:szCs w:val="24"/>
          <w:lang w:val="es-PR"/>
        </w:rPr>
        <w:t xml:space="preserve">a. A tales efectos, ninguna otra ley, norma o procedimiento vigente podrá menoscabar, limitar o interferir con la política pública establecida en esta ley. </w:t>
      </w:r>
    </w:p>
    <w:p w14:paraId="08DA461C" w14:textId="77777777" w:rsidR="00DB3764" w:rsidRPr="002B02A6" w:rsidRDefault="00DB3764" w:rsidP="00DB3764">
      <w:pPr>
        <w:spacing w:line="480" w:lineRule="auto"/>
        <w:ind w:left="720"/>
        <w:rPr>
          <w:rFonts w:ascii="Book Antiqua" w:hAnsi="Book Antiqua" w:cs="Arial"/>
          <w:sz w:val="24"/>
          <w:szCs w:val="24"/>
          <w:lang w:val="es-PR"/>
        </w:rPr>
      </w:pPr>
      <w:r w:rsidRPr="002B02A6">
        <w:rPr>
          <w:rFonts w:ascii="Book Antiqua" w:hAnsi="Book Antiqua" w:cs="Arial"/>
          <w:sz w:val="24"/>
          <w:szCs w:val="24"/>
          <w:lang w:val="es-PR"/>
        </w:rPr>
        <w:t xml:space="preserve">Las disposiciones de cualquier otra ley o reglamento, que regule directa o indirectamente la evaluación, concesión o denegación de permisos, recomendaciones o actividades relacionadas directa o indirectamente al desarrollo y uso de terrenos en Puerto Rico, cobros por cargos de servicios, derechos mediante aranceles y estampillas para planos de construcción, aplicarán sólo de forma supletoria a esta Ley, en la medida en que sus disposiciones no estén en conflicto con las disposiciones o fines de esta Ley. Toda ley o reglamento en que aparezca o se haga referencia a la Administración de </w:t>
      </w:r>
      <w:r w:rsidRPr="002B02A6">
        <w:rPr>
          <w:rFonts w:ascii="Book Antiqua" w:hAnsi="Book Antiqua" w:cs="Arial"/>
          <w:sz w:val="24"/>
          <w:szCs w:val="24"/>
          <w:lang w:val="es-PR"/>
        </w:rPr>
        <w:lastRenderedPageBreak/>
        <w:t>Reglamentos y Permisos o a su Administrador o a la Junta de Apelaciones sobre Construcciones y Lotificaciones, se entenderán enmendados a los efectos de ser sustituidos por la Oficina de Gerencia de Permisos, o el Secretario Auxiliar de la Oficina de Gerencia de Permisos o la Junta Revisora, respectivamente, y según sea el caso, siempre que sus disposiciones no estén en conflicto con las disposiciones o fines de esta Ley.</w:t>
      </w:r>
      <w:r w:rsidR="001E58F4" w:rsidRPr="001E58F4">
        <w:rPr>
          <w:rFonts w:ascii="Book Antiqua" w:hAnsi="Book Antiqua" w:cs="Arial"/>
          <w:i/>
          <w:iCs/>
          <w:sz w:val="24"/>
          <w:szCs w:val="24"/>
          <w:u w:val="single"/>
          <w:lang w:val="es-PR"/>
        </w:rPr>
        <w:t>”</w:t>
      </w:r>
    </w:p>
    <w:p w14:paraId="38C068C7" w14:textId="77777777" w:rsidR="00DB3764" w:rsidRPr="002B02A6" w:rsidRDefault="00D930B9" w:rsidP="00DB3764">
      <w:pPr>
        <w:widowControl w:val="0"/>
        <w:spacing w:line="480" w:lineRule="auto"/>
        <w:ind w:firstLine="720"/>
        <w:rPr>
          <w:rFonts w:ascii="Book Antiqua" w:eastAsia="Times New Roman" w:hAnsi="Book Antiqua"/>
          <w:sz w:val="24"/>
          <w:szCs w:val="24"/>
          <w:lang w:val="es-PR"/>
        </w:rPr>
      </w:pPr>
      <w:r>
        <w:rPr>
          <w:rFonts w:ascii="Book Antiqua" w:hAnsi="Book Antiqua"/>
          <w:sz w:val="24"/>
          <w:szCs w:val="24"/>
          <w:lang w:val="es-ES_tradnl"/>
        </w:rPr>
        <w:t>Sección</w:t>
      </w:r>
      <w:r w:rsidR="00DB3764" w:rsidRPr="002B02A6">
        <w:rPr>
          <w:rFonts w:ascii="Book Antiqua" w:eastAsia="Times New Roman" w:hAnsi="Book Antiqua"/>
          <w:sz w:val="24"/>
          <w:szCs w:val="24"/>
        </w:rPr>
        <w:t xml:space="preserve"> 3. -Se enmienda el</w:t>
      </w:r>
      <w:r w:rsidR="00DB3764" w:rsidRPr="002B02A6">
        <w:rPr>
          <w:rFonts w:ascii="Book Antiqua" w:eastAsia="Times New Roman" w:hAnsi="Book Antiqua"/>
          <w:sz w:val="24"/>
          <w:szCs w:val="24"/>
          <w:lang w:val="es-PR"/>
        </w:rPr>
        <w:t xml:space="preserve"> </w:t>
      </w:r>
      <w:r w:rsidR="00655556">
        <w:rPr>
          <w:rFonts w:ascii="Book Antiqua" w:eastAsia="Times New Roman" w:hAnsi="Book Antiqua"/>
          <w:sz w:val="24"/>
          <w:szCs w:val="24"/>
          <w:lang w:val="es-PR"/>
        </w:rPr>
        <w:t xml:space="preserve">inciso (h) del </w:t>
      </w:r>
      <w:r w:rsidR="00836955" w:rsidRPr="002B02A6">
        <w:rPr>
          <w:rFonts w:ascii="Book Antiqua" w:eastAsia="Times New Roman" w:hAnsi="Book Antiqua"/>
          <w:sz w:val="24"/>
          <w:szCs w:val="24"/>
          <w:lang w:val="es-PR"/>
        </w:rPr>
        <w:t>Artículo 5</w:t>
      </w:r>
      <w:r w:rsidR="00DB3764" w:rsidRPr="002B02A6">
        <w:rPr>
          <w:rFonts w:ascii="Book Antiqua" w:eastAsia="Times New Roman" w:hAnsi="Book Antiqua"/>
          <w:sz w:val="24"/>
          <w:szCs w:val="24"/>
          <w:lang w:val="es-PR"/>
        </w:rPr>
        <w:t xml:space="preserve"> </w:t>
      </w:r>
      <w:r w:rsidR="00836955" w:rsidRPr="002B02A6">
        <w:rPr>
          <w:rFonts w:ascii="Book Antiqua" w:eastAsia="Times New Roman" w:hAnsi="Book Antiqua"/>
          <w:sz w:val="24"/>
          <w:szCs w:val="24"/>
          <w:lang w:val="es-PR"/>
        </w:rPr>
        <w:t xml:space="preserve">de la </w:t>
      </w:r>
      <w:r w:rsidR="00836955" w:rsidRPr="002B02A6">
        <w:rPr>
          <w:rFonts w:ascii="Book Antiqua" w:hAnsi="Book Antiqua" w:cs="Arial"/>
          <w:sz w:val="24"/>
          <w:szCs w:val="24"/>
          <w:lang w:val="es-PR"/>
        </w:rPr>
        <w:t xml:space="preserve">Ley </w:t>
      </w:r>
      <w:r w:rsidR="00513C16" w:rsidRPr="00513C16">
        <w:rPr>
          <w:rFonts w:ascii="Book Antiqua" w:hAnsi="Book Antiqua" w:cs="Arial"/>
          <w:i/>
          <w:iCs/>
          <w:sz w:val="24"/>
          <w:szCs w:val="24"/>
          <w:u w:val="single"/>
          <w:lang w:val="es-PR"/>
        </w:rPr>
        <w:t>Núm.</w:t>
      </w:r>
      <w:r w:rsidR="00513C16">
        <w:rPr>
          <w:rFonts w:ascii="Book Antiqua" w:hAnsi="Book Antiqua" w:cs="Arial"/>
          <w:sz w:val="24"/>
          <w:szCs w:val="24"/>
          <w:lang w:val="es-PR"/>
        </w:rPr>
        <w:t xml:space="preserve"> </w:t>
      </w:r>
      <w:r w:rsidR="00836955" w:rsidRPr="002B02A6">
        <w:rPr>
          <w:rFonts w:ascii="Book Antiqua" w:hAnsi="Book Antiqua" w:cs="Arial"/>
          <w:sz w:val="24"/>
          <w:szCs w:val="24"/>
          <w:lang w:val="es-PR"/>
        </w:rPr>
        <w:t>23 de 20 de junio de 1972, según enmendada</w:t>
      </w:r>
      <w:r w:rsidR="00655556">
        <w:rPr>
          <w:rFonts w:ascii="Book Antiqua" w:hAnsi="Book Antiqua" w:cs="Arial"/>
          <w:sz w:val="24"/>
          <w:szCs w:val="24"/>
          <w:lang w:val="es-PR"/>
        </w:rPr>
        <w:t xml:space="preserve">, conocida como </w:t>
      </w:r>
      <w:r w:rsidR="00655556" w:rsidRPr="00655556">
        <w:rPr>
          <w:rFonts w:ascii="Book Antiqua" w:hAnsi="Book Antiqua" w:cs="Arial"/>
          <w:sz w:val="24"/>
          <w:szCs w:val="24"/>
        </w:rPr>
        <w:t>“Ley Orgánica del Departamento de Recursos Naturales y Ambientales</w:t>
      </w:r>
      <w:r w:rsidR="00513C16" w:rsidRPr="00655556">
        <w:rPr>
          <w:rFonts w:ascii="Book Antiqua" w:hAnsi="Book Antiqua" w:cs="Arial"/>
          <w:sz w:val="24"/>
          <w:szCs w:val="24"/>
        </w:rPr>
        <w:t>”</w:t>
      </w:r>
      <w:r w:rsidR="00513C16">
        <w:rPr>
          <w:rFonts w:ascii="Book Antiqua" w:hAnsi="Book Antiqua" w:cs="Arial"/>
          <w:sz w:val="24"/>
          <w:szCs w:val="24"/>
        </w:rPr>
        <w:t xml:space="preserve">, </w:t>
      </w:r>
      <w:r w:rsidR="00513C16" w:rsidRPr="002B02A6">
        <w:rPr>
          <w:rFonts w:ascii="Book Antiqua" w:hAnsi="Book Antiqua" w:cs="Arial"/>
          <w:sz w:val="24"/>
          <w:szCs w:val="24"/>
          <w:lang w:val="es-PR"/>
        </w:rPr>
        <w:t>para</w:t>
      </w:r>
      <w:r w:rsidR="00836955" w:rsidRPr="002B02A6">
        <w:rPr>
          <w:rFonts w:ascii="Book Antiqua" w:hAnsi="Book Antiqua" w:cs="Arial"/>
          <w:sz w:val="24"/>
          <w:szCs w:val="24"/>
          <w:lang w:val="es-PR"/>
        </w:rPr>
        <w:t xml:space="preserve"> que lea: </w:t>
      </w:r>
    </w:p>
    <w:p w14:paraId="48807482" w14:textId="77777777" w:rsidR="00DB3764" w:rsidRPr="002B02A6" w:rsidRDefault="00513C16" w:rsidP="00DB3764">
      <w:pPr>
        <w:widowControl w:val="0"/>
        <w:spacing w:line="480" w:lineRule="auto"/>
        <w:ind w:firstLine="720"/>
        <w:rPr>
          <w:rFonts w:ascii="Book Antiqua" w:eastAsia="Times New Roman" w:hAnsi="Book Antiqua"/>
          <w:sz w:val="24"/>
          <w:szCs w:val="24"/>
          <w:lang w:val="es-PR"/>
        </w:rPr>
      </w:pPr>
      <w:r w:rsidRPr="00513C16">
        <w:rPr>
          <w:rFonts w:ascii="Book Antiqua" w:eastAsia="Times New Roman" w:hAnsi="Book Antiqua"/>
          <w:i/>
          <w:iCs/>
          <w:sz w:val="24"/>
          <w:szCs w:val="24"/>
          <w:u w:val="single"/>
          <w:lang w:val="es-PR"/>
        </w:rPr>
        <w:t>“</w:t>
      </w:r>
      <w:r w:rsidR="00DB3764" w:rsidRPr="002B02A6">
        <w:rPr>
          <w:rFonts w:ascii="Book Antiqua" w:eastAsia="Times New Roman" w:hAnsi="Book Antiqua"/>
          <w:sz w:val="24"/>
          <w:szCs w:val="24"/>
          <w:lang w:val="es-PR"/>
        </w:rPr>
        <w:t xml:space="preserve">Artículo 5. — Facultades y deberes del </w:t>
      </w:r>
      <w:proofErr w:type="gramStart"/>
      <w:r w:rsidR="00DB3764" w:rsidRPr="002B02A6">
        <w:rPr>
          <w:rFonts w:ascii="Book Antiqua" w:eastAsia="Times New Roman" w:hAnsi="Book Antiqua"/>
          <w:sz w:val="24"/>
          <w:szCs w:val="24"/>
          <w:lang w:val="es-PR"/>
        </w:rPr>
        <w:t>Secretario</w:t>
      </w:r>
      <w:proofErr w:type="gramEnd"/>
      <w:r w:rsidR="00DB3764" w:rsidRPr="002B02A6">
        <w:rPr>
          <w:rFonts w:ascii="Book Antiqua" w:eastAsia="Times New Roman" w:hAnsi="Book Antiqua"/>
          <w:sz w:val="24"/>
          <w:szCs w:val="24"/>
          <w:lang w:val="es-PR"/>
        </w:rPr>
        <w:t xml:space="preserve">. (3 L.P.R.A. § 155) </w:t>
      </w:r>
    </w:p>
    <w:p w14:paraId="03026D61" w14:textId="77777777" w:rsidR="00DB3764" w:rsidRPr="002B02A6" w:rsidRDefault="00DB3764" w:rsidP="00836955">
      <w:pPr>
        <w:widowControl w:val="0"/>
        <w:spacing w:line="480" w:lineRule="auto"/>
        <w:ind w:left="708" w:firstLine="12"/>
        <w:rPr>
          <w:rFonts w:ascii="Book Antiqua" w:eastAsia="Times New Roman" w:hAnsi="Book Antiqua"/>
          <w:sz w:val="24"/>
          <w:szCs w:val="24"/>
          <w:lang w:val="es-PR"/>
        </w:rPr>
      </w:pPr>
      <w:r w:rsidRPr="002B02A6">
        <w:rPr>
          <w:rFonts w:ascii="Book Antiqua" w:eastAsia="Times New Roman" w:hAnsi="Book Antiqua"/>
          <w:sz w:val="24"/>
          <w:szCs w:val="24"/>
          <w:lang w:val="es-PR"/>
        </w:rPr>
        <w:t xml:space="preserve">El </w:t>
      </w:r>
      <w:proofErr w:type="gramStart"/>
      <w:r w:rsidRPr="002B02A6">
        <w:rPr>
          <w:rFonts w:ascii="Book Antiqua" w:eastAsia="Times New Roman" w:hAnsi="Book Antiqua"/>
          <w:sz w:val="24"/>
          <w:szCs w:val="24"/>
          <w:lang w:val="es-PR"/>
        </w:rPr>
        <w:t>Secretario</w:t>
      </w:r>
      <w:proofErr w:type="gramEnd"/>
      <w:r w:rsidRPr="002B02A6">
        <w:rPr>
          <w:rFonts w:ascii="Book Antiqua" w:eastAsia="Times New Roman" w:hAnsi="Book Antiqua"/>
          <w:sz w:val="24"/>
          <w:szCs w:val="24"/>
          <w:lang w:val="es-PR"/>
        </w:rPr>
        <w:t xml:space="preserve"> del Departamento de Recursos Naturales y Ambientales tendrá las siguientes facultades y deberes:</w:t>
      </w:r>
    </w:p>
    <w:p w14:paraId="0F2AE707" w14:textId="77777777" w:rsidR="00836955" w:rsidRDefault="00655556" w:rsidP="00655556">
      <w:pPr>
        <w:widowControl w:val="0"/>
        <w:numPr>
          <w:ilvl w:val="0"/>
          <w:numId w:val="35"/>
        </w:numPr>
        <w:spacing w:line="480" w:lineRule="auto"/>
        <w:rPr>
          <w:rFonts w:ascii="Book Antiqua" w:eastAsia="Times New Roman" w:hAnsi="Book Antiqua"/>
          <w:sz w:val="24"/>
          <w:szCs w:val="24"/>
          <w:lang w:val="es-PR"/>
        </w:rPr>
      </w:pPr>
      <w:r>
        <w:rPr>
          <w:rFonts w:ascii="Book Antiqua" w:eastAsia="Times New Roman" w:hAnsi="Book Antiqua"/>
          <w:sz w:val="24"/>
          <w:szCs w:val="24"/>
          <w:lang w:val="es-PR"/>
        </w:rPr>
        <w:t>…</w:t>
      </w:r>
    </w:p>
    <w:p w14:paraId="7BEDA147" w14:textId="77777777" w:rsidR="00655556" w:rsidRPr="002B02A6" w:rsidRDefault="00655556" w:rsidP="00655556">
      <w:pPr>
        <w:widowControl w:val="0"/>
        <w:spacing w:line="480" w:lineRule="auto"/>
        <w:ind w:left="1080"/>
        <w:rPr>
          <w:rFonts w:ascii="Book Antiqua" w:eastAsia="Times New Roman" w:hAnsi="Book Antiqua"/>
          <w:sz w:val="24"/>
          <w:szCs w:val="24"/>
          <w:lang w:val="es-PR"/>
        </w:rPr>
      </w:pPr>
      <w:r>
        <w:rPr>
          <w:rFonts w:ascii="Book Antiqua" w:eastAsia="Times New Roman" w:hAnsi="Book Antiqua"/>
          <w:sz w:val="24"/>
          <w:szCs w:val="24"/>
          <w:lang w:val="es-PR"/>
        </w:rPr>
        <w:t xml:space="preserve">… </w:t>
      </w:r>
    </w:p>
    <w:p w14:paraId="6651184D" w14:textId="77777777" w:rsidR="00836955" w:rsidRDefault="00836955" w:rsidP="00836955">
      <w:pPr>
        <w:widowControl w:val="0"/>
        <w:spacing w:line="480" w:lineRule="auto"/>
        <w:ind w:left="708" w:firstLine="12"/>
        <w:rPr>
          <w:rFonts w:ascii="Book Antiqua" w:hAnsi="Book Antiqua" w:cs="Arial"/>
          <w:sz w:val="24"/>
          <w:szCs w:val="24"/>
          <w:lang w:val="es-PR"/>
        </w:rPr>
      </w:pPr>
      <w:r w:rsidRPr="002B02A6">
        <w:rPr>
          <w:rFonts w:ascii="Book Antiqua" w:eastAsia="Times New Roman" w:hAnsi="Book Antiqua"/>
          <w:sz w:val="24"/>
          <w:szCs w:val="24"/>
          <w:lang w:val="es-PR"/>
        </w:rPr>
        <w:t>(h) Ejercer la vigilancia y conservación de las aguas territoriales, los terrenos sumergidos bajo ellas y la zona marítimo-terrestre, conceder franquicias</w:t>
      </w:r>
      <w:r w:rsidR="00A60C26" w:rsidRPr="002B02A6">
        <w:rPr>
          <w:rFonts w:ascii="Book Antiqua" w:eastAsia="Times New Roman" w:hAnsi="Book Antiqua"/>
          <w:sz w:val="24"/>
          <w:szCs w:val="24"/>
          <w:lang w:val="es-PR"/>
        </w:rPr>
        <w:t>,</w:t>
      </w:r>
      <w:r w:rsidRPr="002B02A6">
        <w:rPr>
          <w:rFonts w:ascii="Book Antiqua" w:eastAsia="Times New Roman" w:hAnsi="Book Antiqua"/>
          <w:sz w:val="24"/>
          <w:szCs w:val="24"/>
          <w:lang w:val="es-PR"/>
        </w:rPr>
        <w:t xml:space="preserve"> </w:t>
      </w:r>
      <w:r w:rsidR="00A60C26" w:rsidRPr="00117F1A">
        <w:rPr>
          <w:rFonts w:ascii="Book Antiqua" w:eastAsia="Times New Roman" w:hAnsi="Book Antiqua"/>
          <w:sz w:val="24"/>
          <w:szCs w:val="24"/>
          <w:lang w:val="es-PR"/>
        </w:rPr>
        <w:t>permisos</w:t>
      </w:r>
      <w:r w:rsidR="00117F1A">
        <w:rPr>
          <w:rFonts w:ascii="Book Antiqua" w:eastAsia="Times New Roman" w:hAnsi="Book Antiqua"/>
          <w:sz w:val="24"/>
          <w:szCs w:val="24"/>
          <w:lang w:val="es-PR"/>
        </w:rPr>
        <w:t xml:space="preserve">, </w:t>
      </w:r>
      <w:r w:rsidR="00117F1A" w:rsidRPr="00F76B7A">
        <w:rPr>
          <w:rFonts w:ascii="Book Antiqua" w:eastAsia="Times New Roman" w:hAnsi="Book Antiqua"/>
          <w:i/>
          <w:iCs/>
          <w:sz w:val="24"/>
          <w:szCs w:val="24"/>
          <w:lang w:val="es-PR"/>
        </w:rPr>
        <w:t>excepto aquellos dispuestos en la Ley Núm. 161-2009, según enmendada</w:t>
      </w:r>
      <w:r w:rsidR="00A60C26" w:rsidRPr="002B02A6">
        <w:rPr>
          <w:rFonts w:ascii="Book Antiqua" w:eastAsia="Times New Roman" w:hAnsi="Book Antiqua"/>
          <w:sz w:val="24"/>
          <w:szCs w:val="24"/>
          <w:lang w:val="es-PR"/>
        </w:rPr>
        <w:t xml:space="preserve"> </w:t>
      </w:r>
      <w:r w:rsidRPr="002B02A6">
        <w:rPr>
          <w:rFonts w:ascii="Book Antiqua" w:eastAsia="Times New Roman" w:hAnsi="Book Antiqua"/>
          <w:sz w:val="24"/>
          <w:szCs w:val="24"/>
          <w:lang w:val="es-PR"/>
        </w:rPr>
        <w:t xml:space="preserve">y licencias de carácter público para su uso y aprovechamiento y establecer mediante reglamento los derechos a pagarse por los mismos. A estos efectos estará facultado para ejercer aquellos poderes y facultades que le puedan ser delegadas por cualquier agencia o instrumentalidad del gobierno federal bajo cualquier ley del Congreso de los Estados Unidos. </w:t>
      </w:r>
      <w:r w:rsidR="00655556" w:rsidRPr="00655556">
        <w:rPr>
          <w:rFonts w:ascii="Book Antiqua" w:eastAsia="Times New Roman" w:hAnsi="Book Antiqua"/>
          <w:i/>
          <w:iCs/>
          <w:sz w:val="24"/>
          <w:szCs w:val="24"/>
          <w:lang w:val="es-PR"/>
        </w:rPr>
        <w:t>D</w:t>
      </w:r>
      <w:r w:rsidRPr="00655556">
        <w:rPr>
          <w:rFonts w:ascii="Book Antiqua" w:eastAsia="Times New Roman" w:hAnsi="Book Antiqua"/>
          <w:i/>
          <w:iCs/>
          <w:sz w:val="24"/>
          <w:szCs w:val="24"/>
          <w:lang w:val="es-PR"/>
        </w:rPr>
        <w:t>eberá</w:t>
      </w:r>
      <w:r w:rsidR="00655556">
        <w:rPr>
          <w:rFonts w:ascii="Book Antiqua" w:eastAsia="Times New Roman" w:hAnsi="Book Antiqua"/>
          <w:i/>
          <w:iCs/>
          <w:sz w:val="24"/>
          <w:szCs w:val="24"/>
          <w:lang w:val="es-PR"/>
        </w:rPr>
        <w:t xml:space="preserve">, además, </w:t>
      </w:r>
      <w:r w:rsidRPr="002B02A6">
        <w:rPr>
          <w:rFonts w:ascii="Book Antiqua" w:eastAsia="Times New Roman" w:hAnsi="Book Antiqua"/>
          <w:sz w:val="24"/>
          <w:szCs w:val="24"/>
          <w:lang w:val="es-PR"/>
        </w:rPr>
        <w:t>a</w:t>
      </w:r>
      <w:r w:rsidRPr="002B02A6">
        <w:rPr>
          <w:rFonts w:ascii="Book Antiqua" w:hAnsi="Book Antiqua" w:cs="Arial"/>
          <w:i/>
          <w:iCs/>
          <w:sz w:val="24"/>
          <w:szCs w:val="24"/>
          <w:lang w:val="es-PR"/>
        </w:rPr>
        <w:t xml:space="preserve">sesorar, </w:t>
      </w:r>
      <w:r w:rsidRPr="002B02A6">
        <w:rPr>
          <w:rFonts w:ascii="Book Antiqua" w:hAnsi="Book Antiqua" w:cs="Arial"/>
          <w:i/>
          <w:iCs/>
          <w:sz w:val="24"/>
          <w:szCs w:val="24"/>
          <w:lang w:val="es-PR"/>
        </w:rPr>
        <w:lastRenderedPageBreak/>
        <w:t xml:space="preserve">orientar, guiar y apoyar mediante comentarios a la Oficina de Gerencia de Permisos o la dependencia gubernamental que le sustituya y a los municipios concernientes, en la toma de decisión de </w:t>
      </w:r>
      <w:r w:rsidR="00BD0980">
        <w:rPr>
          <w:rFonts w:ascii="Book Antiqua" w:hAnsi="Book Antiqua" w:cs="Arial"/>
          <w:i/>
          <w:iCs/>
          <w:sz w:val="24"/>
          <w:szCs w:val="24"/>
          <w:lang w:val="es-PR"/>
        </w:rPr>
        <w:t>é</w:t>
      </w:r>
      <w:r w:rsidRPr="002B02A6">
        <w:rPr>
          <w:rFonts w:ascii="Book Antiqua" w:hAnsi="Book Antiqua" w:cs="Arial"/>
          <w:i/>
          <w:iCs/>
          <w:sz w:val="24"/>
          <w:szCs w:val="24"/>
          <w:lang w:val="es-PR"/>
        </w:rPr>
        <w:t>stos, sobre la evaluación de permisos que incidan en la política pública mencionada en este inciso.</w:t>
      </w:r>
      <w:r w:rsidRPr="002B02A6">
        <w:rPr>
          <w:rFonts w:ascii="Book Antiqua" w:hAnsi="Book Antiqua" w:cs="Arial"/>
          <w:sz w:val="24"/>
          <w:szCs w:val="24"/>
          <w:lang w:val="es-PR"/>
        </w:rPr>
        <w:t xml:space="preserve">  </w:t>
      </w:r>
    </w:p>
    <w:p w14:paraId="501E3762" w14:textId="77777777" w:rsidR="00655556" w:rsidRDefault="00655556" w:rsidP="00836955">
      <w:pPr>
        <w:widowControl w:val="0"/>
        <w:spacing w:line="480" w:lineRule="auto"/>
        <w:ind w:left="708" w:firstLine="12"/>
        <w:rPr>
          <w:rFonts w:ascii="Book Antiqua" w:hAnsi="Book Antiqua" w:cs="Arial"/>
          <w:sz w:val="24"/>
          <w:szCs w:val="24"/>
          <w:lang w:val="es-PR"/>
        </w:rPr>
      </w:pPr>
      <w:r>
        <w:rPr>
          <w:rFonts w:ascii="Book Antiqua" w:hAnsi="Book Antiqua" w:cs="Arial"/>
          <w:sz w:val="24"/>
          <w:szCs w:val="24"/>
          <w:lang w:val="es-PR"/>
        </w:rPr>
        <w:t>(i) …</w:t>
      </w:r>
    </w:p>
    <w:p w14:paraId="323F9CA5" w14:textId="77777777" w:rsidR="00655556" w:rsidRDefault="00655556" w:rsidP="00836955">
      <w:pPr>
        <w:widowControl w:val="0"/>
        <w:spacing w:line="480" w:lineRule="auto"/>
        <w:ind w:left="708" w:firstLine="12"/>
        <w:rPr>
          <w:rFonts w:ascii="Book Antiqua" w:hAnsi="Book Antiqua" w:cs="Arial"/>
          <w:sz w:val="24"/>
          <w:szCs w:val="24"/>
          <w:lang w:val="es-PR"/>
        </w:rPr>
      </w:pPr>
      <w:r>
        <w:rPr>
          <w:rFonts w:ascii="Book Antiqua" w:hAnsi="Book Antiqua" w:cs="Arial"/>
          <w:sz w:val="24"/>
          <w:szCs w:val="24"/>
          <w:lang w:val="es-PR"/>
        </w:rPr>
        <w:t>…</w:t>
      </w:r>
    </w:p>
    <w:p w14:paraId="4D692AF3" w14:textId="77777777" w:rsidR="00655556" w:rsidRPr="002B02A6" w:rsidRDefault="00655556" w:rsidP="00836955">
      <w:pPr>
        <w:widowControl w:val="0"/>
        <w:spacing w:line="480" w:lineRule="auto"/>
        <w:ind w:left="708" w:firstLine="12"/>
        <w:rPr>
          <w:rFonts w:ascii="Book Antiqua" w:hAnsi="Book Antiqua" w:cs="Arial"/>
          <w:sz w:val="24"/>
          <w:szCs w:val="24"/>
          <w:lang w:val="es-PR"/>
        </w:rPr>
      </w:pPr>
      <w:r>
        <w:rPr>
          <w:rFonts w:ascii="Book Antiqua" w:hAnsi="Book Antiqua" w:cs="Arial"/>
          <w:sz w:val="24"/>
          <w:szCs w:val="24"/>
          <w:lang w:val="es-PR"/>
        </w:rPr>
        <w:t>(y) …</w:t>
      </w:r>
      <w:r w:rsidR="00513C16">
        <w:rPr>
          <w:rFonts w:ascii="Book Antiqua" w:hAnsi="Book Antiqua" w:cs="Arial"/>
          <w:sz w:val="24"/>
          <w:szCs w:val="24"/>
          <w:lang w:val="es-PR"/>
        </w:rPr>
        <w:t xml:space="preserve"> </w:t>
      </w:r>
      <w:r w:rsidR="00513C16" w:rsidRPr="00513C16">
        <w:rPr>
          <w:rFonts w:ascii="Book Antiqua" w:hAnsi="Book Antiqua" w:cs="Arial"/>
          <w:i/>
          <w:iCs/>
          <w:sz w:val="24"/>
          <w:szCs w:val="24"/>
          <w:u w:val="single"/>
          <w:lang w:val="es-PR"/>
        </w:rPr>
        <w:t>“</w:t>
      </w:r>
    </w:p>
    <w:p w14:paraId="56A19148" w14:textId="77777777" w:rsidR="00836955" w:rsidRPr="002B02A6" w:rsidRDefault="00D930B9" w:rsidP="006253B2">
      <w:pPr>
        <w:spacing w:line="480" w:lineRule="auto"/>
        <w:ind w:firstLine="360"/>
        <w:rPr>
          <w:rFonts w:ascii="Book Antiqua" w:hAnsi="Book Antiqua"/>
          <w:sz w:val="24"/>
          <w:szCs w:val="24"/>
          <w:lang w:val="es-ES_tradnl"/>
        </w:rPr>
      </w:pPr>
      <w:r>
        <w:rPr>
          <w:rFonts w:ascii="Book Antiqua" w:hAnsi="Book Antiqua"/>
          <w:sz w:val="24"/>
          <w:szCs w:val="24"/>
          <w:lang w:val="es-ES_tradnl"/>
        </w:rPr>
        <w:t>Sección</w:t>
      </w:r>
      <w:r w:rsidR="00836955" w:rsidRPr="002B02A6">
        <w:rPr>
          <w:rFonts w:ascii="Book Antiqua" w:eastAsia="Times New Roman" w:hAnsi="Book Antiqua"/>
          <w:sz w:val="24"/>
          <w:szCs w:val="24"/>
          <w:lang w:val="es-PR"/>
        </w:rPr>
        <w:t xml:space="preserve"> 4.-</w:t>
      </w:r>
      <w:r w:rsidR="003276E2" w:rsidRPr="002B02A6">
        <w:rPr>
          <w:rFonts w:ascii="Book Antiqua" w:hAnsi="Book Antiqua" w:cs="Arial"/>
          <w:sz w:val="24"/>
          <w:szCs w:val="24"/>
          <w:lang w:val="es-PR"/>
        </w:rPr>
        <w:t xml:space="preserve"> </w:t>
      </w:r>
      <w:r w:rsidR="001726E9" w:rsidRPr="001726E9">
        <w:rPr>
          <w:rFonts w:ascii="Book Antiqua" w:hAnsi="Book Antiqua" w:cs="Arial"/>
          <w:sz w:val="24"/>
          <w:szCs w:val="24"/>
        </w:rPr>
        <w:t>El Departamento de Recursos Naturales y la Oficina de Gerencia de Permisos deberán adoptar todas las providencias reglamentarias pertinentes para el cumplimiento de esta ley en un término de 180 días. Asimismo, deberán revisar, en ese mismo plazo, su autoridad estatutaria, sus reglamentos administrativos, sus políticas y procedimientos, con el fin de identificar posibles deficiencias o inconsistencias que puedan impedir el cumplimiento total de los fines y disposiciones de esta ley. La reglamentación deberá promulgarse conforme a lo establecido en la Ley</w:t>
      </w:r>
      <w:r w:rsidR="00513C16">
        <w:rPr>
          <w:rFonts w:ascii="Book Antiqua" w:hAnsi="Book Antiqua" w:cs="Arial"/>
          <w:sz w:val="24"/>
          <w:szCs w:val="24"/>
        </w:rPr>
        <w:t xml:space="preserve"> </w:t>
      </w:r>
      <w:r w:rsidR="001726E9" w:rsidRPr="001726E9">
        <w:rPr>
          <w:rFonts w:ascii="Book Antiqua" w:hAnsi="Book Antiqua" w:cs="Arial"/>
          <w:sz w:val="24"/>
          <w:szCs w:val="24"/>
        </w:rPr>
        <w:t>38-2017, según enmendada, conocida como “Ley de Procedimiento Administrativo Uniforme del Gobierno de Puerto Rico</w:t>
      </w:r>
      <w:r w:rsidR="003276E2" w:rsidRPr="002B02A6">
        <w:rPr>
          <w:rFonts w:ascii="Book Antiqua" w:hAnsi="Book Antiqua"/>
          <w:sz w:val="24"/>
          <w:szCs w:val="24"/>
          <w:lang w:val="es-ES_tradnl"/>
        </w:rPr>
        <w:t xml:space="preserve">”. </w:t>
      </w:r>
    </w:p>
    <w:p w14:paraId="0F4F4B4E" w14:textId="77777777" w:rsidR="00103C5B" w:rsidRPr="002B02A6" w:rsidRDefault="00D930B9" w:rsidP="00E556F8">
      <w:pPr>
        <w:spacing w:line="480" w:lineRule="auto"/>
        <w:ind w:firstLine="360"/>
        <w:rPr>
          <w:rFonts w:ascii="Book Antiqua" w:hAnsi="Book Antiqua"/>
          <w:sz w:val="24"/>
          <w:szCs w:val="24"/>
          <w:lang w:val="es-ES_tradnl"/>
        </w:rPr>
      </w:pPr>
      <w:r>
        <w:rPr>
          <w:rFonts w:ascii="Book Antiqua" w:hAnsi="Book Antiqua"/>
          <w:sz w:val="24"/>
          <w:szCs w:val="24"/>
          <w:lang w:val="es-ES_tradnl"/>
        </w:rPr>
        <w:t>Sección</w:t>
      </w:r>
      <w:r w:rsidR="003C3EFB" w:rsidRPr="002B02A6">
        <w:rPr>
          <w:rFonts w:ascii="Book Antiqua" w:hAnsi="Book Antiqua"/>
          <w:sz w:val="24"/>
          <w:szCs w:val="24"/>
        </w:rPr>
        <w:t xml:space="preserve"> </w:t>
      </w:r>
      <w:r w:rsidR="001726E9">
        <w:rPr>
          <w:rFonts w:ascii="Book Antiqua" w:hAnsi="Book Antiqua"/>
          <w:sz w:val="24"/>
          <w:szCs w:val="24"/>
        </w:rPr>
        <w:t>5.</w:t>
      </w:r>
      <w:r w:rsidR="00E556F8" w:rsidRPr="002B02A6">
        <w:rPr>
          <w:rFonts w:ascii="Book Antiqua" w:hAnsi="Book Antiqua"/>
          <w:sz w:val="24"/>
          <w:szCs w:val="24"/>
        </w:rPr>
        <w:t>-</w:t>
      </w:r>
      <w:r w:rsidR="00103C5B" w:rsidRPr="002B02A6">
        <w:rPr>
          <w:rFonts w:ascii="Book Antiqua" w:hAnsi="Book Antiqua"/>
          <w:sz w:val="24"/>
          <w:szCs w:val="24"/>
          <w:lang w:val="es-ES_tradnl"/>
        </w:rPr>
        <w:t>Esta Ley comenzará a regir inmediatamente después de su aprobación.</w:t>
      </w:r>
    </w:p>
    <w:sectPr w:rsidR="00103C5B" w:rsidRPr="002B02A6" w:rsidSect="0060374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52A1C" w14:textId="77777777" w:rsidR="00403B74" w:rsidRDefault="00403B74" w:rsidP="00732205">
      <w:r>
        <w:separator/>
      </w:r>
    </w:p>
  </w:endnote>
  <w:endnote w:type="continuationSeparator" w:id="0">
    <w:p w14:paraId="6E298F96" w14:textId="77777777" w:rsidR="00403B74" w:rsidRDefault="00403B74"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C54C9" w14:textId="77777777" w:rsidR="00403B74" w:rsidRDefault="00403B74" w:rsidP="00732205">
      <w:r>
        <w:separator/>
      </w:r>
    </w:p>
  </w:footnote>
  <w:footnote w:type="continuationSeparator" w:id="0">
    <w:p w14:paraId="6D8E83CD" w14:textId="77777777" w:rsidR="00403B74" w:rsidRDefault="00403B74" w:rsidP="0073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6D0E1" w14:textId="77777777" w:rsidR="00AA20E2" w:rsidRDefault="00AA20E2">
    <w:pPr>
      <w:pStyle w:val="Header"/>
      <w:jc w:val="center"/>
    </w:pPr>
    <w:r>
      <w:rPr>
        <w:rStyle w:val="PageNumber"/>
      </w:rPr>
      <w:fldChar w:fldCharType="begin"/>
    </w:r>
    <w:r>
      <w:rPr>
        <w:rStyle w:val="PageNumber"/>
      </w:rPr>
      <w:instrText xml:space="preserve"> PAGE </w:instrText>
    </w:r>
    <w:r>
      <w:rPr>
        <w:rStyle w:val="PageNumber"/>
      </w:rPr>
      <w:fldChar w:fldCharType="separate"/>
    </w:r>
    <w:r w:rsidR="003961B0">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66639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C6032"/>
    <w:multiLevelType w:val="hybridMultilevel"/>
    <w:tmpl w:val="912CB290"/>
    <w:lvl w:ilvl="0" w:tplc="04325CA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9FC2BD8"/>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5"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8"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0"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2"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047146"/>
    <w:multiLevelType w:val="hybridMultilevel"/>
    <w:tmpl w:val="1C8472AA"/>
    <w:lvl w:ilvl="0" w:tplc="E81C22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E06A56"/>
    <w:multiLevelType w:val="hybridMultilevel"/>
    <w:tmpl w:val="5AECA386"/>
    <w:lvl w:ilvl="0" w:tplc="5C34B864">
      <w:start w:val="1"/>
      <w:numFmt w:val="lowerLetter"/>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9"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3"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B74AC7"/>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6"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7"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33"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788548736">
    <w:abstractNumId w:val="28"/>
  </w:num>
  <w:num w:numId="2" w16cid:durableId="246429563">
    <w:abstractNumId w:val="29"/>
  </w:num>
  <w:num w:numId="3" w16cid:durableId="674234864">
    <w:abstractNumId w:val="16"/>
  </w:num>
  <w:num w:numId="4" w16cid:durableId="159348133">
    <w:abstractNumId w:val="2"/>
  </w:num>
  <w:num w:numId="5" w16cid:durableId="496581118">
    <w:abstractNumId w:val="13"/>
  </w:num>
  <w:num w:numId="6" w16cid:durableId="1997608509">
    <w:abstractNumId w:val="19"/>
  </w:num>
  <w:num w:numId="7" w16cid:durableId="1608074866">
    <w:abstractNumId w:val="24"/>
  </w:num>
  <w:num w:numId="8" w16cid:durableId="905185356">
    <w:abstractNumId w:val="22"/>
  </w:num>
  <w:num w:numId="9" w16cid:durableId="32460467">
    <w:abstractNumId w:val="30"/>
  </w:num>
  <w:num w:numId="10" w16cid:durableId="1754399457">
    <w:abstractNumId w:val="10"/>
  </w:num>
  <w:num w:numId="11" w16cid:durableId="780536328">
    <w:abstractNumId w:val="17"/>
  </w:num>
  <w:num w:numId="12" w16cid:durableId="2141533262">
    <w:abstractNumId w:val="14"/>
  </w:num>
  <w:num w:numId="13" w16cid:durableId="1311207183">
    <w:abstractNumId w:val="27"/>
  </w:num>
  <w:num w:numId="14" w16cid:durableId="1388409236">
    <w:abstractNumId w:val="12"/>
  </w:num>
  <w:num w:numId="15" w16cid:durableId="2139493136">
    <w:abstractNumId w:val="6"/>
  </w:num>
  <w:num w:numId="16" w16cid:durableId="329673481">
    <w:abstractNumId w:val="5"/>
  </w:num>
  <w:num w:numId="17" w16cid:durableId="2067608191">
    <w:abstractNumId w:val="33"/>
  </w:num>
  <w:num w:numId="18" w16cid:durableId="1838576350">
    <w:abstractNumId w:val="7"/>
  </w:num>
  <w:num w:numId="19" w16cid:durableId="2126850160">
    <w:abstractNumId w:val="26"/>
  </w:num>
  <w:num w:numId="20" w16cid:durableId="4833987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0277680">
    <w:abstractNumId w:val="11"/>
  </w:num>
  <w:num w:numId="22" w16cid:durableId="400568809">
    <w:abstractNumId w:val="32"/>
  </w:num>
  <w:num w:numId="23" w16cid:durableId="1884710663">
    <w:abstractNumId w:val="3"/>
  </w:num>
  <w:num w:numId="24" w16cid:durableId="1250113093">
    <w:abstractNumId w:val="9"/>
  </w:num>
  <w:num w:numId="25" w16cid:durableId="866796986">
    <w:abstractNumId w:val="8"/>
  </w:num>
  <w:num w:numId="26" w16cid:durableId="786700407">
    <w:abstractNumId w:val="31"/>
  </w:num>
  <w:num w:numId="27" w16cid:durableId="1200246178">
    <w:abstractNumId w:val="23"/>
  </w:num>
  <w:num w:numId="28" w16cid:durableId="2080788910">
    <w:abstractNumId w:val="20"/>
  </w:num>
  <w:num w:numId="29" w16cid:durableId="984359404">
    <w:abstractNumId w:val="21"/>
  </w:num>
  <w:num w:numId="30" w16cid:durableId="20127162">
    <w:abstractNumId w:val="0"/>
  </w:num>
  <w:num w:numId="31" w16cid:durableId="352221551">
    <w:abstractNumId w:val="18"/>
  </w:num>
  <w:num w:numId="32" w16cid:durableId="1940217511">
    <w:abstractNumId w:val="1"/>
  </w:num>
  <w:num w:numId="33" w16cid:durableId="1699314875">
    <w:abstractNumId w:val="25"/>
  </w:num>
  <w:num w:numId="34" w16cid:durableId="1827890008">
    <w:abstractNumId w:val="4"/>
  </w:num>
  <w:num w:numId="35" w16cid:durableId="280657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7A9"/>
    <w:rsid w:val="00006C0A"/>
    <w:rsid w:val="000070A8"/>
    <w:rsid w:val="0001351A"/>
    <w:rsid w:val="00015D5D"/>
    <w:rsid w:val="00017D51"/>
    <w:rsid w:val="00027F6F"/>
    <w:rsid w:val="00027FC2"/>
    <w:rsid w:val="000321E6"/>
    <w:rsid w:val="0003391A"/>
    <w:rsid w:val="00035AC1"/>
    <w:rsid w:val="00046098"/>
    <w:rsid w:val="0004665F"/>
    <w:rsid w:val="00050570"/>
    <w:rsid w:val="00050C6C"/>
    <w:rsid w:val="000543EF"/>
    <w:rsid w:val="000620DE"/>
    <w:rsid w:val="000755F1"/>
    <w:rsid w:val="00075AA1"/>
    <w:rsid w:val="00083405"/>
    <w:rsid w:val="000853E4"/>
    <w:rsid w:val="000876E0"/>
    <w:rsid w:val="000876EC"/>
    <w:rsid w:val="00090930"/>
    <w:rsid w:val="000914F7"/>
    <w:rsid w:val="00096946"/>
    <w:rsid w:val="00097588"/>
    <w:rsid w:val="00097BD7"/>
    <w:rsid w:val="00097E32"/>
    <w:rsid w:val="000A0A20"/>
    <w:rsid w:val="000A4442"/>
    <w:rsid w:val="000B0F28"/>
    <w:rsid w:val="000B237D"/>
    <w:rsid w:val="000B2D10"/>
    <w:rsid w:val="000B4917"/>
    <w:rsid w:val="000B5742"/>
    <w:rsid w:val="000B5EF9"/>
    <w:rsid w:val="000C0D41"/>
    <w:rsid w:val="000C0F87"/>
    <w:rsid w:val="000C4840"/>
    <w:rsid w:val="000C6465"/>
    <w:rsid w:val="000D0F56"/>
    <w:rsid w:val="000D4AB0"/>
    <w:rsid w:val="000D7667"/>
    <w:rsid w:val="000E1D7A"/>
    <w:rsid w:val="000E1DD3"/>
    <w:rsid w:val="000E2E6C"/>
    <w:rsid w:val="000E3BCB"/>
    <w:rsid w:val="000E50AD"/>
    <w:rsid w:val="000F0F0F"/>
    <w:rsid w:val="000F44C6"/>
    <w:rsid w:val="000F455C"/>
    <w:rsid w:val="000F67B1"/>
    <w:rsid w:val="000F6A09"/>
    <w:rsid w:val="00100C68"/>
    <w:rsid w:val="001020DA"/>
    <w:rsid w:val="00103C5B"/>
    <w:rsid w:val="00107049"/>
    <w:rsid w:val="00113550"/>
    <w:rsid w:val="00113864"/>
    <w:rsid w:val="001144FC"/>
    <w:rsid w:val="00114FE7"/>
    <w:rsid w:val="00117F1A"/>
    <w:rsid w:val="001205F3"/>
    <w:rsid w:val="00122BA7"/>
    <w:rsid w:val="001266BC"/>
    <w:rsid w:val="001358A8"/>
    <w:rsid w:val="00141D55"/>
    <w:rsid w:val="00143E5E"/>
    <w:rsid w:val="00144596"/>
    <w:rsid w:val="00146F17"/>
    <w:rsid w:val="00147B22"/>
    <w:rsid w:val="00150298"/>
    <w:rsid w:val="00150C7B"/>
    <w:rsid w:val="00150E2E"/>
    <w:rsid w:val="001533A3"/>
    <w:rsid w:val="00153998"/>
    <w:rsid w:val="001556E2"/>
    <w:rsid w:val="00155E2C"/>
    <w:rsid w:val="001624C6"/>
    <w:rsid w:val="001638C2"/>
    <w:rsid w:val="001642A6"/>
    <w:rsid w:val="00166E17"/>
    <w:rsid w:val="00172086"/>
    <w:rsid w:val="001726E9"/>
    <w:rsid w:val="00173217"/>
    <w:rsid w:val="00176E61"/>
    <w:rsid w:val="0018057C"/>
    <w:rsid w:val="001826F9"/>
    <w:rsid w:val="00183811"/>
    <w:rsid w:val="0018784F"/>
    <w:rsid w:val="001901D3"/>
    <w:rsid w:val="00191AC0"/>
    <w:rsid w:val="00192D7E"/>
    <w:rsid w:val="00193DA6"/>
    <w:rsid w:val="0019586E"/>
    <w:rsid w:val="00195BF3"/>
    <w:rsid w:val="001971C6"/>
    <w:rsid w:val="001A192F"/>
    <w:rsid w:val="001A1CC0"/>
    <w:rsid w:val="001A5C1A"/>
    <w:rsid w:val="001B0FEE"/>
    <w:rsid w:val="001B233F"/>
    <w:rsid w:val="001C1099"/>
    <w:rsid w:val="001C1986"/>
    <w:rsid w:val="001C703F"/>
    <w:rsid w:val="001C764E"/>
    <w:rsid w:val="001D0273"/>
    <w:rsid w:val="001D061F"/>
    <w:rsid w:val="001E58F4"/>
    <w:rsid w:val="001F0D75"/>
    <w:rsid w:val="001F20DD"/>
    <w:rsid w:val="001F2D7A"/>
    <w:rsid w:val="001F5945"/>
    <w:rsid w:val="00202F66"/>
    <w:rsid w:val="002037D3"/>
    <w:rsid w:val="002043A4"/>
    <w:rsid w:val="0020684E"/>
    <w:rsid w:val="00211FF5"/>
    <w:rsid w:val="00213131"/>
    <w:rsid w:val="002136E6"/>
    <w:rsid w:val="002148C1"/>
    <w:rsid w:val="002201F5"/>
    <w:rsid w:val="00220CBE"/>
    <w:rsid w:val="00223190"/>
    <w:rsid w:val="00225210"/>
    <w:rsid w:val="0022693F"/>
    <w:rsid w:val="00226F91"/>
    <w:rsid w:val="00231E37"/>
    <w:rsid w:val="00237B9A"/>
    <w:rsid w:val="002449EC"/>
    <w:rsid w:val="00247B8D"/>
    <w:rsid w:val="00253076"/>
    <w:rsid w:val="00253653"/>
    <w:rsid w:val="002571BF"/>
    <w:rsid w:val="002626B6"/>
    <w:rsid w:val="00262D6D"/>
    <w:rsid w:val="0026543B"/>
    <w:rsid w:val="00270C5C"/>
    <w:rsid w:val="0027182A"/>
    <w:rsid w:val="0027242A"/>
    <w:rsid w:val="00276D30"/>
    <w:rsid w:val="00280A26"/>
    <w:rsid w:val="00281B79"/>
    <w:rsid w:val="00281C36"/>
    <w:rsid w:val="00284714"/>
    <w:rsid w:val="0028487F"/>
    <w:rsid w:val="00285109"/>
    <w:rsid w:val="00297992"/>
    <w:rsid w:val="002A07B1"/>
    <w:rsid w:val="002A0EA5"/>
    <w:rsid w:val="002A270D"/>
    <w:rsid w:val="002A30ED"/>
    <w:rsid w:val="002A3A57"/>
    <w:rsid w:val="002A6750"/>
    <w:rsid w:val="002A6E80"/>
    <w:rsid w:val="002B02A6"/>
    <w:rsid w:val="002B1DC6"/>
    <w:rsid w:val="002B2D3B"/>
    <w:rsid w:val="002B3381"/>
    <w:rsid w:val="002B5F72"/>
    <w:rsid w:val="002C504E"/>
    <w:rsid w:val="002C5F50"/>
    <w:rsid w:val="002D7B16"/>
    <w:rsid w:val="002E7076"/>
    <w:rsid w:val="002F0759"/>
    <w:rsid w:val="002F1359"/>
    <w:rsid w:val="002F359D"/>
    <w:rsid w:val="002F4645"/>
    <w:rsid w:val="002F4B03"/>
    <w:rsid w:val="00300E24"/>
    <w:rsid w:val="003015A8"/>
    <w:rsid w:val="00314AD2"/>
    <w:rsid w:val="00317078"/>
    <w:rsid w:val="00322FA0"/>
    <w:rsid w:val="003234EC"/>
    <w:rsid w:val="00326C73"/>
    <w:rsid w:val="003276E2"/>
    <w:rsid w:val="0033271D"/>
    <w:rsid w:val="00337007"/>
    <w:rsid w:val="00337524"/>
    <w:rsid w:val="003379C5"/>
    <w:rsid w:val="0034170C"/>
    <w:rsid w:val="00345769"/>
    <w:rsid w:val="003458E5"/>
    <w:rsid w:val="0035474A"/>
    <w:rsid w:val="00357305"/>
    <w:rsid w:val="00364D3F"/>
    <w:rsid w:val="0037271E"/>
    <w:rsid w:val="00373454"/>
    <w:rsid w:val="0037454B"/>
    <w:rsid w:val="00375681"/>
    <w:rsid w:val="00376158"/>
    <w:rsid w:val="003802C4"/>
    <w:rsid w:val="003813B8"/>
    <w:rsid w:val="00387E31"/>
    <w:rsid w:val="0039182F"/>
    <w:rsid w:val="00395C52"/>
    <w:rsid w:val="003961B0"/>
    <w:rsid w:val="003A2108"/>
    <w:rsid w:val="003A39EB"/>
    <w:rsid w:val="003A4A25"/>
    <w:rsid w:val="003A5C99"/>
    <w:rsid w:val="003A675E"/>
    <w:rsid w:val="003A7B1A"/>
    <w:rsid w:val="003B664F"/>
    <w:rsid w:val="003C3B0D"/>
    <w:rsid w:val="003C3EFB"/>
    <w:rsid w:val="003C6B26"/>
    <w:rsid w:val="003D390A"/>
    <w:rsid w:val="003E0CEB"/>
    <w:rsid w:val="003E23BD"/>
    <w:rsid w:val="003E52F0"/>
    <w:rsid w:val="003E5B55"/>
    <w:rsid w:val="003E7AAC"/>
    <w:rsid w:val="003F032B"/>
    <w:rsid w:val="003F0FBF"/>
    <w:rsid w:val="003F3EF9"/>
    <w:rsid w:val="003F4341"/>
    <w:rsid w:val="003F532D"/>
    <w:rsid w:val="004005F0"/>
    <w:rsid w:val="00403B74"/>
    <w:rsid w:val="00405142"/>
    <w:rsid w:val="00406FD4"/>
    <w:rsid w:val="00410CAF"/>
    <w:rsid w:val="00420A5F"/>
    <w:rsid w:val="00427580"/>
    <w:rsid w:val="004279CD"/>
    <w:rsid w:val="004328AA"/>
    <w:rsid w:val="00433D0D"/>
    <w:rsid w:val="00433FF1"/>
    <w:rsid w:val="004371EF"/>
    <w:rsid w:val="00440149"/>
    <w:rsid w:val="00443DE2"/>
    <w:rsid w:val="00446E5A"/>
    <w:rsid w:val="00447840"/>
    <w:rsid w:val="0045084C"/>
    <w:rsid w:val="004608F4"/>
    <w:rsid w:val="0046198E"/>
    <w:rsid w:val="004728F1"/>
    <w:rsid w:val="00475188"/>
    <w:rsid w:val="00480701"/>
    <w:rsid w:val="00480A5C"/>
    <w:rsid w:val="00483DCD"/>
    <w:rsid w:val="00483F56"/>
    <w:rsid w:val="004843C3"/>
    <w:rsid w:val="00485A4B"/>
    <w:rsid w:val="0049087D"/>
    <w:rsid w:val="0049765B"/>
    <w:rsid w:val="004A0B12"/>
    <w:rsid w:val="004B0DB6"/>
    <w:rsid w:val="004B2E74"/>
    <w:rsid w:val="004C0D11"/>
    <w:rsid w:val="004C1E9C"/>
    <w:rsid w:val="004C2B29"/>
    <w:rsid w:val="004C3068"/>
    <w:rsid w:val="004C41E7"/>
    <w:rsid w:val="004D79E9"/>
    <w:rsid w:val="004E01B3"/>
    <w:rsid w:val="004E2DDB"/>
    <w:rsid w:val="004E5C29"/>
    <w:rsid w:val="004E66CE"/>
    <w:rsid w:val="004E7762"/>
    <w:rsid w:val="004F03E3"/>
    <w:rsid w:val="004F0931"/>
    <w:rsid w:val="004F309A"/>
    <w:rsid w:val="004F5EB7"/>
    <w:rsid w:val="004F684D"/>
    <w:rsid w:val="004F798A"/>
    <w:rsid w:val="00504727"/>
    <w:rsid w:val="00504743"/>
    <w:rsid w:val="00504C55"/>
    <w:rsid w:val="00506A57"/>
    <w:rsid w:val="005077C6"/>
    <w:rsid w:val="00507E3E"/>
    <w:rsid w:val="00510A67"/>
    <w:rsid w:val="005137CB"/>
    <w:rsid w:val="00513C16"/>
    <w:rsid w:val="00517134"/>
    <w:rsid w:val="005174DC"/>
    <w:rsid w:val="00527692"/>
    <w:rsid w:val="00530A8C"/>
    <w:rsid w:val="00532E40"/>
    <w:rsid w:val="005429F4"/>
    <w:rsid w:val="005469FC"/>
    <w:rsid w:val="00550960"/>
    <w:rsid w:val="005549A1"/>
    <w:rsid w:val="00562CE0"/>
    <w:rsid w:val="005637D3"/>
    <w:rsid w:val="00563BAD"/>
    <w:rsid w:val="00567BA4"/>
    <w:rsid w:val="00570A3A"/>
    <w:rsid w:val="00571CA6"/>
    <w:rsid w:val="005735EC"/>
    <w:rsid w:val="00573F11"/>
    <w:rsid w:val="005757FF"/>
    <w:rsid w:val="005767CC"/>
    <w:rsid w:val="00576ACB"/>
    <w:rsid w:val="00581DEE"/>
    <w:rsid w:val="00583712"/>
    <w:rsid w:val="00583742"/>
    <w:rsid w:val="00584F66"/>
    <w:rsid w:val="005909A9"/>
    <w:rsid w:val="005A0E85"/>
    <w:rsid w:val="005A433F"/>
    <w:rsid w:val="005A5BA3"/>
    <w:rsid w:val="005A6DE6"/>
    <w:rsid w:val="005B36A8"/>
    <w:rsid w:val="005C10C4"/>
    <w:rsid w:val="005C1548"/>
    <w:rsid w:val="005C31B6"/>
    <w:rsid w:val="005D246C"/>
    <w:rsid w:val="005D44B1"/>
    <w:rsid w:val="005E02D6"/>
    <w:rsid w:val="005E052F"/>
    <w:rsid w:val="005E0F50"/>
    <w:rsid w:val="005E3161"/>
    <w:rsid w:val="005E3A63"/>
    <w:rsid w:val="005E74CF"/>
    <w:rsid w:val="006001F2"/>
    <w:rsid w:val="0060095A"/>
    <w:rsid w:val="00601A68"/>
    <w:rsid w:val="0060272A"/>
    <w:rsid w:val="00603740"/>
    <w:rsid w:val="00604B31"/>
    <w:rsid w:val="00612764"/>
    <w:rsid w:val="00615E41"/>
    <w:rsid w:val="006179D6"/>
    <w:rsid w:val="00620594"/>
    <w:rsid w:val="006231EC"/>
    <w:rsid w:val="00624D57"/>
    <w:rsid w:val="006253B2"/>
    <w:rsid w:val="00627A21"/>
    <w:rsid w:val="00627DE4"/>
    <w:rsid w:val="0063133E"/>
    <w:rsid w:val="00633796"/>
    <w:rsid w:val="0063581C"/>
    <w:rsid w:val="006426E2"/>
    <w:rsid w:val="00645CCB"/>
    <w:rsid w:val="0065070A"/>
    <w:rsid w:val="00650D43"/>
    <w:rsid w:val="00652EC3"/>
    <w:rsid w:val="00654F13"/>
    <w:rsid w:val="00655556"/>
    <w:rsid w:val="00657C5F"/>
    <w:rsid w:val="00660434"/>
    <w:rsid w:val="0066372D"/>
    <w:rsid w:val="0066510C"/>
    <w:rsid w:val="00665D82"/>
    <w:rsid w:val="00672D29"/>
    <w:rsid w:val="00673175"/>
    <w:rsid w:val="00675A40"/>
    <w:rsid w:val="006773E5"/>
    <w:rsid w:val="00686920"/>
    <w:rsid w:val="006869D0"/>
    <w:rsid w:val="00686AB3"/>
    <w:rsid w:val="00687FD0"/>
    <w:rsid w:val="00691EB1"/>
    <w:rsid w:val="006A0874"/>
    <w:rsid w:val="006A1174"/>
    <w:rsid w:val="006A5D63"/>
    <w:rsid w:val="006A69FA"/>
    <w:rsid w:val="006A771E"/>
    <w:rsid w:val="006A7FE9"/>
    <w:rsid w:val="006B4CAD"/>
    <w:rsid w:val="006C0106"/>
    <w:rsid w:val="006C05EE"/>
    <w:rsid w:val="006C2502"/>
    <w:rsid w:val="006C5055"/>
    <w:rsid w:val="006C5380"/>
    <w:rsid w:val="006D26F8"/>
    <w:rsid w:val="006D48FF"/>
    <w:rsid w:val="006D597A"/>
    <w:rsid w:val="006D76D4"/>
    <w:rsid w:val="006E1F93"/>
    <w:rsid w:val="006F2FCB"/>
    <w:rsid w:val="006F4993"/>
    <w:rsid w:val="006F705B"/>
    <w:rsid w:val="006F7951"/>
    <w:rsid w:val="007011EF"/>
    <w:rsid w:val="00701412"/>
    <w:rsid w:val="00701FFD"/>
    <w:rsid w:val="00703803"/>
    <w:rsid w:val="0070463C"/>
    <w:rsid w:val="00704BC9"/>
    <w:rsid w:val="007058E4"/>
    <w:rsid w:val="00710222"/>
    <w:rsid w:val="007102E4"/>
    <w:rsid w:val="00710621"/>
    <w:rsid w:val="00711BDF"/>
    <w:rsid w:val="00713AE9"/>
    <w:rsid w:val="00726187"/>
    <w:rsid w:val="00732205"/>
    <w:rsid w:val="00733373"/>
    <w:rsid w:val="00737195"/>
    <w:rsid w:val="007442D4"/>
    <w:rsid w:val="00750353"/>
    <w:rsid w:val="0075609D"/>
    <w:rsid w:val="00760B34"/>
    <w:rsid w:val="007610FD"/>
    <w:rsid w:val="007631AA"/>
    <w:rsid w:val="00765322"/>
    <w:rsid w:val="007676A0"/>
    <w:rsid w:val="007704A9"/>
    <w:rsid w:val="00771225"/>
    <w:rsid w:val="007733C9"/>
    <w:rsid w:val="00774FF8"/>
    <w:rsid w:val="00781D10"/>
    <w:rsid w:val="00784606"/>
    <w:rsid w:val="007867FE"/>
    <w:rsid w:val="007906CD"/>
    <w:rsid w:val="00791F50"/>
    <w:rsid w:val="007925E9"/>
    <w:rsid w:val="007959E1"/>
    <w:rsid w:val="007A508A"/>
    <w:rsid w:val="007B398D"/>
    <w:rsid w:val="007B6CDB"/>
    <w:rsid w:val="007D5906"/>
    <w:rsid w:val="007E6083"/>
    <w:rsid w:val="007F054A"/>
    <w:rsid w:val="007F1B47"/>
    <w:rsid w:val="007F21B5"/>
    <w:rsid w:val="007F7CE8"/>
    <w:rsid w:val="0080128C"/>
    <w:rsid w:val="00801671"/>
    <w:rsid w:val="00805652"/>
    <w:rsid w:val="00810B7F"/>
    <w:rsid w:val="00815F09"/>
    <w:rsid w:val="008202B2"/>
    <w:rsid w:val="00821031"/>
    <w:rsid w:val="0082176A"/>
    <w:rsid w:val="00823B1C"/>
    <w:rsid w:val="00826DFA"/>
    <w:rsid w:val="0082759A"/>
    <w:rsid w:val="00832F4B"/>
    <w:rsid w:val="0083663E"/>
    <w:rsid w:val="00836955"/>
    <w:rsid w:val="008369B6"/>
    <w:rsid w:val="00841876"/>
    <w:rsid w:val="00842478"/>
    <w:rsid w:val="00842B60"/>
    <w:rsid w:val="008452B0"/>
    <w:rsid w:val="00845581"/>
    <w:rsid w:val="008463A5"/>
    <w:rsid w:val="00853E43"/>
    <w:rsid w:val="00855ED9"/>
    <w:rsid w:val="00857475"/>
    <w:rsid w:val="0086314C"/>
    <w:rsid w:val="00872E87"/>
    <w:rsid w:val="00872EBB"/>
    <w:rsid w:val="00876894"/>
    <w:rsid w:val="0088008C"/>
    <w:rsid w:val="00884EB0"/>
    <w:rsid w:val="0088701B"/>
    <w:rsid w:val="00890B88"/>
    <w:rsid w:val="008920ED"/>
    <w:rsid w:val="008A00D6"/>
    <w:rsid w:val="008A1147"/>
    <w:rsid w:val="008A145B"/>
    <w:rsid w:val="008A6045"/>
    <w:rsid w:val="008A6AD0"/>
    <w:rsid w:val="008B104D"/>
    <w:rsid w:val="008B4FDA"/>
    <w:rsid w:val="008B6D87"/>
    <w:rsid w:val="008C4BB5"/>
    <w:rsid w:val="008C5CCD"/>
    <w:rsid w:val="008D1528"/>
    <w:rsid w:val="008D4B2A"/>
    <w:rsid w:val="008D727D"/>
    <w:rsid w:val="008E137D"/>
    <w:rsid w:val="008E1862"/>
    <w:rsid w:val="008E3955"/>
    <w:rsid w:val="008E7AF6"/>
    <w:rsid w:val="008F00DF"/>
    <w:rsid w:val="008F42B3"/>
    <w:rsid w:val="008F5B1C"/>
    <w:rsid w:val="00904B42"/>
    <w:rsid w:val="00907750"/>
    <w:rsid w:val="00910908"/>
    <w:rsid w:val="00911B94"/>
    <w:rsid w:val="00914480"/>
    <w:rsid w:val="00917A4D"/>
    <w:rsid w:val="00921124"/>
    <w:rsid w:val="00924A08"/>
    <w:rsid w:val="009270D6"/>
    <w:rsid w:val="00927A6A"/>
    <w:rsid w:val="009302DC"/>
    <w:rsid w:val="0093688A"/>
    <w:rsid w:val="00937E0F"/>
    <w:rsid w:val="00942835"/>
    <w:rsid w:val="009461E3"/>
    <w:rsid w:val="00956870"/>
    <w:rsid w:val="00957AF0"/>
    <w:rsid w:val="0096126E"/>
    <w:rsid w:val="00971DE4"/>
    <w:rsid w:val="00977994"/>
    <w:rsid w:val="009801FB"/>
    <w:rsid w:val="00981CBA"/>
    <w:rsid w:val="009838C4"/>
    <w:rsid w:val="009853EF"/>
    <w:rsid w:val="009A49BB"/>
    <w:rsid w:val="009A5700"/>
    <w:rsid w:val="009A580C"/>
    <w:rsid w:val="009B4044"/>
    <w:rsid w:val="009B5FB8"/>
    <w:rsid w:val="009B7971"/>
    <w:rsid w:val="009C176E"/>
    <w:rsid w:val="009C1FAF"/>
    <w:rsid w:val="009C2875"/>
    <w:rsid w:val="009C4A9A"/>
    <w:rsid w:val="009C4DDF"/>
    <w:rsid w:val="009D1AB4"/>
    <w:rsid w:val="009D3306"/>
    <w:rsid w:val="009D72E7"/>
    <w:rsid w:val="009E318F"/>
    <w:rsid w:val="009E39F1"/>
    <w:rsid w:val="009E7303"/>
    <w:rsid w:val="009E79B8"/>
    <w:rsid w:val="009E7E94"/>
    <w:rsid w:val="009F21DC"/>
    <w:rsid w:val="00A0045C"/>
    <w:rsid w:val="00A02C15"/>
    <w:rsid w:val="00A03732"/>
    <w:rsid w:val="00A072E2"/>
    <w:rsid w:val="00A10966"/>
    <w:rsid w:val="00A10F6B"/>
    <w:rsid w:val="00A1523B"/>
    <w:rsid w:val="00A224E5"/>
    <w:rsid w:val="00A237D9"/>
    <w:rsid w:val="00A27428"/>
    <w:rsid w:val="00A33D68"/>
    <w:rsid w:val="00A36991"/>
    <w:rsid w:val="00A36FB3"/>
    <w:rsid w:val="00A40E61"/>
    <w:rsid w:val="00A42D9A"/>
    <w:rsid w:val="00A43DA5"/>
    <w:rsid w:val="00A44EA5"/>
    <w:rsid w:val="00A53C56"/>
    <w:rsid w:val="00A55793"/>
    <w:rsid w:val="00A60C26"/>
    <w:rsid w:val="00A635E0"/>
    <w:rsid w:val="00A64909"/>
    <w:rsid w:val="00A74C59"/>
    <w:rsid w:val="00A80B49"/>
    <w:rsid w:val="00A81EF5"/>
    <w:rsid w:val="00A8279B"/>
    <w:rsid w:val="00A84094"/>
    <w:rsid w:val="00A87FF7"/>
    <w:rsid w:val="00A9046E"/>
    <w:rsid w:val="00A919DB"/>
    <w:rsid w:val="00A9268B"/>
    <w:rsid w:val="00A972A2"/>
    <w:rsid w:val="00AA027D"/>
    <w:rsid w:val="00AA1C27"/>
    <w:rsid w:val="00AA20E2"/>
    <w:rsid w:val="00AA23B4"/>
    <w:rsid w:val="00AA284E"/>
    <w:rsid w:val="00AA2AED"/>
    <w:rsid w:val="00AA665B"/>
    <w:rsid w:val="00AA76BF"/>
    <w:rsid w:val="00AB0555"/>
    <w:rsid w:val="00AB1E5B"/>
    <w:rsid w:val="00AB23D2"/>
    <w:rsid w:val="00AB2F1F"/>
    <w:rsid w:val="00AB525D"/>
    <w:rsid w:val="00AB7BE8"/>
    <w:rsid w:val="00AC1D0F"/>
    <w:rsid w:val="00AC4B65"/>
    <w:rsid w:val="00AC6F2D"/>
    <w:rsid w:val="00AD0E63"/>
    <w:rsid w:val="00AD3238"/>
    <w:rsid w:val="00AD3784"/>
    <w:rsid w:val="00AD51AF"/>
    <w:rsid w:val="00AD5C77"/>
    <w:rsid w:val="00AE0873"/>
    <w:rsid w:val="00AE3852"/>
    <w:rsid w:val="00AE4C58"/>
    <w:rsid w:val="00AE5688"/>
    <w:rsid w:val="00AF092F"/>
    <w:rsid w:val="00AF0D22"/>
    <w:rsid w:val="00AF1CDB"/>
    <w:rsid w:val="00B0149A"/>
    <w:rsid w:val="00B119FD"/>
    <w:rsid w:val="00B13C1B"/>
    <w:rsid w:val="00B2095A"/>
    <w:rsid w:val="00B21552"/>
    <w:rsid w:val="00B22E1A"/>
    <w:rsid w:val="00B27AE5"/>
    <w:rsid w:val="00B3710D"/>
    <w:rsid w:val="00B41085"/>
    <w:rsid w:val="00B445AC"/>
    <w:rsid w:val="00B5105A"/>
    <w:rsid w:val="00B62ADC"/>
    <w:rsid w:val="00B6705E"/>
    <w:rsid w:val="00B676A1"/>
    <w:rsid w:val="00B71FFB"/>
    <w:rsid w:val="00B72615"/>
    <w:rsid w:val="00B764AB"/>
    <w:rsid w:val="00B76735"/>
    <w:rsid w:val="00B778F1"/>
    <w:rsid w:val="00B8193F"/>
    <w:rsid w:val="00B81968"/>
    <w:rsid w:val="00B82B2A"/>
    <w:rsid w:val="00B834C6"/>
    <w:rsid w:val="00B85648"/>
    <w:rsid w:val="00B9350F"/>
    <w:rsid w:val="00B96621"/>
    <w:rsid w:val="00BA030A"/>
    <w:rsid w:val="00BA0755"/>
    <w:rsid w:val="00BA337C"/>
    <w:rsid w:val="00BA42EC"/>
    <w:rsid w:val="00BA448F"/>
    <w:rsid w:val="00BB1A69"/>
    <w:rsid w:val="00BB21CB"/>
    <w:rsid w:val="00BB4584"/>
    <w:rsid w:val="00BB6EC9"/>
    <w:rsid w:val="00BC0A1B"/>
    <w:rsid w:val="00BC135A"/>
    <w:rsid w:val="00BD0980"/>
    <w:rsid w:val="00BD6353"/>
    <w:rsid w:val="00BD7080"/>
    <w:rsid w:val="00BE56CF"/>
    <w:rsid w:val="00BE639C"/>
    <w:rsid w:val="00BF69CE"/>
    <w:rsid w:val="00BF7D37"/>
    <w:rsid w:val="00C00694"/>
    <w:rsid w:val="00C007FE"/>
    <w:rsid w:val="00C0269E"/>
    <w:rsid w:val="00C0431C"/>
    <w:rsid w:val="00C072AF"/>
    <w:rsid w:val="00C12141"/>
    <w:rsid w:val="00C15652"/>
    <w:rsid w:val="00C16736"/>
    <w:rsid w:val="00C203D9"/>
    <w:rsid w:val="00C23F2D"/>
    <w:rsid w:val="00C31BA0"/>
    <w:rsid w:val="00C32CE0"/>
    <w:rsid w:val="00C35268"/>
    <w:rsid w:val="00C3661F"/>
    <w:rsid w:val="00C37106"/>
    <w:rsid w:val="00C371C1"/>
    <w:rsid w:val="00C43CFC"/>
    <w:rsid w:val="00C5028D"/>
    <w:rsid w:val="00C569D6"/>
    <w:rsid w:val="00C57AB9"/>
    <w:rsid w:val="00C57D83"/>
    <w:rsid w:val="00C6769D"/>
    <w:rsid w:val="00C719D6"/>
    <w:rsid w:val="00C7448D"/>
    <w:rsid w:val="00C75FF7"/>
    <w:rsid w:val="00C76FDD"/>
    <w:rsid w:val="00C844D9"/>
    <w:rsid w:val="00C912C8"/>
    <w:rsid w:val="00C93928"/>
    <w:rsid w:val="00C93B44"/>
    <w:rsid w:val="00C9587F"/>
    <w:rsid w:val="00CA4AC3"/>
    <w:rsid w:val="00CA575A"/>
    <w:rsid w:val="00CA62A1"/>
    <w:rsid w:val="00CA6807"/>
    <w:rsid w:val="00CB2AE8"/>
    <w:rsid w:val="00CB3DC7"/>
    <w:rsid w:val="00CB7BED"/>
    <w:rsid w:val="00CC25C4"/>
    <w:rsid w:val="00CC4660"/>
    <w:rsid w:val="00CC4844"/>
    <w:rsid w:val="00CC5551"/>
    <w:rsid w:val="00CC58C2"/>
    <w:rsid w:val="00CD2302"/>
    <w:rsid w:val="00CD28BA"/>
    <w:rsid w:val="00CD5772"/>
    <w:rsid w:val="00CE2618"/>
    <w:rsid w:val="00CE596F"/>
    <w:rsid w:val="00CF1FCA"/>
    <w:rsid w:val="00CF28B1"/>
    <w:rsid w:val="00CF4989"/>
    <w:rsid w:val="00CF577B"/>
    <w:rsid w:val="00CF62C5"/>
    <w:rsid w:val="00D00600"/>
    <w:rsid w:val="00D04159"/>
    <w:rsid w:val="00D04C77"/>
    <w:rsid w:val="00D05049"/>
    <w:rsid w:val="00D1035B"/>
    <w:rsid w:val="00D15859"/>
    <w:rsid w:val="00D20661"/>
    <w:rsid w:val="00D21A4A"/>
    <w:rsid w:val="00D2325C"/>
    <w:rsid w:val="00D24525"/>
    <w:rsid w:val="00D31A99"/>
    <w:rsid w:val="00D32F52"/>
    <w:rsid w:val="00D372A6"/>
    <w:rsid w:val="00D37FCD"/>
    <w:rsid w:val="00D42A89"/>
    <w:rsid w:val="00D42E16"/>
    <w:rsid w:val="00D440B4"/>
    <w:rsid w:val="00D46E16"/>
    <w:rsid w:val="00D504A4"/>
    <w:rsid w:val="00D52A56"/>
    <w:rsid w:val="00D548D6"/>
    <w:rsid w:val="00D55568"/>
    <w:rsid w:val="00D62619"/>
    <w:rsid w:val="00D71537"/>
    <w:rsid w:val="00D72703"/>
    <w:rsid w:val="00D73A7F"/>
    <w:rsid w:val="00D91F00"/>
    <w:rsid w:val="00D930B9"/>
    <w:rsid w:val="00D967A1"/>
    <w:rsid w:val="00DA1749"/>
    <w:rsid w:val="00DB0591"/>
    <w:rsid w:val="00DB3764"/>
    <w:rsid w:val="00DB5606"/>
    <w:rsid w:val="00DC2C4B"/>
    <w:rsid w:val="00DC2CF7"/>
    <w:rsid w:val="00DC4EF3"/>
    <w:rsid w:val="00DC604C"/>
    <w:rsid w:val="00DC70C7"/>
    <w:rsid w:val="00DD2898"/>
    <w:rsid w:val="00DD4714"/>
    <w:rsid w:val="00DD6A86"/>
    <w:rsid w:val="00DE18FA"/>
    <w:rsid w:val="00DE477A"/>
    <w:rsid w:val="00DE527C"/>
    <w:rsid w:val="00DF06D4"/>
    <w:rsid w:val="00DF502A"/>
    <w:rsid w:val="00DF543C"/>
    <w:rsid w:val="00DF632B"/>
    <w:rsid w:val="00E06B5F"/>
    <w:rsid w:val="00E2370B"/>
    <w:rsid w:val="00E24474"/>
    <w:rsid w:val="00E252D5"/>
    <w:rsid w:val="00E26426"/>
    <w:rsid w:val="00E30CE5"/>
    <w:rsid w:val="00E410F0"/>
    <w:rsid w:val="00E4461B"/>
    <w:rsid w:val="00E45B77"/>
    <w:rsid w:val="00E471BF"/>
    <w:rsid w:val="00E51949"/>
    <w:rsid w:val="00E529AE"/>
    <w:rsid w:val="00E549A0"/>
    <w:rsid w:val="00E54A1D"/>
    <w:rsid w:val="00E556F8"/>
    <w:rsid w:val="00E55A17"/>
    <w:rsid w:val="00E61264"/>
    <w:rsid w:val="00E61D68"/>
    <w:rsid w:val="00E65693"/>
    <w:rsid w:val="00E6737F"/>
    <w:rsid w:val="00E73394"/>
    <w:rsid w:val="00E82F47"/>
    <w:rsid w:val="00E84EF0"/>
    <w:rsid w:val="00E86DCA"/>
    <w:rsid w:val="00E876C0"/>
    <w:rsid w:val="00E904D5"/>
    <w:rsid w:val="00EA16F2"/>
    <w:rsid w:val="00EA5F80"/>
    <w:rsid w:val="00EA68A5"/>
    <w:rsid w:val="00EC2A81"/>
    <w:rsid w:val="00EC37CF"/>
    <w:rsid w:val="00EC6FF1"/>
    <w:rsid w:val="00ED0251"/>
    <w:rsid w:val="00ED1900"/>
    <w:rsid w:val="00ED2115"/>
    <w:rsid w:val="00EE4CE3"/>
    <w:rsid w:val="00EE6CC0"/>
    <w:rsid w:val="00EE7D30"/>
    <w:rsid w:val="00EF3E3F"/>
    <w:rsid w:val="00EF7880"/>
    <w:rsid w:val="00F023C5"/>
    <w:rsid w:val="00F02C4E"/>
    <w:rsid w:val="00F02E55"/>
    <w:rsid w:val="00F11C83"/>
    <w:rsid w:val="00F17B18"/>
    <w:rsid w:val="00F20784"/>
    <w:rsid w:val="00F2555E"/>
    <w:rsid w:val="00F27730"/>
    <w:rsid w:val="00F27DDF"/>
    <w:rsid w:val="00F315B3"/>
    <w:rsid w:val="00F32825"/>
    <w:rsid w:val="00F32AC1"/>
    <w:rsid w:val="00F3387B"/>
    <w:rsid w:val="00F33ACD"/>
    <w:rsid w:val="00F344E8"/>
    <w:rsid w:val="00F45E8A"/>
    <w:rsid w:val="00F46C18"/>
    <w:rsid w:val="00F524E0"/>
    <w:rsid w:val="00F52692"/>
    <w:rsid w:val="00F61547"/>
    <w:rsid w:val="00F64795"/>
    <w:rsid w:val="00F67AB9"/>
    <w:rsid w:val="00F72E5C"/>
    <w:rsid w:val="00F75B77"/>
    <w:rsid w:val="00F76B7A"/>
    <w:rsid w:val="00F805C2"/>
    <w:rsid w:val="00F83105"/>
    <w:rsid w:val="00F85C17"/>
    <w:rsid w:val="00F87E42"/>
    <w:rsid w:val="00F96D71"/>
    <w:rsid w:val="00FA14F3"/>
    <w:rsid w:val="00FA1D0B"/>
    <w:rsid w:val="00FA4494"/>
    <w:rsid w:val="00FA472A"/>
    <w:rsid w:val="00FB393C"/>
    <w:rsid w:val="00FB4D82"/>
    <w:rsid w:val="00FB593F"/>
    <w:rsid w:val="00FB61D1"/>
    <w:rsid w:val="00FB79F5"/>
    <w:rsid w:val="00FC4B0E"/>
    <w:rsid w:val="00FC5025"/>
    <w:rsid w:val="00FD70ED"/>
    <w:rsid w:val="00FE0D7F"/>
    <w:rsid w:val="00FE3CC2"/>
    <w:rsid w:val="00FE6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7F25D"/>
  <w15:chartTrackingRefBased/>
  <w15:docId w15:val="{28916EB8-9853-417A-A775-B9AC13536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iPriority w:val="99"/>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semiHidden/>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29"/>
      </w:numPr>
      <w:spacing w:after="120" w:line="259" w:lineRule="auto"/>
      <w:jc w:val="left"/>
    </w:pPr>
    <w:rPr>
      <w:color w:val="595959"/>
      <w:sz w:val="3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340744661">
      <w:bodyDiv w:val="1"/>
      <w:marLeft w:val="0"/>
      <w:marRight w:val="0"/>
      <w:marTop w:val="0"/>
      <w:marBottom w:val="0"/>
      <w:divBdr>
        <w:top w:val="none" w:sz="0" w:space="0" w:color="auto"/>
        <w:left w:val="none" w:sz="0" w:space="0" w:color="auto"/>
        <w:bottom w:val="none" w:sz="0" w:space="0" w:color="auto"/>
        <w:right w:val="none" w:sz="0" w:space="0" w:color="auto"/>
      </w:divBdr>
      <w:divsChild>
        <w:div w:id="1547569286">
          <w:marLeft w:val="0"/>
          <w:marRight w:val="0"/>
          <w:marTop w:val="0"/>
          <w:marBottom w:val="0"/>
          <w:divBdr>
            <w:top w:val="none" w:sz="0" w:space="0" w:color="auto"/>
            <w:left w:val="none" w:sz="0" w:space="0" w:color="auto"/>
            <w:bottom w:val="none" w:sz="0" w:space="0" w:color="auto"/>
            <w:right w:val="none" w:sz="0" w:space="0" w:color="auto"/>
          </w:divBdr>
          <w:divsChild>
            <w:div w:id="902058536">
              <w:marLeft w:val="0"/>
              <w:marRight w:val="0"/>
              <w:marTop w:val="0"/>
              <w:marBottom w:val="0"/>
              <w:divBdr>
                <w:top w:val="none" w:sz="0" w:space="0" w:color="auto"/>
                <w:left w:val="none" w:sz="0" w:space="0" w:color="auto"/>
                <w:bottom w:val="none" w:sz="0" w:space="0" w:color="auto"/>
                <w:right w:val="none" w:sz="0" w:space="0" w:color="auto"/>
              </w:divBdr>
              <w:divsChild>
                <w:div w:id="827358869">
                  <w:marLeft w:val="0"/>
                  <w:marRight w:val="0"/>
                  <w:marTop w:val="0"/>
                  <w:marBottom w:val="0"/>
                  <w:divBdr>
                    <w:top w:val="none" w:sz="0" w:space="0" w:color="auto"/>
                    <w:left w:val="none" w:sz="0" w:space="0" w:color="auto"/>
                    <w:bottom w:val="none" w:sz="0" w:space="0" w:color="auto"/>
                    <w:right w:val="none" w:sz="0" w:space="0" w:color="auto"/>
                  </w:divBdr>
                  <w:divsChild>
                    <w:div w:id="486361495">
                      <w:marLeft w:val="0"/>
                      <w:marRight w:val="0"/>
                      <w:marTop w:val="0"/>
                      <w:marBottom w:val="0"/>
                      <w:divBdr>
                        <w:top w:val="none" w:sz="0" w:space="0" w:color="auto"/>
                        <w:left w:val="none" w:sz="0" w:space="0" w:color="auto"/>
                        <w:bottom w:val="none" w:sz="0" w:space="0" w:color="auto"/>
                        <w:right w:val="none" w:sz="0" w:space="0" w:color="auto"/>
                      </w:divBdr>
                      <w:divsChild>
                        <w:div w:id="70273720">
                          <w:marLeft w:val="0"/>
                          <w:marRight w:val="0"/>
                          <w:marTop w:val="0"/>
                          <w:marBottom w:val="0"/>
                          <w:divBdr>
                            <w:top w:val="none" w:sz="0" w:space="0" w:color="auto"/>
                            <w:left w:val="none" w:sz="0" w:space="0" w:color="auto"/>
                            <w:bottom w:val="none" w:sz="0" w:space="0" w:color="auto"/>
                            <w:right w:val="none" w:sz="0" w:space="0" w:color="auto"/>
                          </w:divBdr>
                          <w:divsChild>
                            <w:div w:id="1063287633">
                              <w:marLeft w:val="0"/>
                              <w:marRight w:val="0"/>
                              <w:marTop w:val="0"/>
                              <w:marBottom w:val="0"/>
                              <w:divBdr>
                                <w:top w:val="none" w:sz="0" w:space="0" w:color="auto"/>
                                <w:left w:val="none" w:sz="0" w:space="0" w:color="auto"/>
                                <w:bottom w:val="none" w:sz="0" w:space="0" w:color="auto"/>
                                <w:right w:val="none" w:sz="0" w:space="0" w:color="auto"/>
                              </w:divBdr>
                              <w:divsChild>
                                <w:div w:id="1466267348">
                                  <w:marLeft w:val="0"/>
                                  <w:marRight w:val="0"/>
                                  <w:marTop w:val="0"/>
                                  <w:marBottom w:val="0"/>
                                  <w:divBdr>
                                    <w:top w:val="none" w:sz="0" w:space="0" w:color="auto"/>
                                    <w:left w:val="none" w:sz="0" w:space="0" w:color="auto"/>
                                    <w:bottom w:val="none" w:sz="0" w:space="0" w:color="auto"/>
                                    <w:right w:val="none" w:sz="0" w:space="0" w:color="auto"/>
                                  </w:divBdr>
                                  <w:divsChild>
                                    <w:div w:id="469860146">
                                      <w:marLeft w:val="0"/>
                                      <w:marRight w:val="0"/>
                                      <w:marTop w:val="0"/>
                                      <w:marBottom w:val="0"/>
                                      <w:divBdr>
                                        <w:top w:val="none" w:sz="0" w:space="0" w:color="auto"/>
                                        <w:left w:val="none" w:sz="0" w:space="0" w:color="auto"/>
                                        <w:bottom w:val="none" w:sz="0" w:space="0" w:color="auto"/>
                                        <w:right w:val="none" w:sz="0" w:space="0" w:color="auto"/>
                                      </w:divBdr>
                                      <w:divsChild>
                                        <w:div w:id="798190073">
                                          <w:marLeft w:val="0"/>
                                          <w:marRight w:val="0"/>
                                          <w:marTop w:val="0"/>
                                          <w:marBottom w:val="0"/>
                                          <w:divBdr>
                                            <w:top w:val="none" w:sz="0" w:space="0" w:color="auto"/>
                                            <w:left w:val="none" w:sz="0" w:space="0" w:color="auto"/>
                                            <w:bottom w:val="none" w:sz="0" w:space="0" w:color="auto"/>
                                            <w:right w:val="none" w:sz="0" w:space="0" w:color="auto"/>
                                          </w:divBdr>
                                          <w:divsChild>
                                            <w:div w:id="1418094927">
                                              <w:marLeft w:val="0"/>
                                              <w:marRight w:val="0"/>
                                              <w:marTop w:val="0"/>
                                              <w:marBottom w:val="0"/>
                                              <w:divBdr>
                                                <w:top w:val="none" w:sz="0" w:space="0" w:color="auto"/>
                                                <w:left w:val="none" w:sz="0" w:space="0" w:color="auto"/>
                                                <w:bottom w:val="none" w:sz="0" w:space="0" w:color="auto"/>
                                                <w:right w:val="none" w:sz="0" w:space="0" w:color="auto"/>
                                              </w:divBdr>
                                              <w:divsChild>
                                                <w:div w:id="1779525064">
                                                  <w:marLeft w:val="0"/>
                                                  <w:marRight w:val="0"/>
                                                  <w:marTop w:val="0"/>
                                                  <w:marBottom w:val="0"/>
                                                  <w:divBdr>
                                                    <w:top w:val="none" w:sz="0" w:space="0" w:color="auto"/>
                                                    <w:left w:val="none" w:sz="0" w:space="0" w:color="auto"/>
                                                    <w:bottom w:val="none" w:sz="0" w:space="0" w:color="auto"/>
                                                    <w:right w:val="none" w:sz="0" w:space="0" w:color="auto"/>
                                                  </w:divBdr>
                                                  <w:divsChild>
                                                    <w:div w:id="683826132">
                                                      <w:marLeft w:val="0"/>
                                                      <w:marRight w:val="0"/>
                                                      <w:marTop w:val="0"/>
                                                      <w:marBottom w:val="0"/>
                                                      <w:divBdr>
                                                        <w:top w:val="none" w:sz="0" w:space="0" w:color="auto"/>
                                                        <w:left w:val="none" w:sz="0" w:space="0" w:color="auto"/>
                                                        <w:bottom w:val="none" w:sz="0" w:space="0" w:color="auto"/>
                                                        <w:right w:val="none" w:sz="0" w:space="0" w:color="auto"/>
                                                      </w:divBdr>
                                                      <w:divsChild>
                                                        <w:div w:id="28975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7755253">
      <w:bodyDiv w:val="1"/>
      <w:marLeft w:val="0"/>
      <w:marRight w:val="0"/>
      <w:marTop w:val="0"/>
      <w:marBottom w:val="0"/>
      <w:divBdr>
        <w:top w:val="none" w:sz="0" w:space="0" w:color="auto"/>
        <w:left w:val="none" w:sz="0" w:space="0" w:color="auto"/>
        <w:bottom w:val="none" w:sz="0" w:space="0" w:color="auto"/>
        <w:right w:val="none" w:sz="0" w:space="0" w:color="auto"/>
      </w:divBdr>
      <w:divsChild>
        <w:div w:id="946043316">
          <w:marLeft w:val="0"/>
          <w:marRight w:val="0"/>
          <w:marTop w:val="0"/>
          <w:marBottom w:val="0"/>
          <w:divBdr>
            <w:top w:val="none" w:sz="0" w:space="0" w:color="auto"/>
            <w:left w:val="none" w:sz="0" w:space="0" w:color="auto"/>
            <w:bottom w:val="none" w:sz="0" w:space="0" w:color="auto"/>
            <w:right w:val="none" w:sz="0" w:space="0" w:color="auto"/>
          </w:divBdr>
          <w:divsChild>
            <w:div w:id="99760877">
              <w:marLeft w:val="0"/>
              <w:marRight w:val="0"/>
              <w:marTop w:val="0"/>
              <w:marBottom w:val="0"/>
              <w:divBdr>
                <w:top w:val="none" w:sz="0" w:space="0" w:color="auto"/>
                <w:left w:val="none" w:sz="0" w:space="0" w:color="auto"/>
                <w:bottom w:val="none" w:sz="0" w:space="0" w:color="auto"/>
                <w:right w:val="none" w:sz="0" w:space="0" w:color="auto"/>
              </w:divBdr>
              <w:divsChild>
                <w:div w:id="2066441026">
                  <w:marLeft w:val="0"/>
                  <w:marRight w:val="0"/>
                  <w:marTop w:val="0"/>
                  <w:marBottom w:val="0"/>
                  <w:divBdr>
                    <w:top w:val="none" w:sz="0" w:space="0" w:color="auto"/>
                    <w:left w:val="none" w:sz="0" w:space="0" w:color="auto"/>
                    <w:bottom w:val="none" w:sz="0" w:space="0" w:color="auto"/>
                    <w:right w:val="none" w:sz="0" w:space="0" w:color="auto"/>
                  </w:divBdr>
                  <w:divsChild>
                    <w:div w:id="120274504">
                      <w:marLeft w:val="0"/>
                      <w:marRight w:val="0"/>
                      <w:marTop w:val="0"/>
                      <w:marBottom w:val="0"/>
                      <w:divBdr>
                        <w:top w:val="none" w:sz="0" w:space="0" w:color="auto"/>
                        <w:left w:val="none" w:sz="0" w:space="0" w:color="auto"/>
                        <w:bottom w:val="none" w:sz="0" w:space="0" w:color="auto"/>
                        <w:right w:val="none" w:sz="0" w:space="0" w:color="auto"/>
                      </w:divBdr>
                      <w:divsChild>
                        <w:div w:id="593052093">
                          <w:marLeft w:val="0"/>
                          <w:marRight w:val="0"/>
                          <w:marTop w:val="0"/>
                          <w:marBottom w:val="0"/>
                          <w:divBdr>
                            <w:top w:val="none" w:sz="0" w:space="0" w:color="auto"/>
                            <w:left w:val="none" w:sz="0" w:space="0" w:color="auto"/>
                            <w:bottom w:val="none" w:sz="0" w:space="0" w:color="auto"/>
                            <w:right w:val="none" w:sz="0" w:space="0" w:color="auto"/>
                          </w:divBdr>
                          <w:divsChild>
                            <w:div w:id="1707606327">
                              <w:marLeft w:val="0"/>
                              <w:marRight w:val="0"/>
                              <w:marTop w:val="0"/>
                              <w:marBottom w:val="0"/>
                              <w:divBdr>
                                <w:top w:val="none" w:sz="0" w:space="0" w:color="auto"/>
                                <w:left w:val="none" w:sz="0" w:space="0" w:color="auto"/>
                                <w:bottom w:val="none" w:sz="0" w:space="0" w:color="auto"/>
                                <w:right w:val="none" w:sz="0" w:space="0" w:color="auto"/>
                              </w:divBdr>
                              <w:divsChild>
                                <w:div w:id="2019233929">
                                  <w:marLeft w:val="0"/>
                                  <w:marRight w:val="0"/>
                                  <w:marTop w:val="0"/>
                                  <w:marBottom w:val="0"/>
                                  <w:divBdr>
                                    <w:top w:val="none" w:sz="0" w:space="0" w:color="auto"/>
                                    <w:left w:val="none" w:sz="0" w:space="0" w:color="auto"/>
                                    <w:bottom w:val="none" w:sz="0" w:space="0" w:color="auto"/>
                                    <w:right w:val="none" w:sz="0" w:space="0" w:color="auto"/>
                                  </w:divBdr>
                                  <w:divsChild>
                                    <w:div w:id="1451819672">
                                      <w:marLeft w:val="0"/>
                                      <w:marRight w:val="0"/>
                                      <w:marTop w:val="0"/>
                                      <w:marBottom w:val="0"/>
                                      <w:divBdr>
                                        <w:top w:val="none" w:sz="0" w:space="0" w:color="auto"/>
                                        <w:left w:val="none" w:sz="0" w:space="0" w:color="auto"/>
                                        <w:bottom w:val="none" w:sz="0" w:space="0" w:color="auto"/>
                                        <w:right w:val="none" w:sz="0" w:space="0" w:color="auto"/>
                                      </w:divBdr>
                                      <w:divsChild>
                                        <w:div w:id="770319682">
                                          <w:marLeft w:val="0"/>
                                          <w:marRight w:val="0"/>
                                          <w:marTop w:val="0"/>
                                          <w:marBottom w:val="0"/>
                                          <w:divBdr>
                                            <w:top w:val="none" w:sz="0" w:space="0" w:color="auto"/>
                                            <w:left w:val="none" w:sz="0" w:space="0" w:color="auto"/>
                                            <w:bottom w:val="none" w:sz="0" w:space="0" w:color="auto"/>
                                            <w:right w:val="none" w:sz="0" w:space="0" w:color="auto"/>
                                          </w:divBdr>
                                          <w:divsChild>
                                            <w:div w:id="906067324">
                                              <w:marLeft w:val="0"/>
                                              <w:marRight w:val="0"/>
                                              <w:marTop w:val="0"/>
                                              <w:marBottom w:val="0"/>
                                              <w:divBdr>
                                                <w:top w:val="none" w:sz="0" w:space="0" w:color="auto"/>
                                                <w:left w:val="none" w:sz="0" w:space="0" w:color="auto"/>
                                                <w:bottom w:val="none" w:sz="0" w:space="0" w:color="auto"/>
                                                <w:right w:val="none" w:sz="0" w:space="0" w:color="auto"/>
                                              </w:divBdr>
                                              <w:divsChild>
                                                <w:div w:id="1161120845">
                                                  <w:marLeft w:val="0"/>
                                                  <w:marRight w:val="0"/>
                                                  <w:marTop w:val="0"/>
                                                  <w:marBottom w:val="0"/>
                                                  <w:divBdr>
                                                    <w:top w:val="none" w:sz="0" w:space="0" w:color="auto"/>
                                                    <w:left w:val="none" w:sz="0" w:space="0" w:color="auto"/>
                                                    <w:bottom w:val="none" w:sz="0" w:space="0" w:color="auto"/>
                                                    <w:right w:val="none" w:sz="0" w:space="0" w:color="auto"/>
                                                  </w:divBdr>
                                                  <w:divsChild>
                                                    <w:div w:id="601230745">
                                                      <w:marLeft w:val="0"/>
                                                      <w:marRight w:val="0"/>
                                                      <w:marTop w:val="0"/>
                                                      <w:marBottom w:val="0"/>
                                                      <w:divBdr>
                                                        <w:top w:val="none" w:sz="0" w:space="0" w:color="auto"/>
                                                        <w:left w:val="none" w:sz="0" w:space="0" w:color="auto"/>
                                                        <w:bottom w:val="none" w:sz="0" w:space="0" w:color="auto"/>
                                                        <w:right w:val="none" w:sz="0" w:space="0" w:color="auto"/>
                                                      </w:divBdr>
                                                      <w:divsChild>
                                                        <w:div w:id="18789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965157500">
      <w:bodyDiv w:val="1"/>
      <w:marLeft w:val="0"/>
      <w:marRight w:val="0"/>
      <w:marTop w:val="0"/>
      <w:marBottom w:val="0"/>
      <w:divBdr>
        <w:top w:val="none" w:sz="0" w:space="0" w:color="auto"/>
        <w:left w:val="none" w:sz="0" w:space="0" w:color="auto"/>
        <w:bottom w:val="none" w:sz="0" w:space="0" w:color="auto"/>
        <w:right w:val="none" w:sz="0" w:space="0" w:color="auto"/>
      </w:divBdr>
    </w:div>
    <w:div w:id="1080636315">
      <w:bodyDiv w:val="1"/>
      <w:marLeft w:val="0"/>
      <w:marRight w:val="0"/>
      <w:marTop w:val="0"/>
      <w:marBottom w:val="0"/>
      <w:divBdr>
        <w:top w:val="none" w:sz="0" w:space="0" w:color="auto"/>
        <w:left w:val="none" w:sz="0" w:space="0" w:color="auto"/>
        <w:bottom w:val="none" w:sz="0" w:space="0" w:color="auto"/>
        <w:right w:val="none" w:sz="0" w:space="0" w:color="auto"/>
      </w:divBdr>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724256841">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1858419063">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80F9AE0-43AF-4087-BF06-214449A2E9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653891-7FF9-41D1-8637-14A5EA7FE0AB}">
  <ds:schemaRefs>
    <ds:schemaRef ds:uri="http://schemas.openxmlformats.org/officeDocument/2006/bibliography"/>
  </ds:schemaRefs>
</ds:datastoreItem>
</file>

<file path=customXml/itemProps3.xml><?xml version="1.0" encoding="utf-8"?>
<ds:datastoreItem xmlns:ds="http://schemas.openxmlformats.org/officeDocument/2006/customXml" ds:itemID="{A6AB7480-6915-4413-8B07-1469173BB5FC}">
  <ds:schemaRefs>
    <ds:schemaRef ds:uri="http://schemas.microsoft.com/office/2006/metadata/longProperties"/>
  </ds:schemaRefs>
</ds:datastoreItem>
</file>

<file path=customXml/itemProps4.xml><?xml version="1.0" encoding="utf-8"?>
<ds:datastoreItem xmlns:ds="http://schemas.openxmlformats.org/officeDocument/2006/customXml" ds:itemID="{7B67B645-554F-4974-8233-C95EA2C135B2}">
  <ds:schemaRefs>
    <ds:schemaRef ds:uri="http://schemas.microsoft.com/sharepoint/v3/contenttype/forms"/>
  </ds:schemaRefs>
</ds:datastoreItem>
</file>

<file path=customXml/itemProps5.xml><?xml version="1.0" encoding="utf-8"?>
<ds:datastoreItem xmlns:ds="http://schemas.openxmlformats.org/officeDocument/2006/customXml" ds:itemID="{A04A9003-5D99-4EA8-AA00-A18755457FEE}">
  <ds:schemaRefs>
    <ds:schemaRef ds:uri="http://schemas.microsoft.com/sharepoint/events"/>
  </ds:schemaRefs>
</ds:datastoreItem>
</file>

<file path=customXml/itemProps6.xml><?xml version="1.0" encoding="utf-8"?>
<ds:datastoreItem xmlns:ds="http://schemas.openxmlformats.org/officeDocument/2006/customXml" ds:itemID="{15F0BACD-65FB-4D60-9C94-0A3DA63B13BA}">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1724</Words>
  <Characters>9832</Characters>
  <Application>Microsoft Office Word</Application>
  <DocSecurity>4</DocSecurity>
  <Lines>81</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Camyl Moreno Pantojas</cp:lastModifiedBy>
  <cp:revision>2</cp:revision>
  <cp:lastPrinted>2025-06-24T21:19:00Z</cp:lastPrinted>
  <dcterms:created xsi:type="dcterms:W3CDTF">2025-06-24T22:54:00Z</dcterms:created>
  <dcterms:modified xsi:type="dcterms:W3CDTF">2025-06-24T22:54:00Z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4SQX5P7U7WPY-958212181-812177</vt:lpwstr>
  </property>
  <property fmtid="{D5CDD505-2E9C-101B-9397-08002B2CF9AE}" pid="3" name="_dlc_DocIdItemGuid">
    <vt:lpwstr>d11323f1-f162-420a-95a1-d62df43c1a49</vt:lpwstr>
  </property>
  <property fmtid="{D5CDD505-2E9C-101B-9397-08002B2CF9AE}" pid="4" name="_dlc_DocIdUrl">
    <vt:lpwstr>https://senpr.sharepoint.com/sites/obralegislativa/_layouts/15/DocIdRedir.aspx?ID=4SQX5P7U7WPY-958212181-812177, 4SQX5P7U7WPY-958212181-812177</vt:lpwstr>
  </property>
</Properties>
</file>