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D2FE" w14:textId="607658D2" w:rsidR="00DC3AE6" w:rsidRPr="00707861" w:rsidRDefault="00DC3AE6" w:rsidP="00243618">
      <w:pPr>
        <w:jc w:val="center"/>
        <w:rPr>
          <w:rFonts w:ascii="Book Antiqua" w:hAnsi="Book Antiqua"/>
          <w:sz w:val="36"/>
          <w:szCs w:val="36"/>
          <w:lang w:val="es-ES_tradnl"/>
        </w:rPr>
      </w:pPr>
      <w:r w:rsidRPr="00707861">
        <w:rPr>
          <w:rFonts w:ascii="Book Antiqua" w:hAnsi="Book Antiqua"/>
          <w:sz w:val="36"/>
          <w:szCs w:val="36"/>
          <w:lang w:val="es-ES_tradnl"/>
        </w:rPr>
        <w:t>GOBIERNO DE PUERTO RICO</w:t>
      </w:r>
    </w:p>
    <w:p w14:paraId="6048097A" w14:textId="77777777" w:rsidR="00DC3AE6" w:rsidRPr="009E60BD" w:rsidRDefault="00DC3AE6" w:rsidP="00DC3AE6">
      <w:pPr>
        <w:jc w:val="center"/>
        <w:rPr>
          <w:rFonts w:ascii="Book Antiqua" w:hAnsi="Book Antiqua"/>
          <w:lang w:val="es-ES_tradnl"/>
        </w:rPr>
      </w:pPr>
    </w:p>
    <w:p w14:paraId="46A077CB" w14:textId="77777777" w:rsidR="00DC3AE6" w:rsidRPr="009E60BD" w:rsidRDefault="00DC3AE6" w:rsidP="00DC3AE6">
      <w:pPr>
        <w:pStyle w:val="Title2"/>
        <w:rPr>
          <w:rFonts w:ascii="Book Antiqua" w:hAnsi="Book Antiqua"/>
          <w:lang w:val="es-ES_tradnl"/>
        </w:rPr>
      </w:pPr>
      <w:r w:rsidRPr="009E60BD">
        <w:rPr>
          <w:rFonts w:ascii="Book Antiqua" w:hAnsi="Book Antiqua"/>
          <w:lang w:val="es-ES_tradnl"/>
        </w:rPr>
        <w:t xml:space="preserve">20 </w:t>
      </w:r>
      <w:r w:rsidRPr="009E60BD">
        <w:rPr>
          <w:rFonts w:ascii="Book Antiqua" w:hAnsi="Book Antiqua"/>
          <w:vertAlign w:val="superscript"/>
          <w:lang w:val="es-ES_tradnl"/>
        </w:rPr>
        <w:t>ma.</w:t>
      </w:r>
      <w:r w:rsidRPr="009E60BD">
        <w:rPr>
          <w:rFonts w:ascii="Book Antiqua" w:hAnsi="Book Antiqua"/>
          <w:lang w:val="es-ES_tradnl"/>
        </w:rPr>
        <w:tab/>
        <w:t>Asamblea</w:t>
      </w:r>
      <w:r w:rsidRPr="009E60BD">
        <w:rPr>
          <w:rFonts w:ascii="Book Antiqua" w:hAnsi="Book Antiqua"/>
          <w:lang w:val="es-ES_tradnl"/>
        </w:rPr>
        <w:tab/>
        <w:t xml:space="preserve">1 </w:t>
      </w:r>
      <w:proofErr w:type="spellStart"/>
      <w:r w:rsidRPr="009E60BD">
        <w:rPr>
          <w:rFonts w:ascii="Book Antiqua" w:hAnsi="Book Antiqua"/>
          <w:vertAlign w:val="superscript"/>
          <w:lang w:val="es-ES_tradnl"/>
        </w:rPr>
        <w:t>ra</w:t>
      </w:r>
      <w:proofErr w:type="spellEnd"/>
      <w:r>
        <w:rPr>
          <w:rFonts w:ascii="Book Antiqua" w:hAnsi="Book Antiqua"/>
          <w:vertAlign w:val="superscript"/>
          <w:lang w:val="es-ES_tradnl"/>
        </w:rPr>
        <w:t>.</w:t>
      </w:r>
      <w:r w:rsidRPr="009E60BD">
        <w:rPr>
          <w:rFonts w:ascii="Book Antiqua" w:hAnsi="Book Antiqua"/>
          <w:lang w:val="es-ES_tradnl"/>
        </w:rPr>
        <w:tab/>
        <w:t>Sesión</w:t>
      </w:r>
    </w:p>
    <w:p w14:paraId="152084DC" w14:textId="77777777" w:rsidR="00DC3AE6" w:rsidRPr="009E60BD" w:rsidRDefault="00DC3AE6" w:rsidP="00DC3AE6">
      <w:pPr>
        <w:pStyle w:val="Title2"/>
        <w:rPr>
          <w:rFonts w:ascii="Book Antiqua" w:hAnsi="Book Antiqua"/>
          <w:lang w:val="es-ES_tradnl"/>
        </w:rPr>
      </w:pPr>
      <w:r w:rsidRPr="009E60BD">
        <w:rPr>
          <w:rFonts w:ascii="Book Antiqua" w:hAnsi="Book Antiqua"/>
          <w:lang w:val="es-ES_tradnl"/>
        </w:rPr>
        <w:tab/>
        <w:t>Legislativa</w:t>
      </w:r>
      <w:r w:rsidRPr="009E60BD">
        <w:rPr>
          <w:rFonts w:ascii="Book Antiqua" w:hAnsi="Book Antiqua"/>
          <w:lang w:val="es-ES_tradnl"/>
        </w:rPr>
        <w:tab/>
      </w:r>
      <w:r w:rsidRPr="009E60BD">
        <w:rPr>
          <w:rFonts w:ascii="Book Antiqua" w:hAnsi="Book Antiqua"/>
          <w:lang w:val="es-ES_tradnl"/>
        </w:rPr>
        <w:tab/>
        <w:t>Ordinaria</w:t>
      </w:r>
    </w:p>
    <w:p w14:paraId="1B95A4CC" w14:textId="77777777" w:rsidR="00DC3AE6" w:rsidRPr="009E60BD" w:rsidRDefault="00DC3AE6" w:rsidP="00DC3AE6">
      <w:pPr>
        <w:rPr>
          <w:rFonts w:ascii="Book Antiqua" w:hAnsi="Book Antiqua"/>
          <w:lang w:val="es-ES_tradnl"/>
        </w:rPr>
      </w:pPr>
    </w:p>
    <w:p w14:paraId="56DFD46A" w14:textId="1BBFBFB4" w:rsidR="00DC3AE6" w:rsidRPr="00523536" w:rsidRDefault="00506E93" w:rsidP="00DC3AE6">
      <w:pPr>
        <w:spacing w:line="360" w:lineRule="auto"/>
        <w:jc w:val="center"/>
        <w:rPr>
          <w:rFonts w:ascii="Book Antiqua" w:hAnsi="Book Antiqua"/>
          <w:b/>
          <w:sz w:val="36"/>
          <w:szCs w:val="36"/>
          <w:lang w:val="es-ES_tradnl"/>
        </w:rPr>
      </w:pPr>
      <w:r>
        <w:rPr>
          <w:rFonts w:ascii="Book Antiqua" w:hAnsi="Book Antiqua"/>
          <w:b/>
          <w:sz w:val="36"/>
          <w:szCs w:val="36"/>
          <w:lang w:val="es-ES_tradnl"/>
        </w:rPr>
        <w:t>CÁMARA</w:t>
      </w:r>
      <w:r w:rsidR="00DC3AE6" w:rsidRPr="00523536">
        <w:rPr>
          <w:rFonts w:ascii="Book Antiqua" w:hAnsi="Book Antiqua"/>
          <w:b/>
          <w:sz w:val="36"/>
          <w:szCs w:val="36"/>
          <w:lang w:val="es-ES_tradnl"/>
        </w:rPr>
        <w:t xml:space="preserve"> DE PUERTO RIC</w:t>
      </w:r>
      <w:r w:rsidR="003B6280">
        <w:rPr>
          <w:rFonts w:ascii="Book Antiqua" w:hAnsi="Book Antiqua"/>
          <w:b/>
          <w:sz w:val="36"/>
          <w:szCs w:val="36"/>
          <w:lang w:val="es-ES_tradnl"/>
        </w:rPr>
        <w:t>O</w:t>
      </w:r>
    </w:p>
    <w:p w14:paraId="63E4CA16" w14:textId="29982B38" w:rsidR="00DC3AE6" w:rsidRPr="00523536" w:rsidRDefault="00523536" w:rsidP="00DC3AE6">
      <w:pPr>
        <w:spacing w:line="360" w:lineRule="auto"/>
        <w:jc w:val="center"/>
        <w:rPr>
          <w:rFonts w:ascii="Book Antiqua" w:hAnsi="Book Antiqua"/>
          <w:b/>
          <w:sz w:val="52"/>
          <w:szCs w:val="52"/>
          <w:lang w:val="es-ES_tradnl"/>
        </w:rPr>
      </w:pPr>
      <w:r w:rsidRPr="00523536">
        <w:rPr>
          <w:rFonts w:ascii="Book Antiqua" w:hAnsi="Book Antiqua"/>
          <w:b/>
          <w:sz w:val="52"/>
          <w:szCs w:val="52"/>
          <w:lang w:val="es-ES_tradnl"/>
        </w:rPr>
        <w:t>P</w:t>
      </w:r>
      <w:r w:rsidR="00DC3AE6" w:rsidRPr="00523536">
        <w:rPr>
          <w:rFonts w:ascii="Book Antiqua" w:hAnsi="Book Antiqua"/>
          <w:b/>
          <w:sz w:val="52"/>
          <w:szCs w:val="52"/>
          <w:lang w:val="es-ES_tradnl"/>
        </w:rPr>
        <w:t xml:space="preserve">. del S. </w:t>
      </w:r>
      <w:r w:rsidR="00FF6E17">
        <w:rPr>
          <w:rFonts w:ascii="Book Antiqua" w:hAnsi="Book Antiqua"/>
          <w:b/>
          <w:sz w:val="52"/>
          <w:szCs w:val="52"/>
          <w:lang w:val="es-ES_tradnl"/>
        </w:rPr>
        <w:t>81</w:t>
      </w:r>
    </w:p>
    <w:p w14:paraId="41C6872A" w14:textId="53F0CA3A" w:rsidR="007D7019" w:rsidRPr="007D7019" w:rsidRDefault="00DC3AE6" w:rsidP="001049FF">
      <w:pPr>
        <w:spacing w:line="360" w:lineRule="auto"/>
        <w:jc w:val="center"/>
        <w:rPr>
          <w:rFonts w:ascii="Book Antiqua" w:hAnsi="Book Antiqua"/>
          <w:b/>
          <w:bCs/>
          <w:sz w:val="28"/>
          <w:szCs w:val="28"/>
          <w:lang w:val="es-ES_tradnl"/>
        </w:rPr>
      </w:pPr>
      <w:r w:rsidRPr="0056350E">
        <w:rPr>
          <w:rFonts w:ascii="Book Antiqua" w:hAnsi="Book Antiqua"/>
          <w:b/>
          <w:bCs/>
          <w:sz w:val="28"/>
          <w:szCs w:val="28"/>
          <w:lang w:val="es-ES_tradnl"/>
        </w:rPr>
        <w:t>INFORME POSITIVO</w:t>
      </w:r>
      <w:r w:rsidR="00506E93" w:rsidRPr="0056350E">
        <w:rPr>
          <w:rFonts w:ascii="Book Antiqua" w:hAnsi="Book Antiqua"/>
          <w:b/>
          <w:bCs/>
          <w:sz w:val="28"/>
          <w:szCs w:val="28"/>
          <w:lang w:val="es-ES_tradnl"/>
        </w:rPr>
        <w:t xml:space="preserve"> </w:t>
      </w:r>
    </w:p>
    <w:p w14:paraId="62063FB2" w14:textId="00F591E2" w:rsidR="00DC3AE6" w:rsidRPr="009E60BD" w:rsidRDefault="0056350E" w:rsidP="00DC3AE6">
      <w:pPr>
        <w:spacing w:line="360" w:lineRule="auto"/>
        <w:jc w:val="center"/>
        <w:rPr>
          <w:rFonts w:ascii="Book Antiqua" w:hAnsi="Book Antiqua"/>
          <w:lang w:val="es-ES_tradnl"/>
        </w:rPr>
      </w:pPr>
      <w:r>
        <w:rPr>
          <w:rFonts w:ascii="Book Antiqua" w:hAnsi="Book Antiqua"/>
          <w:lang w:val="es-ES_tradnl"/>
        </w:rPr>
        <w:t>24 de junio</w:t>
      </w:r>
      <w:r w:rsidR="00DC3AE6" w:rsidRPr="009E60BD">
        <w:rPr>
          <w:rFonts w:ascii="Book Antiqua" w:hAnsi="Book Antiqua"/>
          <w:lang w:val="es-ES_tradnl"/>
        </w:rPr>
        <w:t xml:space="preserve"> de 2025</w:t>
      </w:r>
    </w:p>
    <w:p w14:paraId="24C68454" w14:textId="77777777" w:rsidR="00DC3AE6" w:rsidRDefault="00DC3AE6" w:rsidP="00DC3AE6">
      <w:pPr>
        <w:suppressAutoHyphens/>
        <w:spacing w:line="240" w:lineRule="atLeast"/>
        <w:rPr>
          <w:rFonts w:ascii="Book Antiqua" w:hAnsi="Book Antiqua"/>
          <w:b/>
          <w:szCs w:val="24"/>
          <w:lang w:val="es-ES_tradnl"/>
        </w:rPr>
      </w:pPr>
    </w:p>
    <w:p w14:paraId="6ECF5D3C" w14:textId="256B7FE9" w:rsidR="00DC3AE6" w:rsidRDefault="00506E93" w:rsidP="00DC3AE6">
      <w:pPr>
        <w:suppressAutoHyphens/>
        <w:spacing w:line="240" w:lineRule="atLeast"/>
        <w:rPr>
          <w:rFonts w:ascii="Book Antiqua" w:hAnsi="Book Antiqua"/>
          <w:b/>
          <w:szCs w:val="24"/>
          <w:lang w:val="es-ES_tradnl"/>
        </w:rPr>
      </w:pPr>
      <w:r>
        <w:rPr>
          <w:rFonts w:ascii="Book Antiqua" w:hAnsi="Book Antiqua"/>
          <w:b/>
          <w:szCs w:val="24"/>
          <w:lang w:val="es-ES_tradnl"/>
        </w:rPr>
        <w:t xml:space="preserve">A CÁMARA DE RPERESENTANTES </w:t>
      </w:r>
      <w:r w:rsidR="00DC3AE6">
        <w:rPr>
          <w:rFonts w:ascii="Book Antiqua" w:hAnsi="Book Antiqua"/>
          <w:b/>
          <w:szCs w:val="24"/>
          <w:lang w:val="es-ES_tradnl"/>
        </w:rPr>
        <w:t>DE PUERTO RICO:</w:t>
      </w:r>
    </w:p>
    <w:p w14:paraId="2438B505" w14:textId="77777777" w:rsidR="00DC3AE6" w:rsidRDefault="00DC3AE6" w:rsidP="00DC3AE6">
      <w:pPr>
        <w:suppressAutoHyphens/>
        <w:spacing w:line="240" w:lineRule="atLeast"/>
        <w:rPr>
          <w:rFonts w:ascii="Book Antiqua" w:hAnsi="Book Antiqua"/>
          <w:b/>
          <w:szCs w:val="24"/>
          <w:lang w:val="es-ES_tradnl"/>
        </w:rPr>
      </w:pPr>
    </w:p>
    <w:p w14:paraId="2E853BC9" w14:textId="1E82CD8A" w:rsidR="00DC3AE6" w:rsidRPr="00832F3B" w:rsidRDefault="00DC3AE6" w:rsidP="00DC3AE6">
      <w:pPr>
        <w:suppressAutoHyphens/>
        <w:spacing w:line="240" w:lineRule="atLeast"/>
        <w:jc w:val="both"/>
        <w:rPr>
          <w:rFonts w:ascii="Book Antiqua" w:hAnsi="Book Antiqua"/>
          <w:bCs/>
          <w:szCs w:val="24"/>
          <w:lang w:val="es-ES_tradnl"/>
        </w:rPr>
      </w:pPr>
      <w:r w:rsidRPr="00832F3B">
        <w:rPr>
          <w:rFonts w:ascii="Book Antiqua" w:hAnsi="Book Antiqua"/>
          <w:bCs/>
          <w:szCs w:val="24"/>
          <w:lang w:val="es-ES_tradnl"/>
        </w:rPr>
        <w:t xml:space="preserve">La Comisión de </w:t>
      </w:r>
      <w:r w:rsidR="00506E93">
        <w:rPr>
          <w:rFonts w:ascii="Book Antiqua" w:hAnsi="Book Antiqua"/>
          <w:bCs/>
          <w:szCs w:val="24"/>
          <w:lang w:val="es-ES_tradnl"/>
        </w:rPr>
        <w:t>Desarrollo Económico</w:t>
      </w:r>
      <w:r w:rsidRPr="00832F3B">
        <w:rPr>
          <w:rFonts w:ascii="Book Antiqua" w:hAnsi="Book Antiqua"/>
          <w:bCs/>
          <w:szCs w:val="24"/>
          <w:lang w:val="es-ES_tradnl"/>
        </w:rPr>
        <w:t>, previo estudio y consideración de</w:t>
      </w:r>
      <w:r w:rsidR="00552376">
        <w:rPr>
          <w:rFonts w:ascii="Book Antiqua" w:hAnsi="Book Antiqua"/>
          <w:bCs/>
          <w:szCs w:val="24"/>
          <w:lang w:val="es-ES_tradnl"/>
        </w:rPr>
        <w:t>l</w:t>
      </w:r>
      <w:r w:rsidRPr="00832F3B">
        <w:rPr>
          <w:rFonts w:ascii="Book Antiqua" w:hAnsi="Book Antiqua"/>
          <w:bCs/>
          <w:szCs w:val="24"/>
          <w:lang w:val="es-ES_tradnl"/>
        </w:rPr>
        <w:t xml:space="preserve"> </w:t>
      </w:r>
      <w:r w:rsidR="00523536">
        <w:rPr>
          <w:rFonts w:ascii="Book Antiqua" w:hAnsi="Book Antiqua"/>
          <w:b/>
          <w:szCs w:val="24"/>
          <w:lang w:val="es-ES_tradnl"/>
        </w:rPr>
        <w:t>P.</w:t>
      </w:r>
      <w:r w:rsidRPr="00832F3B">
        <w:rPr>
          <w:rFonts w:ascii="Book Antiqua" w:hAnsi="Book Antiqua"/>
          <w:b/>
          <w:szCs w:val="24"/>
          <w:lang w:val="es-ES_tradnl"/>
        </w:rPr>
        <w:t xml:space="preserve"> del S. </w:t>
      </w:r>
      <w:r w:rsidR="00FF6E17">
        <w:rPr>
          <w:rFonts w:ascii="Book Antiqua" w:hAnsi="Book Antiqua"/>
          <w:b/>
          <w:szCs w:val="24"/>
          <w:lang w:val="es-ES_tradnl"/>
        </w:rPr>
        <w:t>81</w:t>
      </w:r>
      <w:r w:rsidRPr="00832F3B">
        <w:rPr>
          <w:rFonts w:ascii="Book Antiqua" w:hAnsi="Book Antiqua"/>
          <w:bCs/>
          <w:szCs w:val="24"/>
          <w:lang w:val="es-ES_tradnl"/>
        </w:rPr>
        <w:t xml:space="preserve">, recomienda a este </w:t>
      </w:r>
      <w:r w:rsidRPr="0056350E">
        <w:rPr>
          <w:rFonts w:ascii="Book Antiqua" w:hAnsi="Book Antiqua"/>
          <w:bCs/>
          <w:szCs w:val="24"/>
          <w:lang w:val="es-ES_tradnl"/>
        </w:rPr>
        <w:t xml:space="preserve">Cuerpo </w:t>
      </w:r>
      <w:r w:rsidR="00506E93" w:rsidRPr="0056350E">
        <w:rPr>
          <w:rFonts w:ascii="Book Antiqua" w:hAnsi="Book Antiqua"/>
          <w:bCs/>
          <w:szCs w:val="24"/>
          <w:lang w:val="es-ES_tradnl"/>
        </w:rPr>
        <w:t>Legislativo</w:t>
      </w:r>
      <w:r w:rsidR="00506E93">
        <w:rPr>
          <w:rFonts w:ascii="Book Antiqua" w:hAnsi="Book Antiqua"/>
          <w:bCs/>
          <w:szCs w:val="24"/>
          <w:lang w:val="es-ES_tradnl"/>
        </w:rPr>
        <w:t xml:space="preserve"> </w:t>
      </w:r>
      <w:r w:rsidRPr="00832F3B">
        <w:rPr>
          <w:rFonts w:ascii="Book Antiqua" w:hAnsi="Book Antiqua"/>
          <w:bCs/>
          <w:szCs w:val="24"/>
          <w:lang w:val="es-ES_tradnl"/>
        </w:rPr>
        <w:t xml:space="preserve">su </w:t>
      </w:r>
      <w:r w:rsidR="00523536">
        <w:rPr>
          <w:rFonts w:ascii="Book Antiqua" w:hAnsi="Book Antiqua"/>
          <w:bCs/>
          <w:szCs w:val="24"/>
          <w:lang w:val="es-ES_tradnl"/>
        </w:rPr>
        <w:t>a</w:t>
      </w:r>
      <w:r w:rsidRPr="00832F3B">
        <w:rPr>
          <w:rFonts w:ascii="Book Antiqua" w:hAnsi="Book Antiqua"/>
          <w:bCs/>
          <w:szCs w:val="24"/>
          <w:lang w:val="es-ES_tradnl"/>
        </w:rPr>
        <w:t>probación con enmiendas</w:t>
      </w:r>
      <w:r w:rsidR="00687236">
        <w:rPr>
          <w:rFonts w:ascii="Book Antiqua" w:hAnsi="Book Antiqua"/>
          <w:bCs/>
          <w:szCs w:val="24"/>
          <w:lang w:val="es-ES_tradnl"/>
        </w:rPr>
        <w:t xml:space="preserve"> contenidas en el </w:t>
      </w:r>
      <w:proofErr w:type="spellStart"/>
      <w:r w:rsidR="00687236">
        <w:rPr>
          <w:rFonts w:ascii="Book Antiqua" w:hAnsi="Book Antiqua"/>
          <w:bCs/>
          <w:szCs w:val="24"/>
          <w:lang w:val="es-ES_tradnl"/>
        </w:rPr>
        <w:t>entirillado</w:t>
      </w:r>
      <w:proofErr w:type="spellEnd"/>
      <w:r w:rsidR="00687236">
        <w:rPr>
          <w:rFonts w:ascii="Book Antiqua" w:hAnsi="Book Antiqua"/>
          <w:bCs/>
          <w:szCs w:val="24"/>
          <w:lang w:val="es-ES_tradnl"/>
        </w:rPr>
        <w:t xml:space="preserve"> electrónico</w:t>
      </w:r>
      <w:r w:rsidRPr="00832F3B">
        <w:rPr>
          <w:rFonts w:ascii="Book Antiqua" w:hAnsi="Book Antiqua"/>
          <w:bCs/>
          <w:szCs w:val="24"/>
          <w:lang w:val="es-ES_tradnl"/>
        </w:rPr>
        <w:t xml:space="preserve">. </w:t>
      </w:r>
    </w:p>
    <w:p w14:paraId="485365FC" w14:textId="77777777" w:rsidR="00DC3AE6" w:rsidRPr="009E60BD" w:rsidRDefault="00DC3AE6" w:rsidP="00DC3AE6">
      <w:pPr>
        <w:suppressAutoHyphens/>
        <w:spacing w:line="240" w:lineRule="atLeast"/>
        <w:rPr>
          <w:rFonts w:ascii="Book Antiqua" w:hAnsi="Book Antiqua"/>
          <w:b/>
          <w:bCs/>
          <w:szCs w:val="24"/>
          <w:lang w:val="es-ES_tradnl"/>
        </w:rPr>
      </w:pPr>
    </w:p>
    <w:p w14:paraId="528FF140" w14:textId="2E280771" w:rsidR="008045E9" w:rsidRDefault="00DC3AE6" w:rsidP="00E94948">
      <w:pPr>
        <w:tabs>
          <w:tab w:val="left" w:pos="-720"/>
        </w:tabs>
        <w:suppressAutoHyphens/>
        <w:spacing w:after="120" w:line="360" w:lineRule="auto"/>
        <w:jc w:val="center"/>
        <w:rPr>
          <w:rFonts w:ascii="Book Antiqua" w:hAnsi="Book Antiqua"/>
          <w:b/>
          <w:bCs/>
          <w:szCs w:val="24"/>
          <w:lang w:val="es-ES_tradnl"/>
        </w:rPr>
      </w:pPr>
      <w:r>
        <w:rPr>
          <w:rFonts w:ascii="Book Antiqua" w:hAnsi="Book Antiqua"/>
          <w:b/>
          <w:bCs/>
          <w:szCs w:val="24"/>
          <w:lang w:val="es-ES_tradnl"/>
        </w:rPr>
        <w:t>ALCANCE DE LA MEDIDA</w:t>
      </w:r>
    </w:p>
    <w:p w14:paraId="41B36F61" w14:textId="0013C686" w:rsidR="00BF683C" w:rsidRPr="00E94948" w:rsidRDefault="00523536" w:rsidP="00D36CAB">
      <w:pPr>
        <w:spacing w:line="360" w:lineRule="auto"/>
        <w:ind w:firstLine="720"/>
        <w:jc w:val="both"/>
        <w:rPr>
          <w:rFonts w:ascii="Book Antiqua" w:hAnsi="Book Antiqua"/>
          <w:szCs w:val="24"/>
          <w:lang w:val="es-PR"/>
        </w:rPr>
      </w:pPr>
      <w:r w:rsidRPr="00E94948">
        <w:rPr>
          <w:rFonts w:ascii="Book Antiqua" w:hAnsi="Book Antiqua"/>
          <w:b/>
          <w:bCs/>
          <w:szCs w:val="24"/>
          <w:lang w:val="es-PR"/>
        </w:rPr>
        <w:t xml:space="preserve">El Proyecto del Senado </w:t>
      </w:r>
      <w:r w:rsidR="00FF6E17" w:rsidRPr="00E94948">
        <w:rPr>
          <w:rFonts w:ascii="Book Antiqua" w:hAnsi="Book Antiqua"/>
          <w:b/>
          <w:bCs/>
          <w:szCs w:val="24"/>
          <w:lang w:val="es-PR"/>
        </w:rPr>
        <w:t>81</w:t>
      </w:r>
      <w:r w:rsidRPr="00E94948">
        <w:rPr>
          <w:rFonts w:ascii="Book Antiqua" w:hAnsi="Book Antiqua"/>
          <w:szCs w:val="24"/>
          <w:lang w:val="es-PR"/>
        </w:rPr>
        <w:t xml:space="preserve"> tiene como objetivo</w:t>
      </w:r>
      <w:r w:rsidR="00FF6E17" w:rsidRPr="00E94948">
        <w:rPr>
          <w:rFonts w:ascii="Book Antiqua" w:hAnsi="Book Antiqua"/>
          <w:szCs w:val="24"/>
          <w:lang w:val="es-PR"/>
        </w:rPr>
        <w:t xml:space="preserve"> enmendar el Artículo 8.4 de la Ley </w:t>
      </w:r>
      <w:r w:rsidR="00E94948" w:rsidRPr="00E94948">
        <w:rPr>
          <w:rFonts w:ascii="Book Antiqua" w:hAnsi="Book Antiqua"/>
          <w:szCs w:val="24"/>
          <w:lang w:val="es-PR"/>
        </w:rPr>
        <w:t xml:space="preserve">Núm. </w:t>
      </w:r>
      <w:r w:rsidR="00FF6E17" w:rsidRPr="00E94948">
        <w:rPr>
          <w:rFonts w:ascii="Book Antiqua" w:hAnsi="Book Antiqua"/>
          <w:szCs w:val="24"/>
          <w:lang w:val="es-PR"/>
        </w:rPr>
        <w:t xml:space="preserve">161-2009, según enmendada, conocida </w:t>
      </w:r>
      <w:r w:rsidR="00E94948" w:rsidRPr="00E94948">
        <w:rPr>
          <w:rFonts w:ascii="Book Antiqua" w:hAnsi="Book Antiqua"/>
          <w:szCs w:val="24"/>
          <w:lang w:val="es-PR"/>
        </w:rPr>
        <w:t>como “</w:t>
      </w:r>
      <w:r w:rsidR="00FF6E17" w:rsidRPr="00E94948">
        <w:rPr>
          <w:rFonts w:ascii="Book Antiqua" w:hAnsi="Book Antiqua"/>
          <w:szCs w:val="24"/>
          <w:lang w:val="es-PR"/>
        </w:rPr>
        <w:t>Ley para la Reforma del Proceso de Permisos de Puerto Rico”</w:t>
      </w:r>
      <w:r w:rsidR="00E94948">
        <w:rPr>
          <w:rFonts w:ascii="Book Antiqua" w:hAnsi="Book Antiqua"/>
          <w:szCs w:val="24"/>
          <w:lang w:val="es-PR"/>
        </w:rPr>
        <w:t>,</w:t>
      </w:r>
      <w:r w:rsidR="00FF6E17" w:rsidRPr="00E94948">
        <w:rPr>
          <w:rFonts w:ascii="Book Antiqua" w:hAnsi="Book Antiqua"/>
          <w:szCs w:val="24"/>
          <w:lang w:val="es-PR"/>
        </w:rPr>
        <w:t xml:space="preserve"> a los fines de establecer que, si una entidad gubernamental o agencia no emite sus recomendaciones dentro de los términos establecidos a la Oficina de Gerencia de Permisos, se entenderá que no tiene recomendaciones ni objeciones al proyecto propuesto</w:t>
      </w:r>
      <w:r w:rsidR="00E94948" w:rsidRPr="00E94948">
        <w:rPr>
          <w:rFonts w:ascii="Book Antiqua" w:hAnsi="Book Antiqua"/>
          <w:szCs w:val="24"/>
          <w:lang w:val="es-PR"/>
        </w:rPr>
        <w:t xml:space="preserve">. A su vez, </w:t>
      </w:r>
      <w:r w:rsidR="00E94948">
        <w:rPr>
          <w:rFonts w:ascii="Book Antiqua" w:hAnsi="Book Antiqua"/>
          <w:szCs w:val="24"/>
          <w:lang w:val="es-PR"/>
        </w:rPr>
        <w:t xml:space="preserve">el proyecto </w:t>
      </w:r>
      <w:r w:rsidR="00E94948" w:rsidRPr="00E94948">
        <w:rPr>
          <w:rFonts w:ascii="Book Antiqua" w:hAnsi="Book Antiqua"/>
          <w:szCs w:val="24"/>
          <w:lang w:val="es-PR"/>
        </w:rPr>
        <w:t>busca</w:t>
      </w:r>
      <w:r w:rsidR="00FF6E17" w:rsidRPr="00E94948">
        <w:rPr>
          <w:rFonts w:ascii="Book Antiqua" w:hAnsi="Book Antiqua"/>
          <w:szCs w:val="24"/>
          <w:lang w:val="es-PR"/>
        </w:rPr>
        <w:t xml:space="preserve"> establecer que dichas recomendaciones no serán vinculantes, y que la determinación de conceder o denegar un permiso se basará en la totalidad del expediente </w:t>
      </w:r>
      <w:r w:rsidR="00E94948" w:rsidRPr="00E94948">
        <w:rPr>
          <w:rFonts w:ascii="Book Antiqua" w:hAnsi="Book Antiqua"/>
          <w:szCs w:val="24"/>
          <w:lang w:val="es-PR"/>
        </w:rPr>
        <w:t>administrativ</w:t>
      </w:r>
      <w:r w:rsidR="003B6280">
        <w:rPr>
          <w:rFonts w:ascii="Book Antiqua" w:hAnsi="Book Antiqua"/>
          <w:szCs w:val="24"/>
          <w:lang w:val="es-PR"/>
        </w:rPr>
        <w:t>o.</w:t>
      </w:r>
      <w:r w:rsidR="00E94948" w:rsidRPr="00E94948">
        <w:rPr>
          <w:rFonts w:ascii="Book Antiqua" w:hAnsi="Book Antiqua" w:cs="Arial"/>
          <w:szCs w:val="24"/>
          <w:lang w:val="es-PR"/>
        </w:rPr>
        <w:t xml:space="preserve"> </w:t>
      </w:r>
      <w:r w:rsidR="00E94948">
        <w:rPr>
          <w:rFonts w:ascii="Book Antiqua" w:hAnsi="Book Antiqua" w:cs="Arial"/>
          <w:szCs w:val="24"/>
          <w:lang w:val="es-PR"/>
        </w:rPr>
        <w:t>También</w:t>
      </w:r>
      <w:r w:rsidR="00E94948" w:rsidRPr="00E94948">
        <w:rPr>
          <w:rFonts w:ascii="Book Antiqua" w:hAnsi="Book Antiqua" w:cs="Arial"/>
          <w:szCs w:val="24"/>
          <w:lang w:val="es-PR"/>
        </w:rPr>
        <w:t>,</w:t>
      </w:r>
      <w:r w:rsidR="00FF6E17" w:rsidRPr="00E94948">
        <w:rPr>
          <w:rFonts w:ascii="Book Antiqua" w:hAnsi="Book Antiqua" w:cs="Arial"/>
          <w:szCs w:val="24"/>
          <w:lang w:val="es-PR"/>
        </w:rPr>
        <w:t xml:space="preserve"> enm</w:t>
      </w:r>
      <w:r w:rsidR="00E94948" w:rsidRPr="00E94948">
        <w:rPr>
          <w:rFonts w:ascii="Book Antiqua" w:hAnsi="Book Antiqua" w:cs="Arial"/>
          <w:szCs w:val="24"/>
          <w:lang w:val="es-PR"/>
        </w:rPr>
        <w:t>ienda</w:t>
      </w:r>
      <w:r w:rsidR="00FF6E17" w:rsidRPr="00E94948">
        <w:rPr>
          <w:rFonts w:ascii="Book Antiqua" w:hAnsi="Book Antiqua" w:cs="Arial"/>
          <w:szCs w:val="24"/>
          <w:lang w:val="es-PR"/>
        </w:rPr>
        <w:t xml:space="preserve"> el Artículo 19.12 de</w:t>
      </w:r>
      <w:r w:rsidR="00FF6E17" w:rsidRPr="00E94948">
        <w:rPr>
          <w:rFonts w:ascii="Book Antiqua" w:hAnsi="Book Antiqua"/>
          <w:szCs w:val="24"/>
          <w:lang w:val="es-PR"/>
        </w:rPr>
        <w:t xml:space="preserve"> la Ley </w:t>
      </w:r>
      <w:r w:rsidR="00E94948" w:rsidRPr="00E94948">
        <w:rPr>
          <w:rFonts w:ascii="Book Antiqua" w:hAnsi="Book Antiqua"/>
          <w:szCs w:val="24"/>
          <w:lang w:val="es-PR"/>
        </w:rPr>
        <w:t xml:space="preserve">Núm. </w:t>
      </w:r>
      <w:r w:rsidR="00FF6E17" w:rsidRPr="00E94948">
        <w:rPr>
          <w:rFonts w:ascii="Book Antiqua" w:hAnsi="Book Antiqua"/>
          <w:szCs w:val="24"/>
          <w:lang w:val="es-PR"/>
        </w:rPr>
        <w:t xml:space="preserve">161-2009, </w:t>
      </w:r>
      <w:r w:rsidR="00FF6E17" w:rsidRPr="00E94948">
        <w:rPr>
          <w:rFonts w:ascii="Book Antiqua" w:hAnsi="Book Antiqua"/>
          <w:i/>
          <w:iCs/>
          <w:szCs w:val="24"/>
          <w:lang w:val="es-PR"/>
        </w:rPr>
        <w:t>supra</w:t>
      </w:r>
      <w:r w:rsidR="00FF6E17" w:rsidRPr="00E94948">
        <w:rPr>
          <w:rFonts w:ascii="Book Antiqua" w:hAnsi="Book Antiqua"/>
          <w:szCs w:val="24"/>
          <w:lang w:val="es-PR"/>
        </w:rPr>
        <w:t>, para disponer la supremacía de dicha ley</w:t>
      </w:r>
      <w:r w:rsidR="00E94948" w:rsidRPr="00E94948">
        <w:rPr>
          <w:rFonts w:ascii="Book Antiqua" w:hAnsi="Book Antiqua"/>
          <w:szCs w:val="24"/>
          <w:lang w:val="es-PR"/>
        </w:rPr>
        <w:t xml:space="preserve">. </w:t>
      </w:r>
    </w:p>
    <w:p w14:paraId="1F009516" w14:textId="33B8A5C9" w:rsidR="00DC3AE6" w:rsidRDefault="00E94948" w:rsidP="005D2AA5">
      <w:pPr>
        <w:spacing w:line="360" w:lineRule="auto"/>
        <w:ind w:firstLine="720"/>
        <w:jc w:val="both"/>
        <w:rPr>
          <w:rFonts w:ascii="Book Antiqua" w:hAnsi="Book Antiqua" w:cs="Arial"/>
          <w:szCs w:val="24"/>
          <w:lang w:val="es-PR"/>
        </w:rPr>
      </w:pPr>
      <w:r w:rsidRPr="00E94948">
        <w:rPr>
          <w:rFonts w:ascii="Book Antiqua" w:hAnsi="Book Antiqua"/>
          <w:szCs w:val="24"/>
          <w:lang w:val="es-PR"/>
        </w:rPr>
        <w:t>Por otro lado</w:t>
      </w:r>
      <w:r>
        <w:rPr>
          <w:rFonts w:ascii="Book Antiqua" w:hAnsi="Book Antiqua"/>
          <w:szCs w:val="24"/>
          <w:lang w:val="es-PR"/>
        </w:rPr>
        <w:t>, el P. del S. 81</w:t>
      </w:r>
      <w:r w:rsidRPr="00E94948">
        <w:rPr>
          <w:rFonts w:ascii="Book Antiqua" w:hAnsi="Book Antiqua"/>
          <w:szCs w:val="24"/>
          <w:lang w:val="es-PR"/>
        </w:rPr>
        <w:t xml:space="preserve"> propone</w:t>
      </w:r>
      <w:r w:rsidR="00FF6E17" w:rsidRPr="00E94948">
        <w:rPr>
          <w:rFonts w:ascii="Book Antiqua" w:hAnsi="Book Antiqua"/>
          <w:szCs w:val="24"/>
          <w:lang w:val="es-PR"/>
        </w:rPr>
        <w:t xml:space="preserve"> enmendar el inciso (h) del Artículo 5 de la </w:t>
      </w:r>
      <w:r w:rsidR="00FF6E17" w:rsidRPr="00E94948">
        <w:rPr>
          <w:rFonts w:ascii="Book Antiqua" w:hAnsi="Book Antiqua" w:cs="Arial"/>
          <w:szCs w:val="24"/>
          <w:lang w:val="es-PR"/>
        </w:rPr>
        <w:t xml:space="preserve">Ley Núm. 23 de 20 de junio de 1972, según enmendada, conocida como “Ley Orgánica del Departamento de Recursos Naturales y Ambientales”, a los fines de cumplir con la política pública de agilizar los procesos de permisos, y disponer la obligación del Departamento de Recursos Naturales y Ambientales de asesorar, orientar, guiar y apoyar </w:t>
      </w:r>
      <w:r w:rsidR="00FF6E17" w:rsidRPr="00E94948">
        <w:rPr>
          <w:rFonts w:ascii="Book Antiqua" w:hAnsi="Book Antiqua" w:cs="Arial"/>
          <w:szCs w:val="24"/>
          <w:lang w:val="es-PR"/>
        </w:rPr>
        <w:lastRenderedPageBreak/>
        <w:t>mediante comentarios a la Oficina de Gerencia de Permisos, a la dependencia gubernamental que la sustituya, y a los municipios concernientes en la toma de decisiones sobre la evaluación de permisos que incidan en la política pública ambiental; así como para disponer que el Departamento de Recursos Naturales y Ambientales</w:t>
      </w:r>
      <w:r>
        <w:rPr>
          <w:rFonts w:ascii="Book Antiqua" w:hAnsi="Book Antiqua" w:cs="Arial"/>
          <w:szCs w:val="24"/>
          <w:lang w:val="es-PR"/>
        </w:rPr>
        <w:t xml:space="preserve"> y la Oficina de Gerencia de Permisos</w:t>
      </w:r>
      <w:r w:rsidR="00FF6E17" w:rsidRPr="00E94948">
        <w:rPr>
          <w:rFonts w:ascii="Book Antiqua" w:hAnsi="Book Antiqua" w:cs="Arial"/>
          <w:szCs w:val="24"/>
          <w:lang w:val="es-PR"/>
        </w:rPr>
        <w:t xml:space="preserve"> adopte</w:t>
      </w:r>
      <w:r>
        <w:rPr>
          <w:rFonts w:ascii="Book Antiqua" w:hAnsi="Book Antiqua" w:cs="Arial"/>
          <w:szCs w:val="24"/>
          <w:lang w:val="es-PR"/>
        </w:rPr>
        <w:t>n</w:t>
      </w:r>
      <w:r w:rsidR="00FF6E17" w:rsidRPr="00E94948">
        <w:rPr>
          <w:rFonts w:ascii="Book Antiqua" w:hAnsi="Book Antiqua" w:cs="Arial"/>
          <w:szCs w:val="24"/>
          <w:lang w:val="es-PR"/>
        </w:rPr>
        <w:t xml:space="preserve"> todas las providencias reglamentarias pertinentes para el cumplimiento de</w:t>
      </w:r>
      <w:r>
        <w:rPr>
          <w:rFonts w:ascii="Book Antiqua" w:hAnsi="Book Antiqua" w:cs="Arial"/>
          <w:szCs w:val="24"/>
          <w:lang w:val="es-PR"/>
        </w:rPr>
        <w:t xml:space="preserve"> dicha ley.</w:t>
      </w:r>
    </w:p>
    <w:p w14:paraId="60E92B2C" w14:textId="77777777" w:rsidR="005D2AA5" w:rsidRPr="005D2AA5" w:rsidRDefault="005D2AA5" w:rsidP="005D2AA5">
      <w:pPr>
        <w:spacing w:line="360" w:lineRule="auto"/>
        <w:ind w:firstLine="720"/>
        <w:jc w:val="both"/>
        <w:rPr>
          <w:rFonts w:ascii="Book Antiqua" w:hAnsi="Book Antiqua" w:cs="Arial"/>
          <w:szCs w:val="24"/>
          <w:lang w:val="es-PR"/>
        </w:rPr>
      </w:pPr>
    </w:p>
    <w:p w14:paraId="679D8074" w14:textId="7726FF96" w:rsidR="00D5588E" w:rsidRDefault="00DC3AE6" w:rsidP="008045E9">
      <w:pPr>
        <w:suppressAutoHyphens/>
        <w:spacing w:line="360" w:lineRule="auto"/>
        <w:jc w:val="center"/>
        <w:rPr>
          <w:rFonts w:ascii="Book Antiqua" w:hAnsi="Book Antiqua"/>
          <w:b/>
          <w:bCs/>
          <w:spacing w:val="-3"/>
          <w:lang w:val="es-ES_tradnl"/>
        </w:rPr>
      </w:pPr>
      <w:r w:rsidRPr="00832F3B">
        <w:rPr>
          <w:rFonts w:ascii="Book Antiqua" w:hAnsi="Book Antiqua"/>
          <w:b/>
          <w:bCs/>
          <w:spacing w:val="-3"/>
          <w:lang w:val="es-ES_tradnl"/>
        </w:rPr>
        <w:t>INTRODUCCIÓN</w:t>
      </w:r>
    </w:p>
    <w:p w14:paraId="5D6549BE" w14:textId="11CAE102" w:rsidR="001049FF" w:rsidRDefault="00D5588E" w:rsidP="001049FF">
      <w:pPr>
        <w:suppressAutoHyphens/>
        <w:spacing w:line="360" w:lineRule="auto"/>
        <w:ind w:firstLine="720"/>
        <w:jc w:val="both"/>
        <w:rPr>
          <w:rFonts w:ascii="Book Antiqua" w:hAnsi="Book Antiqua"/>
          <w:spacing w:val="-3"/>
          <w:lang w:val="es-ES_tradnl"/>
        </w:rPr>
      </w:pPr>
      <w:r w:rsidRPr="0009040D">
        <w:rPr>
          <w:rFonts w:ascii="Book Antiqua" w:hAnsi="Book Antiqua"/>
          <w:spacing w:val="-3"/>
          <w:lang w:val="es-ES_tradnl"/>
        </w:rPr>
        <w:t>La Ley Núm. 161-2009, según enmendada, conocida como “Ley para la Reforma del Proceso de Permisos de Puerto Rico</w:t>
      </w:r>
      <w:r w:rsidR="00DA7B1C">
        <w:rPr>
          <w:rFonts w:ascii="Book Antiqua" w:hAnsi="Book Antiqua"/>
          <w:spacing w:val="-3"/>
          <w:lang w:val="es-ES_tradnl"/>
        </w:rPr>
        <w:t>”</w:t>
      </w:r>
      <w:r w:rsidRPr="0009040D">
        <w:rPr>
          <w:rFonts w:ascii="Book Antiqua" w:hAnsi="Book Antiqua"/>
          <w:spacing w:val="-3"/>
          <w:lang w:val="es-ES_tradnl"/>
        </w:rPr>
        <w:t xml:space="preserve">, se promulgó para establecer el marco legal y administrativo para regir los procesos de solicitud, evaluación, concesión y denegación de permisos de uso, de construcción y desarrollo de terrenos en el Gobierno de Puerto Rico. </w:t>
      </w:r>
      <w:r w:rsidR="0009040D">
        <w:rPr>
          <w:rFonts w:ascii="Book Antiqua" w:hAnsi="Book Antiqua"/>
          <w:spacing w:val="-3"/>
          <w:lang w:val="es-ES_tradnl"/>
        </w:rPr>
        <w:t>El propósito de la promulgación de dicha ley fue reformar y transformar el sistema de permisos de Puerto Rico en uno moderno, confiable, ágil y eficiente para fomentar el desarrollo integral, económico social y físico sostenible de Puerto Rico. En virtud de dicha ley, la Oficina de Gerencia de Permisos (</w:t>
      </w:r>
      <w:proofErr w:type="spellStart"/>
      <w:r w:rsidR="0009040D">
        <w:rPr>
          <w:rFonts w:ascii="Book Antiqua" w:hAnsi="Book Antiqua"/>
          <w:spacing w:val="-3"/>
          <w:lang w:val="es-ES_tradnl"/>
        </w:rPr>
        <w:t>OGPe</w:t>
      </w:r>
      <w:proofErr w:type="spellEnd"/>
      <w:r w:rsidR="0009040D">
        <w:rPr>
          <w:rFonts w:ascii="Book Antiqua" w:hAnsi="Book Antiqua"/>
          <w:spacing w:val="-3"/>
          <w:lang w:val="es-ES_tradnl"/>
        </w:rPr>
        <w:t xml:space="preserve">), es la entidad gubernamental facultada para dirigir el esfuerzo de emitir determinaciones finales, permisos, licencias, inspecciones, certificaciones y otras autorizaciones para el desarrollo y uso de terrenos. </w:t>
      </w:r>
      <w:r w:rsidR="00DA7B1C">
        <w:rPr>
          <w:rFonts w:ascii="Book Antiqua" w:hAnsi="Book Antiqua"/>
          <w:spacing w:val="-3"/>
          <w:lang w:val="es-ES_tradnl"/>
        </w:rPr>
        <w:t xml:space="preserve">Con la aprobación de la Ley Núm. 161-2009, </w:t>
      </w:r>
      <w:r w:rsidR="00DA7B1C" w:rsidRPr="00D86F25">
        <w:rPr>
          <w:rFonts w:ascii="Book Antiqua" w:hAnsi="Book Antiqua"/>
          <w:i/>
          <w:iCs/>
          <w:spacing w:val="-3"/>
          <w:lang w:val="es-ES_tradnl"/>
        </w:rPr>
        <w:t>supra</w:t>
      </w:r>
      <w:r w:rsidR="00DA7B1C">
        <w:rPr>
          <w:rFonts w:ascii="Book Antiqua" w:hAnsi="Book Antiqua"/>
          <w:spacing w:val="-3"/>
          <w:lang w:val="es-ES_tradnl"/>
        </w:rPr>
        <w:t xml:space="preserve">, las Entidades Gubernamentales Concernidas pasaron a realizar la función para la que originalmente fueron creadas, la de fiscalizar y proteger los importantes intereses que sus leyes orgánicas les delegan, fiscalizando el cumplimiento de los solicitantes con los permisos otorgados por </w:t>
      </w:r>
      <w:proofErr w:type="spellStart"/>
      <w:r w:rsidR="00DA7B1C">
        <w:rPr>
          <w:rFonts w:ascii="Book Antiqua" w:hAnsi="Book Antiqua"/>
          <w:spacing w:val="-3"/>
          <w:lang w:val="es-ES_tradnl"/>
        </w:rPr>
        <w:t>OGPe</w:t>
      </w:r>
      <w:proofErr w:type="spellEnd"/>
      <w:r w:rsidR="00DA7B1C">
        <w:rPr>
          <w:rFonts w:ascii="Book Antiqua" w:hAnsi="Book Antiqua"/>
          <w:spacing w:val="-3"/>
          <w:lang w:val="es-ES_tradnl"/>
        </w:rPr>
        <w:t xml:space="preserve">. </w:t>
      </w:r>
    </w:p>
    <w:p w14:paraId="2E2A031B" w14:textId="365FEE35" w:rsidR="00DA7B1C" w:rsidRDefault="0032324E" w:rsidP="00D36CAB">
      <w:pPr>
        <w:suppressAutoHyphens/>
        <w:spacing w:line="360" w:lineRule="auto"/>
        <w:ind w:firstLine="720"/>
        <w:jc w:val="both"/>
        <w:rPr>
          <w:rFonts w:ascii="Book Antiqua" w:hAnsi="Book Antiqua"/>
          <w:spacing w:val="-3"/>
          <w:lang w:val="es-ES_tradnl"/>
        </w:rPr>
      </w:pPr>
      <w:r>
        <w:rPr>
          <w:rFonts w:ascii="Book Antiqua" w:hAnsi="Book Antiqua"/>
          <w:spacing w:val="-3"/>
          <w:lang w:val="es-ES_tradnl"/>
        </w:rPr>
        <w:t xml:space="preserve">Por otra parte, de conformidad con la Ley Núm. 171-2018, conocida como “Plan de Reorganización de Recursos Naturales y Ambientales de 2018”, el Departamento de Recursos Naturales y Ambientales (DRNA) constituye el organismo del Gobierno de Puerto Rico responsable de implementar la política y los programas relacionados con el manejo, desarrollo sostenible, utilización, aprovechamiento y protección de los recursos naturales y ambientales de Puerto Rico. La misión del DRNA es proteger, conservar y administrar los </w:t>
      </w:r>
      <w:r>
        <w:rPr>
          <w:rFonts w:ascii="Book Antiqua" w:hAnsi="Book Antiqua"/>
          <w:spacing w:val="-3"/>
          <w:lang w:val="es-ES_tradnl"/>
        </w:rPr>
        <w:lastRenderedPageBreak/>
        <w:t xml:space="preserve">recursos naturales y ambientales de la isla, de forma balanceada para propiciar una mejor calidad de vida y garantizar su disfrute a las próximas generaciones. </w:t>
      </w:r>
    </w:p>
    <w:p w14:paraId="7F4AA7A3" w14:textId="442CC674" w:rsidR="00BF683C" w:rsidRPr="0009040D" w:rsidRDefault="00DA7B1C" w:rsidP="005D2AA5">
      <w:pPr>
        <w:suppressAutoHyphens/>
        <w:spacing w:line="360" w:lineRule="auto"/>
        <w:ind w:firstLine="720"/>
        <w:jc w:val="both"/>
        <w:rPr>
          <w:rFonts w:ascii="Book Antiqua" w:hAnsi="Book Antiqua"/>
          <w:spacing w:val="-3"/>
          <w:lang w:val="es-ES_tradnl"/>
        </w:rPr>
      </w:pPr>
      <w:r w:rsidRPr="0009040D">
        <w:rPr>
          <w:rFonts w:ascii="Book Antiqua" w:hAnsi="Book Antiqua"/>
          <w:spacing w:val="-3"/>
          <w:lang w:val="es-ES_tradnl"/>
        </w:rPr>
        <w:t xml:space="preserve">El Proyecto del Senado </w:t>
      </w:r>
      <w:r w:rsidR="0032324E">
        <w:rPr>
          <w:rFonts w:ascii="Book Antiqua" w:hAnsi="Book Antiqua"/>
          <w:spacing w:val="-3"/>
          <w:lang w:val="es-ES_tradnl"/>
        </w:rPr>
        <w:t>81</w:t>
      </w:r>
      <w:r w:rsidRPr="0009040D">
        <w:rPr>
          <w:rFonts w:ascii="Book Antiqua" w:hAnsi="Book Antiqua"/>
          <w:spacing w:val="-3"/>
          <w:lang w:val="es-ES_tradnl"/>
        </w:rPr>
        <w:t xml:space="preserve"> se propone enmendar la Ley Núm. </w:t>
      </w:r>
      <w:r w:rsidR="0032324E">
        <w:rPr>
          <w:rFonts w:ascii="Book Antiqua" w:hAnsi="Book Antiqua"/>
          <w:spacing w:val="-3"/>
          <w:lang w:val="es-ES_tradnl"/>
        </w:rPr>
        <w:t>161</w:t>
      </w:r>
      <w:r w:rsidR="00D86F25">
        <w:rPr>
          <w:rFonts w:ascii="Book Antiqua" w:hAnsi="Book Antiqua"/>
          <w:spacing w:val="-3"/>
          <w:lang w:val="es-ES_tradnl"/>
        </w:rPr>
        <w:t xml:space="preserve">, </w:t>
      </w:r>
      <w:r w:rsidR="00D86F25" w:rsidRPr="00D86F25">
        <w:rPr>
          <w:rFonts w:ascii="Book Antiqua" w:hAnsi="Book Antiqua"/>
          <w:i/>
          <w:iCs/>
          <w:spacing w:val="-3"/>
          <w:lang w:val="es-ES_tradnl"/>
        </w:rPr>
        <w:t>supra,</w:t>
      </w:r>
      <w:r w:rsidR="00D86F25">
        <w:rPr>
          <w:rFonts w:ascii="Book Antiqua" w:hAnsi="Book Antiqua"/>
          <w:spacing w:val="-3"/>
          <w:lang w:val="es-ES_tradnl"/>
        </w:rPr>
        <w:t xml:space="preserve"> </w:t>
      </w:r>
      <w:r w:rsidR="0032324E">
        <w:rPr>
          <w:rFonts w:ascii="Book Antiqua" w:hAnsi="Book Antiqua"/>
          <w:spacing w:val="-3"/>
          <w:lang w:val="es-ES_tradnl"/>
        </w:rPr>
        <w:t xml:space="preserve">y la Ley Núm. 23, </w:t>
      </w:r>
      <w:r w:rsidR="0032324E" w:rsidRPr="0032324E">
        <w:rPr>
          <w:rFonts w:ascii="Book Antiqua" w:hAnsi="Book Antiqua"/>
          <w:i/>
          <w:iCs/>
          <w:spacing w:val="-3"/>
          <w:lang w:val="es-ES_tradnl"/>
        </w:rPr>
        <w:t>supra</w:t>
      </w:r>
      <w:r w:rsidR="0032324E">
        <w:rPr>
          <w:rFonts w:ascii="Book Antiqua" w:hAnsi="Book Antiqua"/>
          <w:spacing w:val="-3"/>
          <w:lang w:val="es-ES_tradnl"/>
        </w:rPr>
        <w:t xml:space="preserve">, </w:t>
      </w:r>
      <w:r w:rsidRPr="0009040D">
        <w:rPr>
          <w:rFonts w:ascii="Book Antiqua" w:hAnsi="Book Antiqua"/>
          <w:spacing w:val="-3"/>
          <w:lang w:val="es-ES_tradnl"/>
        </w:rPr>
        <w:t>para cumplir con la política pública establecida de unificar y centralizar en la Oficina de Gerencia de Permisos el proceso de concesión o denegación de los permisos que otorga el Gobierno de Puerto Rico.</w:t>
      </w:r>
    </w:p>
    <w:p w14:paraId="47C432FD" w14:textId="77777777" w:rsidR="00DC3AE6" w:rsidRPr="002B2E11" w:rsidRDefault="00DC3AE6" w:rsidP="003D0ABF">
      <w:pPr>
        <w:spacing w:before="120" w:after="120" w:line="360" w:lineRule="auto"/>
        <w:jc w:val="center"/>
        <w:rPr>
          <w:rFonts w:ascii="Book Antiqua" w:hAnsi="Book Antiqua"/>
          <w:b/>
          <w:bCs/>
          <w:lang w:val="es-ES_tradnl"/>
        </w:rPr>
      </w:pPr>
      <w:r w:rsidRPr="002B2E11">
        <w:rPr>
          <w:rFonts w:ascii="Book Antiqua" w:hAnsi="Book Antiqua"/>
          <w:b/>
          <w:bCs/>
          <w:lang w:val="es-ES_tradnl"/>
        </w:rPr>
        <w:t>ANÁLISIS DE LA MEDIDA</w:t>
      </w:r>
    </w:p>
    <w:p w14:paraId="08C35674" w14:textId="77777777" w:rsidR="000D343E" w:rsidRP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 xml:space="preserve">En principio, el P del S 81, propone enmendar la Ley Núm. 161-2009, según enmendada, conocida como  “Ley para la Reforma del Proceso de Permisos de Puerto Rico”, para establecer que si las agencias que emiten comentarios no lo hacen en un tiempo determinado, “se entenderá que no tiene recomendaciones ni objeciones al proyecto propuesto” y que cuando dichas agencias emitan recomendaciones, éstas “no serán vinculantes, y que la determinación de conceder o denegar un permiso se basará en la totalidad del expediente administrativo”. La medida también propone enmendar la Ley Núm. 23 de 20 de junio de 1972, según enmendada, conocida como “Ley Orgánica del Departamento de Recursos Naturales y Ambientales” para impartir agilidad en los procesos de permisos. </w:t>
      </w:r>
    </w:p>
    <w:p w14:paraId="0194660D" w14:textId="710D7A06" w:rsidR="000D343E" w:rsidRP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 xml:space="preserve">La enmienda principal recae sobre el Art. 8.4 de la Ley Núm. 161, supra.1 Dicho artículo obra sobre la evaluación de las solicitudes de recomendaciones y consultas para permisos. El estatuto actual dispone que la expedición de las recomendaciones, “no será mayor de quince (15) días naturales para proyectos ministeriales, ni de treinta (30) días naturales para proyectos discrecionales”, y en “proyectos a ser ubicados en áreas ecológicamente sensitivas”, el tiempo para comentar “será de cuarenta y cinco (45) días naturales, permitiéndose una extensión a dicho término de quince (15) días naturales adicionales”.  Actualmente si un municipio no emite sus recomendaciones dentro de los términos aquí establecidos, se entenderá que no tiene recomendaciones ni objeciones al proyecto propuesto. El P del S 81 agrega a las entidades gubernamentales. </w:t>
      </w:r>
    </w:p>
    <w:p w14:paraId="351BA06B" w14:textId="77777777" w:rsidR="000D343E" w:rsidRP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lastRenderedPageBreak/>
        <w:t xml:space="preserve">El P del S 81 dispone que las recomendaciones de las agencias a las que se les solicita comentarios no serán vinculantes. En la actualidad esto es así. Basta con observar la definición del término “recomendación” que aparece en el Art. 1.5 de la Ley Núm. 161, supra,2 que a continuación citamos: </w:t>
      </w:r>
    </w:p>
    <w:p w14:paraId="3E3DF473" w14:textId="77777777" w:rsid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 xml:space="preserve">72) “Recomendación” — Comunicación escrita no vinculante de una Entidad Gubernamental Concernida, Municipio, Gerente de Permisos, </w:t>
      </w:r>
      <w:proofErr w:type="gramStart"/>
      <w:r w:rsidRPr="000D343E">
        <w:rPr>
          <w:rFonts w:ascii="Book Antiqua" w:hAnsi="Book Antiqua"/>
          <w:lang w:val="es-ES_tradnl"/>
        </w:rPr>
        <w:t>Director</w:t>
      </w:r>
      <w:proofErr w:type="gramEnd"/>
      <w:r w:rsidRPr="000D343E">
        <w:rPr>
          <w:rFonts w:ascii="Book Antiqua" w:hAnsi="Book Antiqua"/>
          <w:lang w:val="es-ES_tradnl"/>
        </w:rPr>
        <w:t xml:space="preserve"> de División de Evaluación de Cumplimiento Ambiental y Oficial de Permisos, según aplique, sobre una acción propuesta indicando exclusivamente la conformidad o no de dicha acción con las leyes y reglamentos aplicables bajo su jurisdicción y que no constituirá una autorización para la construcción de la obra.” </w:t>
      </w:r>
    </w:p>
    <w:p w14:paraId="7FE5FC57" w14:textId="1FACAB8D" w:rsidR="000D343E" w:rsidRP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 xml:space="preserve">Este concepto de que las recomendaciones hechas por las entidades gubernamentales concernidas no sean vinculantes, significa que la </w:t>
      </w:r>
      <w:proofErr w:type="spellStart"/>
      <w:r w:rsidRPr="000D343E">
        <w:rPr>
          <w:rFonts w:ascii="Book Antiqua" w:hAnsi="Book Antiqua"/>
          <w:lang w:val="es-ES_tradnl"/>
        </w:rPr>
        <w:t>OGPe</w:t>
      </w:r>
      <w:proofErr w:type="spellEnd"/>
      <w:r w:rsidRPr="000D343E">
        <w:rPr>
          <w:rFonts w:ascii="Book Antiqua" w:hAnsi="Book Antiqua"/>
          <w:lang w:val="es-ES_tradnl"/>
        </w:rPr>
        <w:t xml:space="preserve"> no está obligada a asumir la postura de ese tipo de agencia; se debe interpretar como que no constituye una condición sine qua non, o indispensable, para la concesión del permiso solicitado por el proponente. Por lo tanto, sobre este particular, la enmienda propuesta no tiene mayor efecto legal, pues ya está estipulado que los comentarios o recomendaciones de las entidades gubernamentales concernidas, no son vinculantes.  </w:t>
      </w:r>
    </w:p>
    <w:p w14:paraId="1169C016" w14:textId="39F11709" w:rsidR="000D343E" w:rsidRP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Esa misma sección, dispone que “la determinación de conceder o denegar un permiso será de conformidad con la totalidad del expediente administrativo”. Este es un principio reconocido en materia de derecho administrativo. Así se desprende de la Ley 38-2017, según enmendada, mejor conocida como “Ley de Procedimiento Administrativo Uniforme del Gobierno de Puerto Rico”, donde claramente reconoce el derecho a que, en todo procedimiento adjudicativo formal ante una agencia, se tiene que salvaguardar el derecho a que la decisión sea basada en el expediente.3   Recordemos que en el ejercicio de reglamentación y adjudicación que le es delegado a las agencias de la Rama Ejecutiva es una delegación de funciones cuasi legislativas y judiciales, sus determinaciones están sujetas a revisión judicial,4  y los tribunales, solo tienen el expediente administrativo para realizar dicha intervención. Hasta aquí, las enmiendas propuestas no realizan</w:t>
      </w:r>
      <w:r>
        <w:rPr>
          <w:rFonts w:ascii="Book Antiqua" w:hAnsi="Book Antiqua"/>
          <w:lang w:val="es-ES_tradnl"/>
        </w:rPr>
        <w:t xml:space="preserve"> </w:t>
      </w:r>
      <w:r w:rsidRPr="000D343E">
        <w:rPr>
          <w:rFonts w:ascii="Book Antiqua" w:hAnsi="Book Antiqua"/>
          <w:lang w:val="es-ES_tradnl"/>
        </w:rPr>
        <w:lastRenderedPageBreak/>
        <w:t xml:space="preserve">modificaciones sustanciales al marco de derecho existente; si algo, enfatizan lo ya legislado. </w:t>
      </w:r>
    </w:p>
    <w:p w14:paraId="20FAC205" w14:textId="77777777" w:rsidR="000D343E" w:rsidRP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Acto seguido, la enmienda propuesta autoriza a la Oficina de Gerencia y Permisos (</w:t>
      </w:r>
      <w:proofErr w:type="spellStart"/>
      <w:r w:rsidRPr="000D343E">
        <w:rPr>
          <w:rFonts w:ascii="Book Antiqua" w:hAnsi="Book Antiqua"/>
          <w:lang w:val="es-ES_tradnl"/>
        </w:rPr>
        <w:t>OGPe</w:t>
      </w:r>
      <w:proofErr w:type="spellEnd"/>
      <w:r w:rsidRPr="000D343E">
        <w:rPr>
          <w:rFonts w:ascii="Book Antiqua" w:hAnsi="Book Antiqua"/>
          <w:lang w:val="es-ES_tradnl"/>
        </w:rPr>
        <w:t xml:space="preserve">), a conceder un término adicional de treinta (30) días a los municipios y entidades gubernamentales concernidas, siempre y cuando así sea solicitado. Esta discreción, fue solicitada por el Departamento de Desarrollo Económico y Comercio (DDEC) donde sita la </w:t>
      </w:r>
      <w:proofErr w:type="spellStart"/>
      <w:r w:rsidRPr="000D343E">
        <w:rPr>
          <w:rFonts w:ascii="Book Antiqua" w:hAnsi="Book Antiqua"/>
          <w:lang w:val="es-ES_tradnl"/>
        </w:rPr>
        <w:t>OGPe</w:t>
      </w:r>
      <w:proofErr w:type="spellEnd"/>
      <w:r w:rsidRPr="000D343E">
        <w:rPr>
          <w:rFonts w:ascii="Book Antiqua" w:hAnsi="Book Antiqua"/>
          <w:lang w:val="es-ES_tradnl"/>
        </w:rPr>
        <w:t xml:space="preserve">. El </w:t>
      </w:r>
      <w:proofErr w:type="spellStart"/>
      <w:r w:rsidRPr="000D343E">
        <w:rPr>
          <w:rFonts w:ascii="Book Antiqua" w:hAnsi="Book Antiqua"/>
          <w:lang w:val="es-ES_tradnl"/>
        </w:rPr>
        <w:t>entirillado</w:t>
      </w:r>
      <w:proofErr w:type="spellEnd"/>
      <w:r w:rsidRPr="000D343E">
        <w:rPr>
          <w:rFonts w:ascii="Book Antiqua" w:hAnsi="Book Antiqua"/>
          <w:lang w:val="es-ES_tradnl"/>
        </w:rPr>
        <w:t xml:space="preserve"> del Senado recoge dicha recomendación por lo que no se requiere acción adicional en la Cámara de Representantes, aunque siempre es recomendable solicitar comentarios de la agencia para documentar su conformidad. </w:t>
      </w:r>
    </w:p>
    <w:p w14:paraId="4EF1EBDE" w14:textId="77777777" w:rsidR="000D343E" w:rsidRP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 xml:space="preserve">El Centro Unido de Detallistas (CUD) está de acuerdo que las agencias o entidades gubernamentales concernidas tengan un término certero para emitir “sus posturas”, contadas desde el recibo del requerimiento de la </w:t>
      </w:r>
      <w:proofErr w:type="spellStart"/>
      <w:r w:rsidRPr="000D343E">
        <w:rPr>
          <w:rFonts w:ascii="Book Antiqua" w:hAnsi="Book Antiqua"/>
          <w:lang w:val="es-ES_tradnl"/>
        </w:rPr>
        <w:t>OGPe</w:t>
      </w:r>
      <w:proofErr w:type="spellEnd"/>
      <w:r w:rsidRPr="000D343E">
        <w:rPr>
          <w:rFonts w:ascii="Book Antiqua" w:hAnsi="Book Antiqua"/>
          <w:lang w:val="es-ES_tradnl"/>
        </w:rPr>
        <w:t xml:space="preserve">. Ellos consideran que el endoso de dichas entidades debe ser vinculante, por lo que no endosan la medida. Su postura se basa en que las entidades gubernamentales concernidas tienen facultad para “cancelar” un permiso, basado en sus leyes orgánicas, lo que puede resultar en acciones </w:t>
      </w:r>
      <w:proofErr w:type="spellStart"/>
      <w:r w:rsidRPr="000D343E">
        <w:rPr>
          <w:rFonts w:ascii="Book Antiqua" w:hAnsi="Book Antiqua"/>
          <w:lang w:val="es-ES_tradnl"/>
        </w:rPr>
        <w:t>detrimentales</w:t>
      </w:r>
      <w:proofErr w:type="spellEnd"/>
      <w:r w:rsidRPr="000D343E">
        <w:rPr>
          <w:rFonts w:ascii="Book Antiqua" w:hAnsi="Book Antiqua"/>
          <w:lang w:val="es-ES_tradnl"/>
        </w:rPr>
        <w:t xml:space="preserve"> para su matrícula. Su ponencia no considera que la medida actual ya dispone que las recomendaciones hechas por tales agencias no son vinculantes. Tampoco considera que el campo de dichas agencias para operar no es en la concesión de permisos, sino en materia de cumplimiento. Por ejemplo, si el Departamento de Salud recomienda de manera vinculante la aprobación de un permiso para un lugar de comidas, y el dueño del establecimiento incumple con las prácticas de salubridad, dicha agencia tiene el poder de intervenir, e incluso cerrar las operaciones, independientemente de lo que haya recomendado al momento de la concesión del permiso. La Junta de Planificación da deferencia a la </w:t>
      </w:r>
      <w:proofErr w:type="spellStart"/>
      <w:r w:rsidRPr="000D343E">
        <w:rPr>
          <w:rFonts w:ascii="Book Antiqua" w:hAnsi="Book Antiqua"/>
          <w:lang w:val="es-ES_tradnl"/>
        </w:rPr>
        <w:t>OGPe</w:t>
      </w:r>
      <w:proofErr w:type="spellEnd"/>
      <w:r w:rsidRPr="000D343E">
        <w:rPr>
          <w:rFonts w:ascii="Book Antiqua" w:hAnsi="Book Antiqua"/>
          <w:lang w:val="es-ES_tradnl"/>
        </w:rPr>
        <w:t xml:space="preserve">. </w:t>
      </w:r>
    </w:p>
    <w:p w14:paraId="14E7D072" w14:textId="381DB286" w:rsidR="000D343E" w:rsidRDefault="000D343E" w:rsidP="000D343E">
      <w:pPr>
        <w:spacing w:before="120" w:after="120" w:line="360" w:lineRule="auto"/>
        <w:ind w:firstLine="720"/>
        <w:jc w:val="both"/>
        <w:rPr>
          <w:rFonts w:ascii="Book Antiqua" w:hAnsi="Book Antiqua"/>
          <w:lang w:val="es-ES_tradnl"/>
        </w:rPr>
      </w:pPr>
      <w:r w:rsidRPr="000D343E">
        <w:rPr>
          <w:rFonts w:ascii="Book Antiqua" w:hAnsi="Book Antiqua"/>
          <w:lang w:val="es-ES_tradnl"/>
        </w:rPr>
        <w:t xml:space="preserve">Otra enmienda que el P del S 81 propone, es al Art. 19.12,5 sobre conflictos con otras normas y su interpretación. Dicha enmienda aclara que la Ley Núm. 161, supra, tendrá primacía sobre otras normas. No sabemos qué situación ha propulsado esta aclaración, ya se ha establecido el principio </w:t>
      </w:r>
      <w:proofErr w:type="spellStart"/>
      <w:r w:rsidRPr="000D343E">
        <w:rPr>
          <w:rFonts w:ascii="Book Antiqua" w:hAnsi="Book Antiqua"/>
          <w:lang w:val="es-ES_tradnl"/>
        </w:rPr>
        <w:t>pari</w:t>
      </w:r>
      <w:proofErr w:type="spellEnd"/>
      <w:r w:rsidRPr="000D343E">
        <w:rPr>
          <w:rFonts w:ascii="Book Antiqua" w:hAnsi="Book Antiqua"/>
          <w:lang w:val="es-ES_tradnl"/>
        </w:rPr>
        <w:t xml:space="preserve"> materia, sobre las leyes que se refieran a </w:t>
      </w:r>
      <w:r w:rsidRPr="000D343E">
        <w:rPr>
          <w:rFonts w:ascii="Book Antiqua" w:hAnsi="Book Antiqua"/>
          <w:lang w:val="es-ES_tradnl"/>
        </w:rPr>
        <w:lastRenderedPageBreak/>
        <w:t xml:space="preserve">la misma materia o cuyo objetivo sea el mismo, deben ser interpretadas refiriéndose las unas a las otras, para cuando lo que es claro en uno de sus preceptos pueda ser tomado para explicar lo que resulte dudoso en otro.6 Existe además un principio general de hermenéutica que establece que una ley de carácter especial sobre una materia prevalece sobre otra de carácter general.7 En este caso, la Ley Núm. 161, supra, es una ley especial sobre la concesión de permisos. La Asociación de </w:t>
      </w:r>
      <w:proofErr w:type="gramStart"/>
      <w:r w:rsidRPr="000D343E">
        <w:rPr>
          <w:rFonts w:ascii="Book Antiqua" w:hAnsi="Book Antiqua"/>
          <w:lang w:val="es-ES_tradnl"/>
        </w:rPr>
        <w:t>Alcaldes</w:t>
      </w:r>
      <w:proofErr w:type="gramEnd"/>
      <w:r w:rsidRPr="000D343E">
        <w:rPr>
          <w:rFonts w:ascii="Book Antiqua" w:hAnsi="Book Antiqua"/>
          <w:lang w:val="es-ES_tradnl"/>
        </w:rPr>
        <w:t xml:space="preserve"> entiende que esta enmienda “atenta contra la autonomía municipal” que concede el Código Municipal de 2020, ya que puede restringir los poderes de conceder permisos por parte de los municipios.  </w:t>
      </w:r>
    </w:p>
    <w:p w14:paraId="04922684" w14:textId="734BB230" w:rsidR="00D36CAB" w:rsidRDefault="00DC3AE6" w:rsidP="00D36CAB">
      <w:pPr>
        <w:spacing w:before="120" w:after="120" w:line="360" w:lineRule="auto"/>
        <w:ind w:firstLine="720"/>
        <w:jc w:val="both"/>
        <w:rPr>
          <w:rFonts w:ascii="Book Antiqua" w:hAnsi="Book Antiqua"/>
          <w:lang w:val="es-ES_tradnl"/>
        </w:rPr>
      </w:pPr>
      <w:r>
        <w:rPr>
          <w:rFonts w:ascii="Book Antiqua" w:hAnsi="Book Antiqua"/>
          <w:lang w:val="es-ES_tradnl"/>
        </w:rPr>
        <w:t xml:space="preserve">Se solicitaron memoriales explicativos </w:t>
      </w:r>
      <w:r w:rsidR="00D5588E">
        <w:rPr>
          <w:rFonts w:ascii="Book Antiqua" w:hAnsi="Book Antiqua"/>
          <w:lang w:val="es-ES_tradnl"/>
        </w:rPr>
        <w:t>a</w:t>
      </w:r>
      <w:r w:rsidR="000D343E">
        <w:rPr>
          <w:rFonts w:ascii="Book Antiqua" w:hAnsi="Book Antiqua"/>
          <w:lang w:val="es-ES_tradnl"/>
        </w:rPr>
        <w:t xml:space="preserve">l </w:t>
      </w:r>
      <w:r w:rsidR="000D343E" w:rsidRPr="000D343E">
        <w:rPr>
          <w:rFonts w:ascii="Book Antiqua" w:hAnsi="Book Antiqua"/>
          <w:lang w:val="es-ES_tradnl"/>
        </w:rPr>
        <w:t>Departamento de Desarrollo Económico</w:t>
      </w:r>
      <w:r w:rsidR="000D343E">
        <w:rPr>
          <w:rFonts w:ascii="Book Antiqua" w:hAnsi="Book Antiqua"/>
          <w:lang w:val="es-ES_tradnl"/>
        </w:rPr>
        <w:t>,</w:t>
      </w:r>
      <w:r w:rsidR="00D5588E">
        <w:rPr>
          <w:rFonts w:ascii="Book Antiqua" w:hAnsi="Book Antiqua"/>
          <w:lang w:val="es-ES_tradnl"/>
        </w:rPr>
        <w:t xml:space="preserve"> la Oficina de Gerencia de Permisos</w:t>
      </w:r>
      <w:r w:rsidR="0032324E">
        <w:rPr>
          <w:rFonts w:ascii="Book Antiqua" w:hAnsi="Book Antiqua"/>
          <w:lang w:val="es-ES_tradnl"/>
        </w:rPr>
        <w:t>,</w:t>
      </w:r>
      <w:r w:rsidR="000D343E">
        <w:rPr>
          <w:rFonts w:ascii="Book Antiqua" w:hAnsi="Book Antiqua"/>
          <w:lang w:val="es-ES_tradnl"/>
        </w:rPr>
        <w:t xml:space="preserve"> </w:t>
      </w:r>
      <w:r w:rsidR="00D5588E">
        <w:rPr>
          <w:rFonts w:ascii="Book Antiqua" w:hAnsi="Book Antiqua"/>
          <w:lang w:val="es-ES_tradnl"/>
        </w:rPr>
        <w:t>al Departamento de Recursos Naturales y Ambientales</w:t>
      </w:r>
      <w:r w:rsidR="0032324E">
        <w:rPr>
          <w:rFonts w:ascii="Book Antiqua" w:hAnsi="Book Antiqua"/>
          <w:lang w:val="es-ES_tradnl"/>
        </w:rPr>
        <w:t xml:space="preserve">, a la Oficina Estatal de Conservación Histórica, a la Asociación de Constructores de Puerto Rico, al Colegio de Ingenieros y Agrimensores de Puerto Rico, al Colegio de </w:t>
      </w:r>
      <w:proofErr w:type="gramStart"/>
      <w:r w:rsidR="0032324E">
        <w:rPr>
          <w:rFonts w:ascii="Book Antiqua" w:hAnsi="Book Antiqua"/>
          <w:lang w:val="es-ES_tradnl"/>
        </w:rPr>
        <w:t>Arquitectos y Arquitectos</w:t>
      </w:r>
      <w:proofErr w:type="gramEnd"/>
      <w:r w:rsidR="0032324E">
        <w:rPr>
          <w:rFonts w:ascii="Book Antiqua" w:hAnsi="Book Antiqua"/>
          <w:lang w:val="es-ES_tradnl"/>
        </w:rPr>
        <w:t xml:space="preserve"> Paisajistas de Puerto Rico, y a la Cámara de Comercio de Puerto Rico. A la fecha de la redacción del presente informe, todas las entidades entregaron un memorial explicativo con excepción de la Cámara de Comercio de Puerto Rico. </w:t>
      </w:r>
    </w:p>
    <w:p w14:paraId="3ED2B00D" w14:textId="39FFBF2B" w:rsidR="005D2AA5" w:rsidRPr="000D343E" w:rsidRDefault="00517D98" w:rsidP="000D343E">
      <w:pPr>
        <w:spacing w:before="120" w:after="120" w:line="360" w:lineRule="auto"/>
        <w:ind w:firstLine="360"/>
        <w:jc w:val="both"/>
        <w:rPr>
          <w:rFonts w:ascii="Book Antiqua" w:hAnsi="Book Antiqua"/>
          <w:lang w:val="es-ES_tradnl"/>
        </w:rPr>
      </w:pPr>
      <w:r>
        <w:rPr>
          <w:rFonts w:ascii="Book Antiqua" w:hAnsi="Book Antiqua"/>
          <w:lang w:val="es-ES_tradnl"/>
        </w:rPr>
        <w:t>Adicional a esto, e</w:t>
      </w:r>
      <w:r w:rsidR="0032324E">
        <w:rPr>
          <w:rFonts w:ascii="Book Antiqua" w:hAnsi="Book Antiqua"/>
          <w:lang w:val="es-ES_tradnl"/>
        </w:rPr>
        <w:t xml:space="preserve">l día </w:t>
      </w:r>
      <w:r w:rsidR="001049FF">
        <w:rPr>
          <w:rFonts w:ascii="Book Antiqua" w:hAnsi="Book Antiqua"/>
          <w:lang w:val="es-ES_tradnl"/>
        </w:rPr>
        <w:t>13</w:t>
      </w:r>
      <w:r w:rsidR="0032324E">
        <w:rPr>
          <w:rFonts w:ascii="Book Antiqua" w:hAnsi="Book Antiqua"/>
          <w:lang w:val="es-ES_tradnl"/>
        </w:rPr>
        <w:t xml:space="preserve"> de </w:t>
      </w:r>
      <w:r w:rsidR="001049FF">
        <w:rPr>
          <w:rFonts w:ascii="Book Antiqua" w:hAnsi="Book Antiqua"/>
          <w:lang w:val="es-ES_tradnl"/>
        </w:rPr>
        <w:t>junio</w:t>
      </w:r>
      <w:r w:rsidR="0032324E">
        <w:rPr>
          <w:rFonts w:ascii="Book Antiqua" w:hAnsi="Book Antiqua"/>
          <w:lang w:val="es-ES_tradnl"/>
        </w:rPr>
        <w:t xml:space="preserve"> de 2025, se celebró una Vista Pública</w:t>
      </w:r>
      <w:r>
        <w:rPr>
          <w:rFonts w:ascii="Book Antiqua" w:hAnsi="Book Antiqua"/>
          <w:lang w:val="es-ES_tradnl"/>
        </w:rPr>
        <w:t xml:space="preserve">, en la que comparecieron </w:t>
      </w:r>
      <w:r w:rsidR="001049FF">
        <w:rPr>
          <w:rFonts w:ascii="Book Antiqua" w:hAnsi="Book Antiqua"/>
          <w:lang w:val="es-ES_tradnl"/>
        </w:rPr>
        <w:t xml:space="preserve">algunos de </w:t>
      </w:r>
      <w:r>
        <w:rPr>
          <w:rFonts w:ascii="Book Antiqua" w:hAnsi="Book Antiqua"/>
          <w:lang w:val="es-ES_tradnl"/>
        </w:rPr>
        <w:t>los mencionados</w:t>
      </w:r>
      <w:r w:rsidR="001049FF">
        <w:rPr>
          <w:rFonts w:ascii="Book Antiqua" w:hAnsi="Book Antiqua"/>
          <w:lang w:val="es-ES_tradnl"/>
        </w:rPr>
        <w:t xml:space="preserve"> </w:t>
      </w:r>
      <w:r w:rsidR="001049FF" w:rsidRPr="001049FF">
        <w:rPr>
          <w:rFonts w:ascii="Book Antiqua" w:hAnsi="Book Antiqua"/>
          <w:lang w:val="es-ES_tradnl"/>
        </w:rPr>
        <w:t>anteriormente</w:t>
      </w:r>
      <w:r>
        <w:rPr>
          <w:rFonts w:ascii="Book Antiqua" w:hAnsi="Book Antiqua"/>
          <w:lang w:val="es-ES_tradnl"/>
        </w:rPr>
        <w:t>.</w:t>
      </w:r>
      <w:r w:rsidR="00D5588E">
        <w:rPr>
          <w:rFonts w:ascii="Book Antiqua" w:hAnsi="Book Antiqua"/>
          <w:lang w:val="es-ES_tradnl"/>
        </w:rPr>
        <w:t xml:space="preserve"> </w:t>
      </w:r>
    </w:p>
    <w:p w14:paraId="0822522A" w14:textId="04C619A6" w:rsidR="00DC3AE6" w:rsidRPr="003E6C47" w:rsidRDefault="00523536" w:rsidP="00DC3AE6">
      <w:pPr>
        <w:spacing w:before="120" w:after="120" w:line="360" w:lineRule="auto"/>
        <w:ind w:firstLine="360"/>
        <w:jc w:val="center"/>
        <w:rPr>
          <w:rFonts w:ascii="Book Antiqua" w:hAnsi="Book Antiqua"/>
          <w:i/>
          <w:iCs/>
          <w:color w:val="000000" w:themeColor="text1"/>
          <w:lang w:val="es-ES_tradnl"/>
        </w:rPr>
      </w:pPr>
      <w:r w:rsidRPr="003E6C47">
        <w:rPr>
          <w:rFonts w:ascii="Book Antiqua" w:hAnsi="Book Antiqua"/>
          <w:i/>
          <w:iCs/>
          <w:color w:val="000000" w:themeColor="text1"/>
          <w:lang w:val="es-ES_tradnl"/>
        </w:rPr>
        <w:t>O</w:t>
      </w:r>
      <w:r w:rsidR="007D7019" w:rsidRPr="003E6C47">
        <w:rPr>
          <w:rFonts w:ascii="Book Antiqua" w:hAnsi="Book Antiqua"/>
          <w:i/>
          <w:iCs/>
          <w:color w:val="000000" w:themeColor="text1"/>
          <w:lang w:val="es-ES_tradnl"/>
        </w:rPr>
        <w:t xml:space="preserve">ficina de </w:t>
      </w:r>
      <w:r w:rsidRPr="003E6C47">
        <w:rPr>
          <w:rFonts w:ascii="Book Antiqua" w:hAnsi="Book Antiqua"/>
          <w:i/>
          <w:iCs/>
          <w:color w:val="000000" w:themeColor="text1"/>
          <w:lang w:val="es-ES_tradnl"/>
        </w:rPr>
        <w:t>G</w:t>
      </w:r>
      <w:r w:rsidR="007D7019" w:rsidRPr="003E6C47">
        <w:rPr>
          <w:rFonts w:ascii="Book Antiqua" w:hAnsi="Book Antiqua"/>
          <w:i/>
          <w:iCs/>
          <w:color w:val="000000" w:themeColor="text1"/>
          <w:lang w:val="es-ES_tradnl"/>
        </w:rPr>
        <w:t>erencia</w:t>
      </w:r>
      <w:r w:rsidRPr="003E6C47">
        <w:rPr>
          <w:rFonts w:ascii="Book Antiqua" w:hAnsi="Book Antiqua"/>
          <w:i/>
          <w:iCs/>
          <w:color w:val="000000" w:themeColor="text1"/>
          <w:lang w:val="es-ES_tradnl"/>
        </w:rPr>
        <w:t xml:space="preserve"> </w:t>
      </w:r>
      <w:r w:rsidR="007D7019" w:rsidRPr="003E6C47">
        <w:rPr>
          <w:rFonts w:ascii="Book Antiqua" w:hAnsi="Book Antiqua"/>
          <w:i/>
          <w:iCs/>
          <w:color w:val="000000" w:themeColor="text1"/>
          <w:lang w:val="es-ES_tradnl"/>
        </w:rPr>
        <w:t>de</w:t>
      </w:r>
      <w:r w:rsidRPr="003E6C47">
        <w:rPr>
          <w:rFonts w:ascii="Book Antiqua" w:hAnsi="Book Antiqua"/>
          <w:i/>
          <w:iCs/>
          <w:color w:val="000000" w:themeColor="text1"/>
          <w:lang w:val="es-ES_tradnl"/>
        </w:rPr>
        <w:t xml:space="preserve"> P</w:t>
      </w:r>
      <w:r w:rsidR="007D7019" w:rsidRPr="003E6C47">
        <w:rPr>
          <w:rFonts w:ascii="Book Antiqua" w:hAnsi="Book Antiqua"/>
          <w:i/>
          <w:iCs/>
          <w:color w:val="000000" w:themeColor="text1"/>
          <w:lang w:val="es-ES_tradnl"/>
        </w:rPr>
        <w:t>ermisos</w:t>
      </w:r>
      <w:r w:rsidRPr="003E6C47">
        <w:rPr>
          <w:rFonts w:ascii="Book Antiqua" w:hAnsi="Book Antiqua"/>
          <w:i/>
          <w:iCs/>
          <w:color w:val="000000" w:themeColor="text1"/>
          <w:lang w:val="es-ES_tradnl"/>
        </w:rPr>
        <w:t xml:space="preserve"> </w:t>
      </w:r>
    </w:p>
    <w:p w14:paraId="5B3D540B" w14:textId="490E7A86" w:rsidR="006319A9" w:rsidRPr="007D7019" w:rsidRDefault="000010D4" w:rsidP="007D7019">
      <w:pPr>
        <w:spacing w:before="120" w:after="120" w:line="360" w:lineRule="auto"/>
        <w:ind w:firstLine="360"/>
        <w:jc w:val="both"/>
        <w:rPr>
          <w:rFonts w:ascii="Book Antiqua" w:hAnsi="Book Antiqua"/>
          <w:color w:val="000000" w:themeColor="text1"/>
          <w:lang w:val="es-ES_tradnl"/>
        </w:rPr>
      </w:pPr>
      <w:r w:rsidRPr="003E6C47">
        <w:rPr>
          <w:rFonts w:ascii="Book Antiqua" w:hAnsi="Book Antiqua"/>
          <w:color w:val="000000" w:themeColor="text1"/>
          <w:lang w:val="es-ES_tradnl"/>
        </w:rPr>
        <w:t>El</w:t>
      </w:r>
      <w:r w:rsidR="00DD52BE" w:rsidRPr="003E6C47">
        <w:rPr>
          <w:rFonts w:ascii="Book Antiqua" w:hAnsi="Book Antiqua"/>
          <w:color w:val="000000" w:themeColor="text1"/>
          <w:lang w:val="es-ES_tradnl"/>
        </w:rPr>
        <w:t xml:space="preserve"> </w:t>
      </w:r>
      <w:r w:rsidRPr="003E6C47">
        <w:rPr>
          <w:rFonts w:ascii="Book Antiqua" w:hAnsi="Book Antiqua"/>
          <w:color w:val="000000" w:themeColor="text1"/>
          <w:lang w:val="es-ES_tradnl"/>
        </w:rPr>
        <w:t>Departamento de Desarrollo Económico y Comercio</w:t>
      </w:r>
      <w:r w:rsidR="00B0660A">
        <w:rPr>
          <w:rFonts w:ascii="Book Antiqua" w:hAnsi="Book Antiqua"/>
          <w:color w:val="000000" w:themeColor="text1"/>
          <w:lang w:val="es-ES_tradnl"/>
        </w:rPr>
        <w:t xml:space="preserve"> (DDEC)</w:t>
      </w:r>
      <w:r w:rsidRPr="003E6C47">
        <w:rPr>
          <w:rFonts w:ascii="Book Antiqua" w:hAnsi="Book Antiqua"/>
          <w:color w:val="000000" w:themeColor="text1"/>
          <w:lang w:val="es-ES_tradnl"/>
        </w:rPr>
        <w:t xml:space="preserve">, </w:t>
      </w:r>
      <w:r w:rsidR="00CA523F">
        <w:rPr>
          <w:rFonts w:ascii="Book Antiqua" w:hAnsi="Book Antiqua"/>
          <w:color w:val="000000" w:themeColor="text1"/>
          <w:lang w:val="es-ES_tradnl"/>
        </w:rPr>
        <w:t xml:space="preserve">representado por la </w:t>
      </w:r>
      <w:r w:rsidRPr="00CA523F">
        <w:rPr>
          <w:rFonts w:ascii="Book Antiqua" w:hAnsi="Book Antiqua"/>
          <w:color w:val="000000" w:themeColor="text1"/>
          <w:lang w:val="es-ES_tradnl"/>
        </w:rPr>
        <w:t>Lcd</w:t>
      </w:r>
      <w:r w:rsidR="00CA523F" w:rsidRPr="00CA523F">
        <w:rPr>
          <w:rFonts w:ascii="Book Antiqua" w:hAnsi="Book Antiqua"/>
          <w:color w:val="000000" w:themeColor="text1"/>
          <w:lang w:val="es-ES_tradnl"/>
        </w:rPr>
        <w:t xml:space="preserve">a. </w:t>
      </w:r>
      <w:proofErr w:type="spellStart"/>
      <w:r w:rsidR="00CA523F" w:rsidRPr="00CA523F">
        <w:rPr>
          <w:rFonts w:ascii="Book Antiqua" w:hAnsi="Book Antiqua"/>
          <w:color w:val="000000" w:themeColor="text1"/>
          <w:lang w:val="es-ES_tradnl"/>
        </w:rPr>
        <w:t>Vianca</w:t>
      </w:r>
      <w:proofErr w:type="spellEnd"/>
      <w:r w:rsidR="00CA523F" w:rsidRPr="00CA523F">
        <w:rPr>
          <w:rFonts w:ascii="Book Antiqua" w:hAnsi="Book Antiqua"/>
          <w:color w:val="000000" w:themeColor="text1"/>
          <w:lang w:val="es-ES_tradnl"/>
        </w:rPr>
        <w:t xml:space="preserve"> Rivera Román</w:t>
      </w:r>
      <w:r w:rsidRPr="003E6C47">
        <w:rPr>
          <w:rFonts w:ascii="Book Antiqua" w:hAnsi="Book Antiqua"/>
          <w:color w:val="000000" w:themeColor="text1"/>
          <w:lang w:val="es-ES_tradnl"/>
        </w:rPr>
        <w:t xml:space="preserve"> junto al </w:t>
      </w:r>
      <w:r w:rsidR="00CA523F">
        <w:rPr>
          <w:rFonts w:ascii="Book Antiqua" w:hAnsi="Book Antiqua"/>
          <w:color w:val="000000" w:themeColor="text1"/>
          <w:lang w:val="es-ES_tradnl"/>
        </w:rPr>
        <w:t xml:space="preserve">Lcdo. Ismael Pagán, </w:t>
      </w:r>
      <w:r w:rsidR="00B0660A">
        <w:rPr>
          <w:rFonts w:ascii="Book Antiqua" w:hAnsi="Book Antiqua"/>
          <w:color w:val="000000" w:themeColor="text1"/>
          <w:lang w:val="es-ES_tradnl"/>
        </w:rPr>
        <w:t>de la Oficina de Gerencia de Permisos</w:t>
      </w:r>
      <w:r w:rsidRPr="003E6C47">
        <w:rPr>
          <w:rFonts w:ascii="Book Antiqua" w:hAnsi="Book Antiqua"/>
          <w:color w:val="000000" w:themeColor="text1"/>
          <w:lang w:val="es-ES_tradnl"/>
        </w:rPr>
        <w:t xml:space="preserve">, presentaron un memorial explicativo en donde </w:t>
      </w:r>
      <w:r w:rsidR="00DD52BE" w:rsidRPr="003E6C47">
        <w:rPr>
          <w:rFonts w:ascii="Book Antiqua" w:hAnsi="Book Antiqua"/>
          <w:color w:val="000000" w:themeColor="text1"/>
          <w:lang w:val="es-ES_tradnl"/>
        </w:rPr>
        <w:t>aval</w:t>
      </w:r>
      <w:r w:rsidRPr="003E6C47">
        <w:rPr>
          <w:rFonts w:ascii="Book Antiqua" w:hAnsi="Book Antiqua"/>
          <w:color w:val="000000" w:themeColor="text1"/>
          <w:lang w:val="es-ES_tradnl"/>
        </w:rPr>
        <w:t>an</w:t>
      </w:r>
      <w:r w:rsidR="00DD52BE" w:rsidRPr="003E6C47">
        <w:rPr>
          <w:rFonts w:ascii="Book Antiqua" w:hAnsi="Book Antiqua"/>
          <w:color w:val="000000" w:themeColor="text1"/>
          <w:lang w:val="es-ES_tradnl"/>
        </w:rPr>
        <w:t xml:space="preserve"> la medida y expres</w:t>
      </w:r>
      <w:r w:rsidRPr="003E6C47">
        <w:rPr>
          <w:rFonts w:ascii="Book Antiqua" w:hAnsi="Book Antiqua"/>
          <w:color w:val="000000" w:themeColor="text1"/>
          <w:lang w:val="es-ES_tradnl"/>
        </w:rPr>
        <w:t>an</w:t>
      </w:r>
      <w:r w:rsidR="00DD52BE" w:rsidRPr="003E6C47">
        <w:rPr>
          <w:rFonts w:ascii="Book Antiqua" w:hAnsi="Book Antiqua"/>
          <w:color w:val="000000" w:themeColor="text1"/>
          <w:lang w:val="es-ES_tradnl"/>
        </w:rPr>
        <w:t xml:space="preserve"> que, </w:t>
      </w:r>
      <w:r w:rsidRPr="003E6C47">
        <w:rPr>
          <w:rFonts w:ascii="Book Antiqua" w:hAnsi="Book Antiqua"/>
          <w:color w:val="000000" w:themeColor="text1"/>
          <w:lang w:val="es-ES_tradnl"/>
        </w:rPr>
        <w:t>el DDEC apoya toda legislación dirigida hacia la desregulación, simplificación y modernización de procesos y estructuras administrativas que se han tornado excesiva e innecesariamente complejas u obsoletas. De igual forma, el DDEC entiende qu</w:t>
      </w:r>
      <w:r w:rsidR="0080678E" w:rsidRPr="003E6C47">
        <w:rPr>
          <w:rFonts w:ascii="Book Antiqua" w:hAnsi="Book Antiqua"/>
          <w:color w:val="000000" w:themeColor="text1"/>
          <w:lang w:val="es-ES_tradnl"/>
        </w:rPr>
        <w:t>e</w:t>
      </w:r>
      <w:r w:rsidRPr="003E6C47">
        <w:rPr>
          <w:rFonts w:ascii="Book Antiqua" w:hAnsi="Book Antiqua"/>
          <w:color w:val="000000" w:themeColor="text1"/>
          <w:lang w:val="es-ES_tradnl"/>
        </w:rPr>
        <w:t xml:space="preserve"> las enmiendas propuestas </w:t>
      </w:r>
      <w:r w:rsidR="0080678E" w:rsidRPr="003E6C47">
        <w:rPr>
          <w:rFonts w:ascii="Book Antiqua" w:hAnsi="Book Antiqua"/>
          <w:color w:val="000000" w:themeColor="text1"/>
          <w:lang w:val="es-ES_tradnl"/>
        </w:rPr>
        <w:t>son cónsonas con su postura y la política pública de la Honorable Gobernadora, Jennifer González</w:t>
      </w:r>
      <w:r w:rsidRPr="003E6C47">
        <w:rPr>
          <w:rFonts w:ascii="Book Antiqua" w:hAnsi="Book Antiqua"/>
          <w:color w:val="000000" w:themeColor="text1"/>
          <w:lang w:val="es-ES_tradnl"/>
        </w:rPr>
        <w:t>. En su memorial, hace</w:t>
      </w:r>
      <w:r w:rsidR="00B0660A">
        <w:rPr>
          <w:rFonts w:ascii="Book Antiqua" w:hAnsi="Book Antiqua"/>
          <w:color w:val="000000" w:themeColor="text1"/>
          <w:lang w:val="es-ES_tradnl"/>
        </w:rPr>
        <w:t>n</w:t>
      </w:r>
      <w:r w:rsidRPr="003E6C47">
        <w:rPr>
          <w:rFonts w:ascii="Book Antiqua" w:hAnsi="Book Antiqua"/>
          <w:color w:val="000000" w:themeColor="text1"/>
          <w:lang w:val="es-ES_tradnl"/>
        </w:rPr>
        <w:t xml:space="preserve"> un recuento de diversos esfuerzos desde la Rama Ejecutiva </w:t>
      </w:r>
      <w:r w:rsidR="008C404E" w:rsidRPr="003E6C47">
        <w:rPr>
          <w:rFonts w:ascii="Book Antiqua" w:hAnsi="Book Antiqua"/>
          <w:color w:val="000000" w:themeColor="text1"/>
          <w:lang w:val="es-ES_tradnl"/>
        </w:rPr>
        <w:t xml:space="preserve">en el tema de permisos. Indican, además, que </w:t>
      </w:r>
      <w:r w:rsidR="008C404E" w:rsidRPr="003E6C47">
        <w:rPr>
          <w:rFonts w:ascii="Book Antiqua" w:hAnsi="Book Antiqua"/>
          <w:color w:val="000000" w:themeColor="text1"/>
          <w:szCs w:val="24"/>
          <w:shd w:val="clear" w:color="auto" w:fill="FFFFFF"/>
          <w:lang w:val="es-PR"/>
        </w:rPr>
        <w:t xml:space="preserve">estas </w:t>
      </w:r>
      <w:r w:rsidR="008C404E" w:rsidRPr="003E6C47">
        <w:rPr>
          <w:rFonts w:ascii="Book Antiqua" w:hAnsi="Book Antiqua"/>
          <w:color w:val="000000" w:themeColor="text1"/>
          <w:szCs w:val="24"/>
          <w:shd w:val="clear" w:color="auto" w:fill="FFFFFF"/>
          <w:lang w:val="es-PR"/>
        </w:rPr>
        <w:lastRenderedPageBreak/>
        <w:t xml:space="preserve">reformas al sistema de permisos no son simplemente cambios administrativos; representan una transformación real en la vida de los puertorriqueños que buscan construir su hogar, expandir su negocio o crear nuevas oportunidades de empleo. No </w:t>
      </w:r>
      <w:proofErr w:type="gramStart"/>
      <w:r w:rsidR="0080678E" w:rsidRPr="003E6C47">
        <w:rPr>
          <w:rFonts w:ascii="Book Antiqua" w:hAnsi="Book Antiqua"/>
          <w:color w:val="000000" w:themeColor="text1"/>
          <w:szCs w:val="24"/>
          <w:shd w:val="clear" w:color="auto" w:fill="FFFFFF"/>
          <w:lang w:val="es-PR"/>
        </w:rPr>
        <w:t>obstante</w:t>
      </w:r>
      <w:proofErr w:type="gramEnd"/>
      <w:r w:rsidR="008C404E" w:rsidRPr="003E6C47">
        <w:rPr>
          <w:rFonts w:ascii="Book Antiqua" w:hAnsi="Book Antiqua"/>
          <w:color w:val="000000" w:themeColor="text1"/>
          <w:szCs w:val="24"/>
          <w:shd w:val="clear" w:color="auto" w:fill="FFFFFF"/>
          <w:lang w:val="es-PR"/>
        </w:rPr>
        <w:t xml:space="preserve"> lo anterior, el DDEC entiende que sería provechoso contemplar otorgarle a la Oficina de Gerencia de Permisos la discreción de conceder un término adicional de tiempo para proveer recomendaciones a aquellos municipios</w:t>
      </w:r>
      <w:r w:rsidR="0080678E" w:rsidRPr="003E6C47">
        <w:rPr>
          <w:rFonts w:ascii="Book Antiqua" w:hAnsi="Book Antiqua"/>
          <w:color w:val="000000" w:themeColor="text1"/>
          <w:szCs w:val="24"/>
          <w:shd w:val="clear" w:color="auto" w:fill="FFFFFF"/>
          <w:lang w:val="es-PR"/>
        </w:rPr>
        <w:t xml:space="preserve">, agencias o entidades gubernamentales que así lo soliciten afirmativamente. </w:t>
      </w:r>
    </w:p>
    <w:p w14:paraId="29E784CB" w14:textId="304B0513" w:rsidR="00DC3AE6" w:rsidRDefault="00523536" w:rsidP="00DC3AE6">
      <w:pPr>
        <w:spacing w:before="120" w:after="120" w:line="360" w:lineRule="auto"/>
        <w:ind w:firstLine="360"/>
        <w:jc w:val="center"/>
        <w:rPr>
          <w:rFonts w:ascii="Book Antiqua" w:hAnsi="Book Antiqua"/>
          <w:i/>
          <w:iCs/>
          <w:lang w:val="es-ES_tradnl"/>
        </w:rPr>
      </w:pPr>
      <w:r w:rsidRPr="00D81EC0">
        <w:rPr>
          <w:rFonts w:ascii="Book Antiqua" w:hAnsi="Book Antiqua"/>
          <w:i/>
          <w:iCs/>
          <w:lang w:val="es-ES_tradnl"/>
        </w:rPr>
        <w:t>D</w:t>
      </w:r>
      <w:r w:rsidR="007D7019" w:rsidRPr="00D81EC0">
        <w:rPr>
          <w:rFonts w:ascii="Book Antiqua" w:hAnsi="Book Antiqua"/>
          <w:i/>
          <w:iCs/>
          <w:lang w:val="es-ES_tradnl"/>
        </w:rPr>
        <w:t>epartamento</w:t>
      </w:r>
      <w:r w:rsidRPr="00D81EC0">
        <w:rPr>
          <w:rFonts w:ascii="Book Antiqua" w:hAnsi="Book Antiqua"/>
          <w:i/>
          <w:iCs/>
          <w:lang w:val="es-ES_tradnl"/>
        </w:rPr>
        <w:t xml:space="preserve"> </w:t>
      </w:r>
      <w:r w:rsidR="007D7019" w:rsidRPr="007D7019">
        <w:rPr>
          <w:rFonts w:ascii="Book Antiqua" w:hAnsi="Book Antiqua"/>
          <w:i/>
          <w:iCs/>
          <w:sz w:val="22"/>
          <w:szCs w:val="18"/>
          <w:lang w:val="es-ES_tradnl"/>
        </w:rPr>
        <w:t>de</w:t>
      </w:r>
      <w:r w:rsidRPr="00D81EC0">
        <w:rPr>
          <w:rFonts w:ascii="Book Antiqua" w:hAnsi="Book Antiqua"/>
          <w:i/>
          <w:iCs/>
          <w:lang w:val="es-ES_tradnl"/>
        </w:rPr>
        <w:t xml:space="preserve"> R</w:t>
      </w:r>
      <w:r w:rsidR="007D7019" w:rsidRPr="00D81EC0">
        <w:rPr>
          <w:rFonts w:ascii="Book Antiqua" w:hAnsi="Book Antiqua"/>
          <w:i/>
          <w:iCs/>
          <w:lang w:val="es-ES_tradnl"/>
        </w:rPr>
        <w:t>ecursos</w:t>
      </w:r>
      <w:r w:rsidRPr="00D81EC0">
        <w:rPr>
          <w:rFonts w:ascii="Book Antiqua" w:hAnsi="Book Antiqua"/>
          <w:i/>
          <w:iCs/>
          <w:lang w:val="es-ES_tradnl"/>
        </w:rPr>
        <w:t xml:space="preserve"> N</w:t>
      </w:r>
      <w:r w:rsidR="007D7019" w:rsidRPr="00D81EC0">
        <w:rPr>
          <w:rFonts w:ascii="Book Antiqua" w:hAnsi="Book Antiqua"/>
          <w:i/>
          <w:iCs/>
          <w:lang w:val="es-ES_tradnl"/>
        </w:rPr>
        <w:t>aturales y</w:t>
      </w:r>
      <w:r w:rsidRPr="00D81EC0">
        <w:rPr>
          <w:rFonts w:ascii="Book Antiqua" w:hAnsi="Book Antiqua"/>
          <w:i/>
          <w:iCs/>
          <w:lang w:val="es-ES_tradnl"/>
        </w:rPr>
        <w:t xml:space="preserve"> A</w:t>
      </w:r>
      <w:r w:rsidR="007D7019" w:rsidRPr="00D81EC0">
        <w:rPr>
          <w:rFonts w:ascii="Book Antiqua" w:hAnsi="Book Antiqua"/>
          <w:i/>
          <w:iCs/>
          <w:lang w:val="es-ES_tradnl"/>
        </w:rPr>
        <w:t>mbientales</w:t>
      </w:r>
    </w:p>
    <w:p w14:paraId="55D5B9BD" w14:textId="77777777" w:rsidR="001049FF" w:rsidRPr="001049FF" w:rsidRDefault="001049FF" w:rsidP="001049FF">
      <w:pPr>
        <w:spacing w:before="120" w:after="120" w:line="360" w:lineRule="auto"/>
        <w:ind w:firstLine="360"/>
        <w:jc w:val="both"/>
        <w:rPr>
          <w:rFonts w:ascii="Book Antiqua" w:hAnsi="Book Antiqua"/>
          <w:lang w:val="es-ES_tradnl"/>
        </w:rPr>
      </w:pPr>
      <w:r w:rsidRPr="001049FF">
        <w:rPr>
          <w:rFonts w:ascii="Book Antiqua" w:hAnsi="Book Antiqua"/>
          <w:lang w:val="es-ES_tradnl"/>
        </w:rPr>
        <w:t xml:space="preserve">Finalmente, el P del S 81 busca enmendar el Art. 5 de la Ley Núm. 23 de 20 de junio de 1972, que crea el Departamento de Recursos Naturales y Ambientales (DRNA). Esta enmienda elimina la facultad del DRNA de conceder permisos, y crea la siguiente función:  </w:t>
      </w:r>
    </w:p>
    <w:p w14:paraId="528F720C" w14:textId="0343585D" w:rsidR="001049FF" w:rsidRDefault="001049FF" w:rsidP="001049FF">
      <w:pPr>
        <w:spacing w:before="120" w:after="120" w:line="360" w:lineRule="auto"/>
        <w:ind w:firstLine="360"/>
        <w:jc w:val="both"/>
        <w:rPr>
          <w:rFonts w:ascii="Book Antiqua" w:hAnsi="Book Antiqua"/>
          <w:lang w:val="es-ES_tradnl"/>
        </w:rPr>
      </w:pPr>
      <w:r w:rsidRPr="001049FF">
        <w:rPr>
          <w:rFonts w:ascii="Book Antiqua" w:hAnsi="Book Antiqua"/>
          <w:lang w:val="es-ES_tradnl"/>
        </w:rPr>
        <w:t xml:space="preserve"> “</w:t>
      </w:r>
      <w:r w:rsidRPr="001049FF">
        <w:rPr>
          <w:rFonts w:ascii="Book Antiqua" w:hAnsi="Book Antiqua"/>
          <w:i/>
          <w:iCs/>
          <w:lang w:val="es-ES_tradnl"/>
        </w:rPr>
        <w:t>asesorar, orientar, guiar y apoyar mediante comentarios a la Oficina de Gerencia de Permisos o la dependencia gubernamental que le sustituya y a los municipios concernientes, en la toma de decisión de éstos, sobre la evaluación de permisos que incidan en la política pública mencionada en este inciso</w:t>
      </w:r>
      <w:r w:rsidRPr="001049FF">
        <w:rPr>
          <w:rFonts w:ascii="Book Antiqua" w:hAnsi="Book Antiqua"/>
          <w:lang w:val="es-ES_tradnl"/>
        </w:rPr>
        <w:t>.”</w:t>
      </w:r>
    </w:p>
    <w:p w14:paraId="7F9D256C" w14:textId="0E14E485" w:rsidR="001049FF" w:rsidRPr="001049FF" w:rsidRDefault="001049FF" w:rsidP="001049FF">
      <w:pPr>
        <w:spacing w:before="120" w:after="120" w:line="360" w:lineRule="auto"/>
        <w:ind w:firstLine="360"/>
        <w:jc w:val="both"/>
        <w:rPr>
          <w:rFonts w:ascii="Book Antiqua" w:hAnsi="Book Antiqua"/>
          <w:lang w:val="es-ES_tradnl"/>
        </w:rPr>
      </w:pPr>
      <w:r w:rsidRPr="001049FF">
        <w:rPr>
          <w:rFonts w:ascii="Book Antiqua" w:hAnsi="Book Antiqua"/>
          <w:lang w:val="es-ES_tradnl"/>
        </w:rPr>
        <w:t xml:space="preserve">El DRNA endosa el proyecto sin aclarar cuales son “los permisos” que actualmente emite. Por ejemplo, el DRNA emite “permisos” o autorizaciones para la tala de árboles bajo la Ley Núm. 133 del 1 de julio de 1975, según enmendada,8  y esto nada tiene que ver con los permisos o determinaciones finales para proyectos de construcción y usos de terrenos y certificaciones en Puerto Rico, licencias, certificaciones para realizar u operar negocios en Puerto Rico.9 Por lo tanto, la facultad de conceder permisos bajo una ley nada tiene que ver con la otra, por lo que la facultad de conceder permisos no debe eliminarse por completo. Se recomienda clarificar que el DRNA podrá conceder permisos, excepto aquellos cubiertos por la Ley Núm. 161, supra.  </w:t>
      </w:r>
    </w:p>
    <w:p w14:paraId="4502EC48" w14:textId="1BA117A5" w:rsidR="001049FF" w:rsidRPr="001049FF" w:rsidRDefault="001049FF" w:rsidP="001049FF">
      <w:pPr>
        <w:spacing w:before="120" w:after="120" w:line="360" w:lineRule="auto"/>
        <w:ind w:firstLine="360"/>
        <w:jc w:val="both"/>
        <w:rPr>
          <w:rFonts w:ascii="Book Antiqua" w:hAnsi="Book Antiqua"/>
          <w:lang w:val="es-ES_tradnl"/>
        </w:rPr>
      </w:pPr>
      <w:r w:rsidRPr="001049FF">
        <w:rPr>
          <w:rFonts w:ascii="Book Antiqua" w:hAnsi="Book Antiqua"/>
          <w:lang w:val="es-ES_tradnl"/>
        </w:rPr>
        <w:t xml:space="preserve">En cuanto a incorporar enmiendas adicionales a la Ley Núm. 161, supra, se sugiere que se considere en un proyecto separado, y que se provea tiempo suficiente para que las entidades gubernamentales se expresen al respecto. En síntesis, recomendamos se </w:t>
      </w:r>
      <w:r w:rsidRPr="001049FF">
        <w:rPr>
          <w:rFonts w:ascii="Book Antiqua" w:hAnsi="Book Antiqua"/>
          <w:lang w:val="es-ES_tradnl"/>
        </w:rPr>
        <w:lastRenderedPageBreak/>
        <w:t xml:space="preserve">proceda con la aprobación del </w:t>
      </w:r>
      <w:proofErr w:type="spellStart"/>
      <w:r w:rsidRPr="001049FF">
        <w:rPr>
          <w:rFonts w:ascii="Book Antiqua" w:hAnsi="Book Antiqua"/>
          <w:lang w:val="es-ES_tradnl"/>
        </w:rPr>
        <w:t>entirillado</w:t>
      </w:r>
      <w:proofErr w:type="spellEnd"/>
      <w:r w:rsidRPr="001049FF">
        <w:rPr>
          <w:rFonts w:ascii="Book Antiqua" w:hAnsi="Book Antiqua"/>
          <w:lang w:val="es-ES_tradnl"/>
        </w:rPr>
        <w:t xml:space="preserve"> del Senado, con la modificación en la enmienda la ley del DRNA para que puedan seguir teniendo facultad de conceder permisos, excepto los de construcción.  </w:t>
      </w:r>
    </w:p>
    <w:p w14:paraId="4BD8E38D" w14:textId="34157A83" w:rsidR="00EB218A" w:rsidRDefault="00EB218A" w:rsidP="00EB218A">
      <w:pPr>
        <w:spacing w:before="120" w:after="120" w:line="360" w:lineRule="auto"/>
        <w:ind w:firstLine="360"/>
        <w:jc w:val="center"/>
        <w:rPr>
          <w:rFonts w:ascii="Book Antiqua" w:hAnsi="Book Antiqua"/>
          <w:i/>
          <w:iCs/>
          <w:lang w:val="es-ES_tradnl"/>
        </w:rPr>
      </w:pPr>
      <w:r>
        <w:rPr>
          <w:rFonts w:ascii="Book Antiqua" w:hAnsi="Book Antiqua"/>
          <w:i/>
          <w:iCs/>
          <w:lang w:val="es-ES_tradnl"/>
        </w:rPr>
        <w:t>Asociación de Constructores de Puerto Rico</w:t>
      </w:r>
    </w:p>
    <w:p w14:paraId="1E74F444" w14:textId="16F5E105" w:rsidR="00CD4DB8" w:rsidRDefault="00B23608" w:rsidP="007D7019">
      <w:pPr>
        <w:spacing w:before="120" w:after="120" w:line="360" w:lineRule="auto"/>
        <w:ind w:firstLine="360"/>
        <w:jc w:val="both"/>
        <w:rPr>
          <w:rFonts w:ascii="Book Antiqua" w:hAnsi="Book Antiqua"/>
          <w:lang w:val="es-ES_tradnl"/>
        </w:rPr>
      </w:pPr>
      <w:r>
        <w:rPr>
          <w:rFonts w:ascii="Book Antiqua" w:hAnsi="Book Antiqua"/>
          <w:lang w:val="es-ES_tradnl"/>
        </w:rPr>
        <w:t xml:space="preserve">La Asociación de Constructores, por conducto de su </w:t>
      </w:r>
      <w:proofErr w:type="gramStart"/>
      <w:r>
        <w:rPr>
          <w:rFonts w:ascii="Book Antiqua" w:hAnsi="Book Antiqua"/>
          <w:lang w:val="es-ES_tradnl"/>
        </w:rPr>
        <w:t>Presidente</w:t>
      </w:r>
      <w:proofErr w:type="gramEnd"/>
      <w:r>
        <w:rPr>
          <w:rFonts w:ascii="Book Antiqua" w:hAnsi="Book Antiqua"/>
          <w:lang w:val="es-ES_tradnl"/>
        </w:rPr>
        <w:t xml:space="preserve">, el Sr. Agustín Rojo, presentó un memorial en donde avala la medida. Indican que tener diversos organismos que emiten o deniegan permisos resulta en un proceso fragmentado que no abona a la eficiencia y la centralización de un sistema de permisos con enormes retos. Expresan que el P. del S. 81 es uno de los muchos pasos que se deben tomar para lograr la meta de obtener un sistema de permisos que promueva que los ciudadanos y empresas al proceso formal y planificado. </w:t>
      </w:r>
      <w:r w:rsidR="00CD4DB8">
        <w:rPr>
          <w:rFonts w:ascii="Book Antiqua" w:hAnsi="Book Antiqua"/>
          <w:lang w:val="es-ES_tradnl"/>
        </w:rPr>
        <w:t xml:space="preserve">Recomiendan que se debe disponer que la agencia o corporación pública no puede negarse en una etapa posterior al proyecto aprobado bajo estas condiciones a revisar planos o conectar el proyecto. </w:t>
      </w:r>
    </w:p>
    <w:p w14:paraId="7A5A0134" w14:textId="487149FC" w:rsidR="00CD4DB8" w:rsidRDefault="00CD4DB8" w:rsidP="0043500A">
      <w:pPr>
        <w:spacing w:before="120" w:after="120" w:line="360" w:lineRule="auto"/>
        <w:ind w:firstLine="360"/>
        <w:jc w:val="center"/>
        <w:rPr>
          <w:rFonts w:ascii="Book Antiqua" w:hAnsi="Book Antiqua"/>
          <w:i/>
          <w:iCs/>
          <w:lang w:val="es-ES_tradnl"/>
        </w:rPr>
      </w:pPr>
      <w:r w:rsidRPr="00CD4DB8">
        <w:rPr>
          <w:rFonts w:ascii="Book Antiqua" w:hAnsi="Book Antiqua"/>
          <w:i/>
          <w:iCs/>
          <w:lang w:val="es-ES_tradnl"/>
        </w:rPr>
        <w:t>Colegio de Ingenieros y Agrimensores de Puerto Rico</w:t>
      </w:r>
    </w:p>
    <w:p w14:paraId="3DBFF086" w14:textId="5DBE41D1" w:rsidR="007D7019" w:rsidRPr="007D7019" w:rsidRDefault="00CD4DB8" w:rsidP="007D7019">
      <w:pPr>
        <w:spacing w:before="120" w:after="120" w:line="360" w:lineRule="auto"/>
        <w:ind w:firstLine="360"/>
        <w:jc w:val="both"/>
        <w:rPr>
          <w:rFonts w:ascii="Book Antiqua" w:hAnsi="Book Antiqua"/>
          <w:color w:val="000000" w:themeColor="text1"/>
          <w:szCs w:val="24"/>
          <w:shd w:val="clear" w:color="auto" w:fill="FFFFFF"/>
          <w:lang w:val="es-ES"/>
        </w:rPr>
      </w:pPr>
      <w:r w:rsidRPr="00354ADE">
        <w:rPr>
          <w:rFonts w:ascii="Book Antiqua" w:hAnsi="Book Antiqua"/>
          <w:color w:val="000000" w:themeColor="text1"/>
          <w:szCs w:val="24"/>
          <w:shd w:val="clear" w:color="auto" w:fill="FFFFFF"/>
          <w:lang w:val="es-ES"/>
        </w:rPr>
        <w:t xml:space="preserve">El ingeniero Manuel Bermúdez Pagán, compareció en representación del Colegio de Ingenieros y Agrimensores de Puerto Rico (CIAPR). El CIAPR no asumió una postura oficial sobre la medida, pero ofreció varias recomendaciones. Entre ellas, eliminar la extensión de 15 días para someter recomendaciones en proyectos ubicados en áreas ecológicamente sensitivas, pues a su juicio, las agencias deben contar con la información necesaria desde el inicio. </w:t>
      </w:r>
    </w:p>
    <w:p w14:paraId="09545AF7" w14:textId="4066AB21" w:rsidR="00EB218A" w:rsidRDefault="00CD4DB8" w:rsidP="00EB218A">
      <w:pPr>
        <w:spacing w:before="120" w:after="120" w:line="360" w:lineRule="auto"/>
        <w:ind w:firstLine="360"/>
        <w:jc w:val="center"/>
        <w:rPr>
          <w:rFonts w:ascii="Book Antiqua" w:hAnsi="Book Antiqua"/>
          <w:i/>
          <w:iCs/>
          <w:lang w:val="es-ES_tradnl"/>
        </w:rPr>
      </w:pPr>
      <w:r>
        <w:rPr>
          <w:rFonts w:ascii="Book Antiqua" w:hAnsi="Book Antiqua"/>
          <w:i/>
          <w:iCs/>
          <w:lang w:val="es-ES_tradnl"/>
        </w:rPr>
        <w:t xml:space="preserve">Colegio de </w:t>
      </w:r>
      <w:proofErr w:type="gramStart"/>
      <w:r>
        <w:rPr>
          <w:rFonts w:ascii="Book Antiqua" w:hAnsi="Book Antiqua"/>
          <w:i/>
          <w:iCs/>
          <w:lang w:val="es-ES_tradnl"/>
        </w:rPr>
        <w:t>Arquitectos y Arquitectos</w:t>
      </w:r>
      <w:proofErr w:type="gramEnd"/>
      <w:r>
        <w:rPr>
          <w:rFonts w:ascii="Book Antiqua" w:hAnsi="Book Antiqua"/>
          <w:i/>
          <w:iCs/>
          <w:lang w:val="es-ES_tradnl"/>
        </w:rPr>
        <w:t xml:space="preserve"> Paisajistas de Puerto Rico </w:t>
      </w:r>
    </w:p>
    <w:p w14:paraId="09B0E17B" w14:textId="0FFCF305" w:rsidR="00354ADE" w:rsidRPr="007D7019" w:rsidRDefault="00CD4DB8" w:rsidP="007D7019">
      <w:pPr>
        <w:spacing w:before="120" w:after="120" w:line="360" w:lineRule="auto"/>
        <w:ind w:firstLine="360"/>
        <w:jc w:val="both"/>
        <w:rPr>
          <w:rFonts w:ascii="Book Antiqua" w:hAnsi="Book Antiqua"/>
          <w:color w:val="333333"/>
          <w:szCs w:val="24"/>
          <w:shd w:val="clear" w:color="auto" w:fill="FFFFFF"/>
          <w:lang w:val="es-ES"/>
        </w:rPr>
      </w:pPr>
      <w:r>
        <w:rPr>
          <w:rFonts w:ascii="Book Antiqua" w:hAnsi="Book Antiqua"/>
          <w:lang w:val="es-ES_tradnl"/>
        </w:rPr>
        <w:tab/>
        <w:t xml:space="preserve">Mediante memorial explicativo, el Arquitecto Bienvenido Pichardo, expresó tener preocupación sobre que los comentarios de las entidades </w:t>
      </w:r>
      <w:r w:rsidR="00354ADE">
        <w:rPr>
          <w:rFonts w:ascii="Book Antiqua" w:hAnsi="Book Antiqua"/>
          <w:lang w:val="es-ES_tradnl"/>
        </w:rPr>
        <w:t xml:space="preserve">con participación en el proceso no sean vinculantes al momento de otorgar un permiso. </w:t>
      </w:r>
    </w:p>
    <w:p w14:paraId="1A95CB87" w14:textId="1E363049" w:rsidR="00152C5A" w:rsidRDefault="007C0C83" w:rsidP="00354ADE">
      <w:pPr>
        <w:spacing w:before="120" w:after="120" w:line="360" w:lineRule="auto"/>
        <w:ind w:firstLine="360"/>
        <w:jc w:val="center"/>
        <w:rPr>
          <w:rFonts w:ascii="Book Antiqua" w:hAnsi="Book Antiqua"/>
          <w:i/>
          <w:iCs/>
          <w:color w:val="000000" w:themeColor="text1"/>
          <w:szCs w:val="24"/>
          <w:shd w:val="clear" w:color="auto" w:fill="FFFFFF"/>
          <w:lang w:val="es-PR"/>
        </w:rPr>
      </w:pPr>
      <w:r>
        <w:rPr>
          <w:rFonts w:ascii="Book Antiqua" w:hAnsi="Book Antiqua"/>
          <w:i/>
          <w:iCs/>
          <w:color w:val="000000" w:themeColor="text1"/>
          <w:szCs w:val="24"/>
          <w:shd w:val="clear" w:color="auto" w:fill="FFFFFF"/>
          <w:lang w:val="es-PR"/>
        </w:rPr>
        <w:t>Cámara de Comercio de Puerto Rico</w:t>
      </w:r>
    </w:p>
    <w:p w14:paraId="03329E8F" w14:textId="4C884E8F" w:rsidR="007C0C83" w:rsidRPr="007C0C83" w:rsidRDefault="007C0C83" w:rsidP="007C0C83">
      <w:pPr>
        <w:spacing w:before="120" w:after="120" w:line="360" w:lineRule="auto"/>
        <w:ind w:firstLine="360"/>
        <w:jc w:val="both"/>
        <w:rPr>
          <w:rFonts w:ascii="Book Antiqua" w:hAnsi="Book Antiqua"/>
          <w:color w:val="000000" w:themeColor="text1"/>
          <w:szCs w:val="24"/>
          <w:shd w:val="clear" w:color="auto" w:fill="FFFFFF"/>
          <w:lang w:val="es-PR"/>
        </w:rPr>
      </w:pPr>
      <w:r>
        <w:rPr>
          <w:rFonts w:ascii="Book Antiqua" w:hAnsi="Book Antiqua"/>
          <w:color w:val="000000" w:themeColor="text1"/>
          <w:szCs w:val="24"/>
          <w:shd w:val="clear" w:color="auto" w:fill="FFFFFF"/>
          <w:lang w:val="es-PR"/>
        </w:rPr>
        <w:t xml:space="preserve">Comparece la </w:t>
      </w:r>
      <w:r w:rsidRPr="007C0C83">
        <w:rPr>
          <w:rFonts w:ascii="Book Antiqua" w:hAnsi="Book Antiqua"/>
          <w:color w:val="000000" w:themeColor="text1"/>
          <w:szCs w:val="24"/>
          <w:shd w:val="clear" w:color="auto" w:fill="FFFFFF"/>
          <w:lang w:val="es-PR"/>
        </w:rPr>
        <w:t>Cámara de Comercio de Puerto Rico</w:t>
      </w:r>
      <w:r>
        <w:rPr>
          <w:rFonts w:ascii="Book Antiqua" w:hAnsi="Book Antiqua"/>
          <w:color w:val="000000" w:themeColor="text1"/>
          <w:szCs w:val="24"/>
          <w:shd w:val="clear" w:color="auto" w:fill="FFFFFF"/>
          <w:lang w:val="es-PR"/>
        </w:rPr>
        <w:t xml:space="preserve"> por medio de su presidente, Luis E. Pizarro Otero, Solicitan la aprobación de la medida con las siguientes </w:t>
      </w:r>
      <w:r>
        <w:rPr>
          <w:rFonts w:ascii="Book Antiqua" w:hAnsi="Book Antiqua"/>
          <w:color w:val="000000" w:themeColor="text1"/>
          <w:szCs w:val="24"/>
          <w:shd w:val="clear" w:color="auto" w:fill="FFFFFF"/>
          <w:lang w:val="es-PR"/>
        </w:rPr>
        <w:lastRenderedPageBreak/>
        <w:t xml:space="preserve">recomendaciones: 1. Eficacia en el proceso de evaluación y directriz a los empleados de las Agencias; Aclarar los poderes del DNRA y el DDEC para evitar la duplicidad de funciones; 3. Realizar un estudio de viabilidad económica, y considerar la implantación de opciones administrativas para evitar su impacto. Esta legislación es un paso afirmativo en esa </w:t>
      </w:r>
      <w:r w:rsidR="002D2B9A">
        <w:rPr>
          <w:rFonts w:ascii="Book Antiqua" w:hAnsi="Book Antiqua"/>
          <w:color w:val="000000" w:themeColor="text1"/>
          <w:szCs w:val="24"/>
          <w:shd w:val="clear" w:color="auto" w:fill="FFFFFF"/>
          <w:lang w:val="es-PR"/>
        </w:rPr>
        <w:t>dirección. Permite que los comercios puedan continuar con el proceso de permisos sin estar atados a tramites dilatorios que perjudican el disfrute y uso de su propiedad privada. En particular, aquella en la que estos asumen el riesgo de la perdida con el fruto de sus ahorros y esfuerzo para beneficio de todos</w:t>
      </w:r>
      <w:r w:rsidR="007A69AA">
        <w:rPr>
          <w:rFonts w:ascii="Book Antiqua" w:hAnsi="Book Antiqua"/>
          <w:color w:val="000000" w:themeColor="text1"/>
          <w:szCs w:val="24"/>
          <w:shd w:val="clear" w:color="auto" w:fill="FFFFFF"/>
          <w:lang w:val="es-PR"/>
        </w:rPr>
        <w:t>.</w:t>
      </w:r>
      <w:r>
        <w:rPr>
          <w:rFonts w:ascii="Book Antiqua" w:hAnsi="Book Antiqua"/>
          <w:color w:val="000000" w:themeColor="text1"/>
          <w:szCs w:val="24"/>
          <w:shd w:val="clear" w:color="auto" w:fill="FFFFFF"/>
          <w:lang w:val="es-PR"/>
        </w:rPr>
        <w:t xml:space="preserve"> </w:t>
      </w:r>
    </w:p>
    <w:p w14:paraId="55175492" w14:textId="6E24F347" w:rsidR="005D2AA5" w:rsidRDefault="005D2AA5" w:rsidP="00354ADE">
      <w:pPr>
        <w:spacing w:before="120" w:after="120" w:line="360" w:lineRule="auto"/>
        <w:ind w:firstLine="360"/>
        <w:jc w:val="center"/>
        <w:rPr>
          <w:rFonts w:ascii="Book Antiqua" w:hAnsi="Book Antiqua"/>
          <w:i/>
          <w:iCs/>
          <w:color w:val="000000" w:themeColor="text1"/>
          <w:szCs w:val="24"/>
          <w:shd w:val="clear" w:color="auto" w:fill="FFFFFF"/>
          <w:lang w:val="es-PR"/>
        </w:rPr>
      </w:pPr>
      <w:r>
        <w:rPr>
          <w:rFonts w:ascii="Book Antiqua" w:hAnsi="Book Antiqua"/>
          <w:i/>
          <w:iCs/>
          <w:color w:val="000000" w:themeColor="text1"/>
          <w:szCs w:val="24"/>
          <w:shd w:val="clear" w:color="auto" w:fill="FFFFFF"/>
          <w:lang w:val="es-PR"/>
        </w:rPr>
        <w:t>Junta de Planificación</w:t>
      </w:r>
    </w:p>
    <w:p w14:paraId="5697030D" w14:textId="7A0F3EEE" w:rsidR="005D2AA5" w:rsidRPr="005D2AA5" w:rsidRDefault="005D2AA5" w:rsidP="005D2AA5">
      <w:pPr>
        <w:spacing w:before="120" w:after="120" w:line="360" w:lineRule="auto"/>
        <w:ind w:firstLine="360"/>
        <w:jc w:val="both"/>
        <w:rPr>
          <w:rFonts w:ascii="Book Antiqua" w:hAnsi="Book Antiqua"/>
          <w:color w:val="000000" w:themeColor="text1"/>
          <w:szCs w:val="24"/>
          <w:shd w:val="clear" w:color="auto" w:fill="FFFFFF"/>
          <w:lang w:val="es-PR"/>
        </w:rPr>
      </w:pPr>
      <w:r>
        <w:rPr>
          <w:rFonts w:ascii="Book Antiqua" w:hAnsi="Book Antiqua"/>
          <w:color w:val="000000" w:themeColor="text1"/>
          <w:szCs w:val="24"/>
          <w:shd w:val="clear" w:color="auto" w:fill="FFFFFF"/>
          <w:lang w:val="es-PR"/>
        </w:rPr>
        <w:t xml:space="preserve">La </w:t>
      </w:r>
      <w:r w:rsidRPr="005D2AA5">
        <w:rPr>
          <w:rFonts w:ascii="Book Antiqua" w:hAnsi="Book Antiqua"/>
          <w:color w:val="000000" w:themeColor="text1"/>
          <w:szCs w:val="24"/>
          <w:shd w:val="clear" w:color="auto" w:fill="FFFFFF"/>
          <w:lang w:val="es-PR"/>
        </w:rPr>
        <w:t>Junta de Planificación</w:t>
      </w:r>
      <w:r>
        <w:rPr>
          <w:rFonts w:ascii="Book Antiqua" w:hAnsi="Book Antiqua"/>
          <w:color w:val="000000" w:themeColor="text1"/>
          <w:szCs w:val="24"/>
          <w:shd w:val="clear" w:color="auto" w:fill="FFFFFF"/>
          <w:lang w:val="es-PR"/>
        </w:rPr>
        <w:t xml:space="preserve"> por conducto de su presidente, Lcdo. </w:t>
      </w:r>
      <w:r w:rsidR="00152C5A">
        <w:rPr>
          <w:rFonts w:ascii="Book Antiqua" w:hAnsi="Book Antiqua"/>
          <w:color w:val="000000" w:themeColor="text1"/>
          <w:szCs w:val="24"/>
          <w:shd w:val="clear" w:color="auto" w:fill="FFFFFF"/>
          <w:lang w:val="es-PR"/>
        </w:rPr>
        <w:t>Héctor</w:t>
      </w:r>
      <w:r>
        <w:rPr>
          <w:rFonts w:ascii="Book Antiqua" w:hAnsi="Book Antiqua"/>
          <w:color w:val="000000" w:themeColor="text1"/>
          <w:szCs w:val="24"/>
          <w:shd w:val="clear" w:color="auto" w:fill="FFFFFF"/>
          <w:lang w:val="es-PR"/>
        </w:rPr>
        <w:t xml:space="preserve"> A. Morales Martinez, recomendó que se le permita un termino de tiempo razonable a la </w:t>
      </w:r>
      <w:proofErr w:type="spellStart"/>
      <w:r>
        <w:rPr>
          <w:rFonts w:ascii="Book Antiqua" w:hAnsi="Book Antiqua"/>
          <w:color w:val="000000" w:themeColor="text1"/>
          <w:szCs w:val="24"/>
          <w:shd w:val="clear" w:color="auto" w:fill="FFFFFF"/>
          <w:lang w:val="es-PR"/>
        </w:rPr>
        <w:t>OGPe</w:t>
      </w:r>
      <w:proofErr w:type="spellEnd"/>
      <w:r>
        <w:rPr>
          <w:rFonts w:ascii="Book Antiqua" w:hAnsi="Book Antiqua"/>
          <w:color w:val="000000" w:themeColor="text1"/>
          <w:szCs w:val="24"/>
          <w:shd w:val="clear" w:color="auto" w:fill="FFFFFF"/>
          <w:lang w:val="es-PR"/>
        </w:rPr>
        <w:t xml:space="preserve"> para dotarse de la persona profesional pertinente y con conocimiento en conversaciones de recursos natural, para así emitir comentarios, recomendaciones y evaluaciones precisas e informadas como parte del proceso de evolución y otorgación de permisos. </w:t>
      </w:r>
    </w:p>
    <w:p w14:paraId="276E826B" w14:textId="7B145893" w:rsidR="00354ADE" w:rsidRPr="00354ADE" w:rsidRDefault="00354ADE" w:rsidP="00354ADE">
      <w:pPr>
        <w:spacing w:before="120" w:after="120" w:line="360" w:lineRule="auto"/>
        <w:ind w:firstLine="360"/>
        <w:jc w:val="center"/>
        <w:rPr>
          <w:rFonts w:ascii="Book Antiqua" w:hAnsi="Book Antiqua"/>
          <w:i/>
          <w:iCs/>
          <w:color w:val="000000" w:themeColor="text1"/>
          <w:szCs w:val="24"/>
          <w:lang w:val="es-ES_tradnl"/>
        </w:rPr>
      </w:pPr>
      <w:r w:rsidRPr="00DF78FA">
        <w:rPr>
          <w:rFonts w:ascii="Book Antiqua" w:hAnsi="Book Antiqua"/>
          <w:i/>
          <w:iCs/>
          <w:color w:val="000000" w:themeColor="text1"/>
          <w:szCs w:val="24"/>
          <w:shd w:val="clear" w:color="auto" w:fill="FFFFFF"/>
          <w:lang w:val="es-PR"/>
        </w:rPr>
        <w:t>Oficina Estatal de Conservación Histórica</w:t>
      </w:r>
    </w:p>
    <w:p w14:paraId="260B52F1" w14:textId="0DBC7C49" w:rsidR="007D7019" w:rsidRPr="007D7019" w:rsidRDefault="00354ADE" w:rsidP="007D7019">
      <w:pPr>
        <w:spacing w:before="120" w:after="120" w:line="360" w:lineRule="auto"/>
        <w:ind w:firstLine="360"/>
        <w:jc w:val="both"/>
        <w:rPr>
          <w:rFonts w:ascii="Book Antiqua" w:hAnsi="Book Antiqua"/>
          <w:color w:val="000000" w:themeColor="text1"/>
          <w:szCs w:val="24"/>
          <w:shd w:val="clear" w:color="auto" w:fill="FFFFFF"/>
          <w:lang w:val="es-ES"/>
        </w:rPr>
      </w:pPr>
      <w:r w:rsidRPr="00354ADE">
        <w:rPr>
          <w:rFonts w:ascii="Book Antiqua" w:hAnsi="Book Antiqua"/>
          <w:color w:val="000000" w:themeColor="text1"/>
          <w:szCs w:val="24"/>
          <w:shd w:val="clear" w:color="auto" w:fill="FFFFFF"/>
          <w:lang w:val="es-ES"/>
        </w:rPr>
        <w:t>La Oficina Estatal de Conservación Histórica, representada por Carlos A. Rubio</w:t>
      </w:r>
      <w:r w:rsidR="00152C5A">
        <w:rPr>
          <w:rFonts w:ascii="Book Antiqua" w:hAnsi="Book Antiqua"/>
          <w:color w:val="000000" w:themeColor="text1"/>
          <w:szCs w:val="24"/>
          <w:shd w:val="clear" w:color="auto" w:fill="FFFFFF"/>
          <w:lang w:val="es-ES"/>
        </w:rPr>
        <w:t xml:space="preserve"> </w:t>
      </w:r>
      <w:r w:rsidRPr="00354ADE">
        <w:rPr>
          <w:rFonts w:ascii="Book Antiqua" w:hAnsi="Book Antiqua"/>
          <w:color w:val="000000" w:themeColor="text1"/>
          <w:szCs w:val="24"/>
          <w:shd w:val="clear" w:color="auto" w:fill="FFFFFF"/>
          <w:lang w:val="es-ES"/>
        </w:rPr>
        <w:t>Cancela no compareció a la vista pública, pero envió un memorial explicativo en el que expresó su apoyo a la medida, siempre y cuando se cumpla con las leyes ambientales y federales aplicables</w:t>
      </w:r>
      <w:r w:rsidR="007D7019">
        <w:rPr>
          <w:rFonts w:ascii="Book Antiqua" w:hAnsi="Book Antiqua"/>
          <w:color w:val="000000" w:themeColor="text1"/>
          <w:szCs w:val="24"/>
          <w:shd w:val="clear" w:color="auto" w:fill="FFFFFF"/>
          <w:lang w:val="es-ES"/>
        </w:rPr>
        <w:t>.</w:t>
      </w:r>
    </w:p>
    <w:p w14:paraId="6518370C" w14:textId="77777777" w:rsidR="008045E9" w:rsidRPr="00DF78FA" w:rsidRDefault="00DC3AE6" w:rsidP="008045E9">
      <w:pPr>
        <w:jc w:val="center"/>
        <w:rPr>
          <w:rFonts w:ascii="Book Antiqua" w:hAnsi="Book Antiqua"/>
          <w:b/>
          <w:bCs/>
          <w:lang w:val="es-PR"/>
        </w:rPr>
      </w:pPr>
      <w:r w:rsidRPr="00DF78FA">
        <w:rPr>
          <w:rFonts w:ascii="Book Antiqua" w:hAnsi="Book Antiqua"/>
          <w:b/>
          <w:bCs/>
          <w:lang w:val="es-PR"/>
        </w:rPr>
        <w:t xml:space="preserve">IMPACTO FISCAL </w:t>
      </w:r>
    </w:p>
    <w:p w14:paraId="688BB1F6" w14:textId="77777777" w:rsidR="008045E9" w:rsidRPr="00DF78FA" w:rsidRDefault="008045E9" w:rsidP="008045E9">
      <w:pPr>
        <w:jc w:val="center"/>
        <w:rPr>
          <w:rFonts w:ascii="Book Antiqua" w:hAnsi="Book Antiqua"/>
          <w:lang w:val="es-PR"/>
        </w:rPr>
      </w:pPr>
    </w:p>
    <w:p w14:paraId="62B4B883" w14:textId="24B6B2FA" w:rsidR="008045E9" w:rsidRPr="00DF78FA" w:rsidRDefault="008045E9" w:rsidP="007D7019">
      <w:pPr>
        <w:spacing w:line="360" w:lineRule="auto"/>
        <w:ind w:firstLine="720"/>
        <w:jc w:val="both"/>
        <w:rPr>
          <w:rFonts w:ascii="Book Antiqua" w:hAnsi="Book Antiqua"/>
          <w:lang w:val="es-PR"/>
        </w:rPr>
      </w:pPr>
      <w:r w:rsidRPr="00DF78FA">
        <w:rPr>
          <w:rFonts w:ascii="Book Antiqua" w:hAnsi="Book Antiqua"/>
          <w:lang w:val="es-PR"/>
        </w:rPr>
        <w:t xml:space="preserve">En cumplimiento con el Artículo 1.007 de la Ley Núm. 107-2020, según enmendada, conocida como "Código Municipal de Puerto Rico", la Comisión de </w:t>
      </w:r>
      <w:r w:rsidR="007D7019" w:rsidRPr="007D7019">
        <w:rPr>
          <w:rFonts w:ascii="Book Antiqua" w:hAnsi="Book Antiqua"/>
          <w:lang w:val="es-PR"/>
        </w:rPr>
        <w:t xml:space="preserve">Desarrollo Económico de la Cámara de Representantes de Puerto Rico </w:t>
      </w:r>
      <w:r w:rsidRPr="00DF78FA">
        <w:rPr>
          <w:rFonts w:ascii="Book Antiqua" w:hAnsi="Book Antiqua"/>
          <w:lang w:val="es-PR"/>
        </w:rPr>
        <w:t xml:space="preserve">no solicitó comentarios al Centro de Recaudaciones de Ingresos Municipales (CRIM) ni a la Oficina de Gerencial Municipal, toda vez que el Proyecto del Senado </w:t>
      </w:r>
      <w:r w:rsidR="002B0D86" w:rsidRPr="00DF78FA">
        <w:rPr>
          <w:rFonts w:ascii="Book Antiqua" w:hAnsi="Book Antiqua"/>
          <w:lang w:val="es-PR"/>
        </w:rPr>
        <w:t>81</w:t>
      </w:r>
      <w:r w:rsidRPr="00DF78FA">
        <w:rPr>
          <w:rFonts w:ascii="Book Antiqua" w:hAnsi="Book Antiqua"/>
          <w:lang w:val="es-PR"/>
        </w:rPr>
        <w:t xml:space="preserve"> no impone una obligación económica en el presupuesto de los gobiernos municipales.</w:t>
      </w:r>
    </w:p>
    <w:p w14:paraId="1865C454" w14:textId="1B79A944" w:rsidR="00DC3AE6" w:rsidRPr="00DF78FA" w:rsidRDefault="008045E9" w:rsidP="007D7019">
      <w:pPr>
        <w:spacing w:line="360" w:lineRule="auto"/>
        <w:ind w:firstLine="720"/>
        <w:jc w:val="both"/>
        <w:rPr>
          <w:rFonts w:ascii="Book Antiqua" w:hAnsi="Book Antiqua"/>
          <w:lang w:val="es-PR"/>
        </w:rPr>
      </w:pPr>
      <w:r w:rsidRPr="00DF78FA">
        <w:rPr>
          <w:rFonts w:ascii="Book Antiqua" w:hAnsi="Book Antiqua"/>
          <w:lang w:val="es-PR"/>
        </w:rPr>
        <w:lastRenderedPageBreak/>
        <w:t>Además, esta medida no representa un impacto fiscal negativo, ya que no implica una nueva asignación de fondos ni reduce los ingresos del Fondo General.</w:t>
      </w:r>
    </w:p>
    <w:p w14:paraId="7E0538AF" w14:textId="77777777" w:rsidR="00354ADE" w:rsidRPr="00DF78FA" w:rsidRDefault="00354ADE" w:rsidP="00DC3AE6">
      <w:pPr>
        <w:jc w:val="center"/>
        <w:rPr>
          <w:rFonts w:ascii="Book Antiqua" w:hAnsi="Book Antiqua"/>
          <w:b/>
          <w:bCs/>
          <w:lang w:val="es-PR"/>
        </w:rPr>
      </w:pPr>
    </w:p>
    <w:p w14:paraId="75F947F2" w14:textId="7C5FB08E" w:rsidR="00DC3AE6" w:rsidRPr="00DF78FA" w:rsidRDefault="00DC3AE6" w:rsidP="00DC3AE6">
      <w:pPr>
        <w:jc w:val="center"/>
        <w:rPr>
          <w:rFonts w:ascii="Book Antiqua" w:hAnsi="Book Antiqua"/>
          <w:b/>
          <w:bCs/>
          <w:lang w:val="es-PR"/>
        </w:rPr>
      </w:pPr>
      <w:r w:rsidRPr="00DF78FA">
        <w:rPr>
          <w:rFonts w:ascii="Book Antiqua" w:hAnsi="Book Antiqua"/>
          <w:b/>
          <w:bCs/>
          <w:lang w:val="es-PR"/>
        </w:rPr>
        <w:t>CONCLUSIÓN</w:t>
      </w:r>
    </w:p>
    <w:p w14:paraId="3A71CEF2" w14:textId="77777777" w:rsidR="00DC3AE6" w:rsidRPr="00DF78FA" w:rsidRDefault="00DC3AE6" w:rsidP="007D7019">
      <w:pPr>
        <w:rPr>
          <w:rFonts w:ascii="Book Antiqua" w:hAnsi="Book Antiqua"/>
          <w:lang w:val="es-PR"/>
        </w:rPr>
      </w:pPr>
    </w:p>
    <w:p w14:paraId="5E4D60FA" w14:textId="5B10F0CC" w:rsidR="00DC3AE6" w:rsidRPr="00DF78FA" w:rsidRDefault="00DC3AE6" w:rsidP="00B0660A">
      <w:pPr>
        <w:spacing w:line="360" w:lineRule="auto"/>
        <w:ind w:firstLine="720"/>
        <w:jc w:val="both"/>
        <w:rPr>
          <w:rFonts w:ascii="Book Antiqua" w:hAnsi="Book Antiqua"/>
          <w:lang w:val="es-PR"/>
        </w:rPr>
      </w:pPr>
      <w:r w:rsidRPr="00DF78FA">
        <w:rPr>
          <w:rFonts w:ascii="Book Antiqua" w:hAnsi="Book Antiqua"/>
          <w:lang w:val="es-PR"/>
        </w:rPr>
        <w:t xml:space="preserve">POR TODO LO ANTES EXPUESTO, la Comisión de </w:t>
      </w:r>
      <w:r w:rsidR="00506E93" w:rsidRPr="00506E93">
        <w:rPr>
          <w:rFonts w:ascii="Book Antiqua" w:hAnsi="Book Antiqua"/>
          <w:lang w:val="es-PR"/>
        </w:rPr>
        <w:t xml:space="preserve">Desarrollo Económico </w:t>
      </w:r>
      <w:r w:rsidRPr="00DF78FA">
        <w:rPr>
          <w:rFonts w:ascii="Book Antiqua" w:hAnsi="Book Antiqua"/>
          <w:lang w:val="es-PR"/>
        </w:rPr>
        <w:t>de</w:t>
      </w:r>
      <w:r w:rsidR="00506E93">
        <w:rPr>
          <w:rFonts w:ascii="Book Antiqua" w:hAnsi="Book Antiqua"/>
          <w:lang w:val="es-PR"/>
        </w:rPr>
        <w:t xml:space="preserve"> </w:t>
      </w:r>
      <w:r w:rsidRPr="00DF78FA">
        <w:rPr>
          <w:rFonts w:ascii="Book Antiqua" w:hAnsi="Book Antiqua"/>
          <w:lang w:val="es-PR"/>
        </w:rPr>
        <w:t>l</w:t>
      </w:r>
      <w:r w:rsidR="00506E93">
        <w:rPr>
          <w:rFonts w:ascii="Book Antiqua" w:hAnsi="Book Antiqua"/>
          <w:lang w:val="es-PR"/>
        </w:rPr>
        <w:t>a</w:t>
      </w:r>
      <w:r w:rsidRPr="00DF78FA">
        <w:rPr>
          <w:rFonts w:ascii="Book Antiqua" w:hAnsi="Book Antiqua"/>
          <w:lang w:val="es-PR"/>
        </w:rPr>
        <w:t xml:space="preserve"> </w:t>
      </w:r>
      <w:r w:rsidR="00506E93">
        <w:rPr>
          <w:rFonts w:ascii="Book Antiqua" w:hAnsi="Book Antiqua"/>
          <w:lang w:val="es-PR"/>
        </w:rPr>
        <w:t xml:space="preserve">Cámara de Representantes </w:t>
      </w:r>
      <w:r w:rsidRPr="00DF78FA">
        <w:rPr>
          <w:rFonts w:ascii="Book Antiqua" w:hAnsi="Book Antiqua"/>
          <w:lang w:val="es-PR"/>
        </w:rPr>
        <w:t xml:space="preserve">de Puerto Rico previo </w:t>
      </w:r>
      <w:r w:rsidR="00D5588E" w:rsidRPr="00DF78FA">
        <w:rPr>
          <w:rFonts w:ascii="Book Antiqua" w:hAnsi="Book Antiqua"/>
          <w:lang w:val="es-PR"/>
        </w:rPr>
        <w:t>e</w:t>
      </w:r>
      <w:r w:rsidRPr="00DF78FA">
        <w:rPr>
          <w:rFonts w:ascii="Book Antiqua" w:hAnsi="Book Antiqua"/>
          <w:lang w:val="es-PR"/>
        </w:rPr>
        <w:t>studio y consideración, tienen a bien present</w:t>
      </w:r>
      <w:r w:rsidR="00D5588E" w:rsidRPr="00DF78FA">
        <w:rPr>
          <w:rFonts w:ascii="Book Antiqua" w:hAnsi="Book Antiqua"/>
          <w:lang w:val="es-PR"/>
        </w:rPr>
        <w:t>a</w:t>
      </w:r>
      <w:r w:rsidRPr="00DF78FA">
        <w:rPr>
          <w:rFonts w:ascii="Book Antiqua" w:hAnsi="Book Antiqua"/>
          <w:lang w:val="es-PR"/>
        </w:rPr>
        <w:t xml:space="preserve">r ante este </w:t>
      </w:r>
      <w:r w:rsidRPr="007D7019">
        <w:rPr>
          <w:rFonts w:ascii="Book Antiqua" w:hAnsi="Book Antiqua"/>
          <w:lang w:val="es-PR"/>
        </w:rPr>
        <w:t xml:space="preserve">Cuerpo </w:t>
      </w:r>
      <w:r w:rsidRPr="00DF78FA">
        <w:rPr>
          <w:rFonts w:ascii="Book Antiqua" w:hAnsi="Book Antiqua"/>
          <w:lang w:val="es-PR"/>
        </w:rPr>
        <w:t xml:space="preserve">el Informe Positivo </w:t>
      </w:r>
      <w:r w:rsidR="00152C5A">
        <w:rPr>
          <w:rFonts w:ascii="Book Antiqua" w:hAnsi="Book Antiqua"/>
          <w:lang w:val="es-PR"/>
        </w:rPr>
        <w:t xml:space="preserve">con enmiendas </w:t>
      </w:r>
      <w:r w:rsidRPr="00DF78FA">
        <w:rPr>
          <w:rFonts w:ascii="Book Antiqua" w:hAnsi="Book Antiqua"/>
          <w:lang w:val="es-PR"/>
        </w:rPr>
        <w:t xml:space="preserve">sobre </w:t>
      </w:r>
      <w:r w:rsidR="00D5588E" w:rsidRPr="00DF78FA">
        <w:rPr>
          <w:rFonts w:ascii="Book Antiqua" w:hAnsi="Book Antiqua"/>
          <w:lang w:val="es-PR"/>
        </w:rPr>
        <w:t>el Proyecto</w:t>
      </w:r>
      <w:r w:rsidRPr="00DF78FA">
        <w:rPr>
          <w:rFonts w:ascii="Book Antiqua" w:hAnsi="Book Antiqua"/>
          <w:lang w:val="es-PR"/>
        </w:rPr>
        <w:t xml:space="preserve"> del Senado </w:t>
      </w:r>
      <w:r w:rsidR="000010D4" w:rsidRPr="00DF78FA">
        <w:rPr>
          <w:rFonts w:ascii="Book Antiqua" w:hAnsi="Book Antiqua"/>
          <w:lang w:val="es-PR"/>
        </w:rPr>
        <w:t>81</w:t>
      </w:r>
      <w:r w:rsidRPr="00DF78FA">
        <w:rPr>
          <w:rFonts w:ascii="Book Antiqua" w:hAnsi="Book Antiqua"/>
          <w:lang w:val="es-PR"/>
        </w:rPr>
        <w:t xml:space="preserve">, recomendando su aprobación con las enmiendas contenidas en el </w:t>
      </w:r>
      <w:proofErr w:type="spellStart"/>
      <w:r w:rsidRPr="00DF78FA">
        <w:rPr>
          <w:rFonts w:ascii="Book Antiqua" w:hAnsi="Book Antiqua"/>
          <w:lang w:val="es-PR"/>
        </w:rPr>
        <w:t>entirillado</w:t>
      </w:r>
      <w:proofErr w:type="spellEnd"/>
      <w:r w:rsidRPr="00DF78FA">
        <w:rPr>
          <w:rFonts w:ascii="Book Antiqua" w:hAnsi="Book Antiqua"/>
          <w:lang w:val="es-PR"/>
        </w:rPr>
        <w:t xml:space="preserve"> electrónico que se acompaña. </w:t>
      </w:r>
    </w:p>
    <w:p w14:paraId="49905711" w14:textId="3A134796" w:rsidR="00DC3AE6" w:rsidRPr="00DF78FA" w:rsidRDefault="00DC3AE6" w:rsidP="00DC3AE6">
      <w:pPr>
        <w:jc w:val="both"/>
        <w:rPr>
          <w:rFonts w:ascii="Book Antiqua" w:hAnsi="Book Antiqua"/>
          <w:lang w:val="es-PR"/>
        </w:rPr>
      </w:pPr>
      <w:r w:rsidRPr="00DF78FA">
        <w:rPr>
          <w:rFonts w:ascii="Book Antiqua" w:hAnsi="Book Antiqua"/>
          <w:lang w:val="es-PR"/>
        </w:rPr>
        <w:br/>
        <w:t xml:space="preserve">Respetuosamente sometido, </w:t>
      </w:r>
    </w:p>
    <w:p w14:paraId="7FEF9456" w14:textId="77777777" w:rsidR="00DC3AE6" w:rsidRPr="00DF78FA" w:rsidRDefault="00DC3AE6" w:rsidP="00DC3AE6">
      <w:pPr>
        <w:jc w:val="both"/>
        <w:rPr>
          <w:rFonts w:ascii="Book Antiqua" w:hAnsi="Book Antiqua"/>
          <w:lang w:val="es-PR"/>
        </w:rPr>
      </w:pPr>
    </w:p>
    <w:p w14:paraId="09ECF9B8" w14:textId="77777777" w:rsidR="00DC3AE6" w:rsidRPr="00DF78FA" w:rsidRDefault="00DC3AE6" w:rsidP="00DC3AE6">
      <w:pPr>
        <w:jc w:val="both"/>
        <w:rPr>
          <w:rFonts w:ascii="Book Antiqua" w:hAnsi="Book Antiqua"/>
          <w:lang w:val="es-PR"/>
        </w:rPr>
      </w:pPr>
    </w:p>
    <w:p w14:paraId="07F13283" w14:textId="77777777" w:rsidR="00552376" w:rsidRPr="00DF78FA" w:rsidRDefault="00552376" w:rsidP="00DC3AE6">
      <w:pPr>
        <w:jc w:val="both"/>
        <w:rPr>
          <w:rFonts w:ascii="Book Antiqua" w:hAnsi="Book Antiqua"/>
          <w:lang w:val="es-PR"/>
        </w:rPr>
      </w:pPr>
    </w:p>
    <w:p w14:paraId="7AE314DC" w14:textId="0928AFFC" w:rsidR="00DC3AE6" w:rsidRPr="00506E93" w:rsidRDefault="00506E93" w:rsidP="00DC3AE6">
      <w:pPr>
        <w:jc w:val="both"/>
        <w:rPr>
          <w:rFonts w:ascii="Book Antiqua" w:hAnsi="Book Antiqua"/>
        </w:rPr>
      </w:pPr>
      <w:r w:rsidRPr="00506E93">
        <w:rPr>
          <w:rFonts w:ascii="Book Antiqua" w:hAnsi="Book Antiqua"/>
        </w:rPr>
        <w:t>Rep</w:t>
      </w:r>
      <w:r w:rsidR="00DC3AE6" w:rsidRPr="00506E93">
        <w:rPr>
          <w:rFonts w:ascii="Book Antiqua" w:hAnsi="Book Antiqua"/>
        </w:rPr>
        <w:t xml:space="preserve">. </w:t>
      </w:r>
      <w:r w:rsidRPr="00506E93">
        <w:rPr>
          <w:rFonts w:ascii="Book Antiqua" w:hAnsi="Book Antiqua"/>
        </w:rPr>
        <w:t xml:space="preserve">Joel </w:t>
      </w:r>
      <w:r>
        <w:rPr>
          <w:rFonts w:ascii="Book Antiqua" w:hAnsi="Book Antiqua"/>
        </w:rPr>
        <w:t xml:space="preserve">I. </w:t>
      </w:r>
      <w:r w:rsidRPr="00506E93">
        <w:rPr>
          <w:rFonts w:ascii="Book Antiqua" w:hAnsi="Book Antiqua"/>
        </w:rPr>
        <w:t>Franqui At</w:t>
      </w:r>
      <w:r>
        <w:rPr>
          <w:rFonts w:ascii="Book Antiqua" w:hAnsi="Book Antiqua"/>
        </w:rPr>
        <w:t xml:space="preserve">iles </w:t>
      </w:r>
    </w:p>
    <w:p w14:paraId="3F158F27" w14:textId="231E75C6" w:rsidR="00DC3AE6" w:rsidRPr="00506E93" w:rsidRDefault="00DC3AE6" w:rsidP="00DC3AE6">
      <w:pPr>
        <w:jc w:val="both"/>
        <w:rPr>
          <w:rFonts w:ascii="Book Antiqua" w:hAnsi="Book Antiqua"/>
        </w:rPr>
      </w:pPr>
      <w:r w:rsidRPr="00506E93">
        <w:rPr>
          <w:rFonts w:ascii="Book Antiqua" w:hAnsi="Book Antiqua"/>
        </w:rPr>
        <w:t>Presidente</w:t>
      </w:r>
    </w:p>
    <w:p w14:paraId="1F75557B" w14:textId="4E65AB23" w:rsidR="00DC3AE6" w:rsidRPr="00DF78FA" w:rsidRDefault="00DC3AE6" w:rsidP="00DC3AE6">
      <w:pPr>
        <w:jc w:val="both"/>
        <w:rPr>
          <w:rFonts w:ascii="Book Antiqua" w:hAnsi="Book Antiqua"/>
          <w:lang w:val="es-PR"/>
        </w:rPr>
      </w:pPr>
      <w:r w:rsidRPr="00DF78FA">
        <w:rPr>
          <w:rFonts w:ascii="Book Antiqua" w:hAnsi="Book Antiqua"/>
          <w:lang w:val="es-PR"/>
        </w:rPr>
        <w:t xml:space="preserve">Comisión de </w:t>
      </w:r>
      <w:r w:rsidR="005D2AA5" w:rsidRPr="005D2AA5">
        <w:rPr>
          <w:rFonts w:ascii="Book Antiqua" w:hAnsi="Book Antiqua"/>
          <w:lang w:val="es-PR"/>
        </w:rPr>
        <w:t xml:space="preserve">Desarrollo Económico </w:t>
      </w:r>
    </w:p>
    <w:sectPr w:rsidR="00DC3AE6" w:rsidRPr="00DF78F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41D54" w14:textId="77777777" w:rsidR="001F34FF" w:rsidRDefault="001F34FF" w:rsidP="00DF78FA">
      <w:r>
        <w:separator/>
      </w:r>
    </w:p>
  </w:endnote>
  <w:endnote w:type="continuationSeparator" w:id="0">
    <w:p w14:paraId="1270D1D3" w14:textId="77777777" w:rsidR="001F34FF" w:rsidRDefault="001F34FF" w:rsidP="00DF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328644"/>
      <w:docPartObj>
        <w:docPartGallery w:val="Page Numbers (Bottom of Page)"/>
        <w:docPartUnique/>
      </w:docPartObj>
    </w:sdtPr>
    <w:sdtEndPr>
      <w:rPr>
        <w:noProof/>
      </w:rPr>
    </w:sdtEndPr>
    <w:sdtContent>
      <w:p w14:paraId="42617CFC" w14:textId="1CD17665" w:rsidR="00DF78FA" w:rsidRDefault="00DF78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862C3F" w14:textId="77777777" w:rsidR="00DF78FA" w:rsidRDefault="00DF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B2E7E" w14:textId="77777777" w:rsidR="001F34FF" w:rsidRDefault="001F34FF" w:rsidP="00DF78FA">
      <w:r>
        <w:separator/>
      </w:r>
    </w:p>
  </w:footnote>
  <w:footnote w:type="continuationSeparator" w:id="0">
    <w:p w14:paraId="2877903E" w14:textId="77777777" w:rsidR="001F34FF" w:rsidRDefault="001F34FF" w:rsidP="00DF78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AE6"/>
    <w:rsid w:val="000010D4"/>
    <w:rsid w:val="0007794B"/>
    <w:rsid w:val="0008771B"/>
    <w:rsid w:val="0009040D"/>
    <w:rsid w:val="000D343E"/>
    <w:rsid w:val="001049FF"/>
    <w:rsid w:val="00152C5A"/>
    <w:rsid w:val="001812B5"/>
    <w:rsid w:val="001B6DB0"/>
    <w:rsid w:val="001D1A6A"/>
    <w:rsid w:val="001F34FF"/>
    <w:rsid w:val="002067D4"/>
    <w:rsid w:val="00243618"/>
    <w:rsid w:val="00243DC5"/>
    <w:rsid w:val="002B0D86"/>
    <w:rsid w:val="002D2B9A"/>
    <w:rsid w:val="0032324E"/>
    <w:rsid w:val="00354ADE"/>
    <w:rsid w:val="00372B65"/>
    <w:rsid w:val="00372F6D"/>
    <w:rsid w:val="003B6280"/>
    <w:rsid w:val="003B6E9C"/>
    <w:rsid w:val="003D0ABF"/>
    <w:rsid w:val="003E6C47"/>
    <w:rsid w:val="0043500A"/>
    <w:rsid w:val="004D636D"/>
    <w:rsid w:val="00506E93"/>
    <w:rsid w:val="00517D98"/>
    <w:rsid w:val="00523536"/>
    <w:rsid w:val="00552376"/>
    <w:rsid w:val="0056350E"/>
    <w:rsid w:val="005D2AA5"/>
    <w:rsid w:val="006319A9"/>
    <w:rsid w:val="00645AE0"/>
    <w:rsid w:val="00687236"/>
    <w:rsid w:val="007102C8"/>
    <w:rsid w:val="007A69AA"/>
    <w:rsid w:val="007C0C83"/>
    <w:rsid w:val="007C1DEC"/>
    <w:rsid w:val="007D7019"/>
    <w:rsid w:val="008045E9"/>
    <w:rsid w:val="0080678E"/>
    <w:rsid w:val="0088715D"/>
    <w:rsid w:val="008C404E"/>
    <w:rsid w:val="008F2241"/>
    <w:rsid w:val="00A8093E"/>
    <w:rsid w:val="00B0660A"/>
    <w:rsid w:val="00B23608"/>
    <w:rsid w:val="00B4625C"/>
    <w:rsid w:val="00B951EB"/>
    <w:rsid w:val="00BF683C"/>
    <w:rsid w:val="00C02A15"/>
    <w:rsid w:val="00C429F8"/>
    <w:rsid w:val="00CA523F"/>
    <w:rsid w:val="00CD4DB8"/>
    <w:rsid w:val="00D36CAB"/>
    <w:rsid w:val="00D5588E"/>
    <w:rsid w:val="00D81EC0"/>
    <w:rsid w:val="00D86F25"/>
    <w:rsid w:val="00D9280B"/>
    <w:rsid w:val="00DA7B1C"/>
    <w:rsid w:val="00DB4739"/>
    <w:rsid w:val="00DC3AE6"/>
    <w:rsid w:val="00DD52BE"/>
    <w:rsid w:val="00DF78FA"/>
    <w:rsid w:val="00E23BAD"/>
    <w:rsid w:val="00E47775"/>
    <w:rsid w:val="00E63063"/>
    <w:rsid w:val="00E94948"/>
    <w:rsid w:val="00EB218A"/>
    <w:rsid w:val="00F033AA"/>
    <w:rsid w:val="00FB75FB"/>
    <w:rsid w:val="00FC3BB2"/>
    <w:rsid w:val="00FF6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09077"/>
  <w15:chartTrackingRefBased/>
  <w15:docId w15:val="{4B64D1AB-C4C7-476D-96C3-2AAAEA462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AE6"/>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C3AE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C3AE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C3AE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C3AE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C3AE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C3AE6"/>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C3AE6"/>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C3AE6"/>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C3AE6"/>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A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3A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3A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3A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3A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3A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3A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3A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3AE6"/>
    <w:rPr>
      <w:rFonts w:eastAsiaTheme="majorEastAsia" w:cstheme="majorBidi"/>
      <w:color w:val="272727" w:themeColor="text1" w:themeTint="D8"/>
    </w:rPr>
  </w:style>
  <w:style w:type="paragraph" w:styleId="Title">
    <w:name w:val="Title"/>
    <w:basedOn w:val="Normal"/>
    <w:next w:val="Normal"/>
    <w:link w:val="TitleChar"/>
    <w:uiPriority w:val="10"/>
    <w:qFormat/>
    <w:rsid w:val="00DC3AE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C3A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3AE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C3A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AE6"/>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C3AE6"/>
    <w:rPr>
      <w:i/>
      <w:iCs/>
      <w:color w:val="404040" w:themeColor="text1" w:themeTint="BF"/>
    </w:rPr>
  </w:style>
  <w:style w:type="paragraph" w:styleId="ListParagraph">
    <w:name w:val="List Paragraph"/>
    <w:basedOn w:val="Normal"/>
    <w:uiPriority w:val="34"/>
    <w:qFormat/>
    <w:rsid w:val="00DC3AE6"/>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DC3AE6"/>
    <w:rPr>
      <w:i/>
      <w:iCs/>
      <w:color w:val="0F4761" w:themeColor="accent1" w:themeShade="BF"/>
    </w:rPr>
  </w:style>
  <w:style w:type="paragraph" w:styleId="IntenseQuote">
    <w:name w:val="Intense Quote"/>
    <w:basedOn w:val="Normal"/>
    <w:next w:val="Normal"/>
    <w:link w:val="IntenseQuoteChar"/>
    <w:uiPriority w:val="30"/>
    <w:qFormat/>
    <w:rsid w:val="00DC3AE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C3AE6"/>
    <w:rPr>
      <w:i/>
      <w:iCs/>
      <w:color w:val="0F4761" w:themeColor="accent1" w:themeShade="BF"/>
    </w:rPr>
  </w:style>
  <w:style w:type="character" w:styleId="IntenseReference">
    <w:name w:val="Intense Reference"/>
    <w:basedOn w:val="DefaultParagraphFont"/>
    <w:uiPriority w:val="32"/>
    <w:qFormat/>
    <w:rsid w:val="00DC3AE6"/>
    <w:rPr>
      <w:b/>
      <w:bCs/>
      <w:smallCaps/>
      <w:color w:val="0F4761" w:themeColor="accent1" w:themeShade="BF"/>
      <w:spacing w:val="5"/>
    </w:rPr>
  </w:style>
  <w:style w:type="paragraph" w:customStyle="1" w:styleId="Title2">
    <w:name w:val="Title2"/>
    <w:basedOn w:val="Normal"/>
    <w:next w:val="Normal"/>
    <w:rsid w:val="00DC3AE6"/>
    <w:pPr>
      <w:tabs>
        <w:tab w:val="left" w:pos="648"/>
        <w:tab w:val="right" w:pos="7776"/>
        <w:tab w:val="left" w:pos="7848"/>
      </w:tabs>
    </w:pPr>
  </w:style>
  <w:style w:type="paragraph" w:styleId="Header">
    <w:name w:val="header"/>
    <w:basedOn w:val="Normal"/>
    <w:link w:val="HeaderChar"/>
    <w:uiPriority w:val="99"/>
    <w:unhideWhenUsed/>
    <w:rsid w:val="00DF78FA"/>
    <w:pPr>
      <w:tabs>
        <w:tab w:val="center" w:pos="4680"/>
        <w:tab w:val="right" w:pos="9360"/>
      </w:tabs>
    </w:pPr>
  </w:style>
  <w:style w:type="character" w:customStyle="1" w:styleId="HeaderChar">
    <w:name w:val="Header Char"/>
    <w:basedOn w:val="DefaultParagraphFont"/>
    <w:link w:val="Header"/>
    <w:uiPriority w:val="99"/>
    <w:rsid w:val="00DF78FA"/>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F78FA"/>
    <w:pPr>
      <w:tabs>
        <w:tab w:val="center" w:pos="4680"/>
        <w:tab w:val="right" w:pos="9360"/>
      </w:tabs>
    </w:pPr>
  </w:style>
  <w:style w:type="character" w:customStyle="1" w:styleId="FooterChar">
    <w:name w:val="Footer Char"/>
    <w:basedOn w:val="DefaultParagraphFont"/>
    <w:link w:val="Footer"/>
    <w:uiPriority w:val="99"/>
    <w:rsid w:val="00DF78F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4SQX5P7U7WPY-958212181-812185</_dlc_DocId>
    <_dlc_DocIdUrl xmlns="c890fddd-4e87-4e08-8b51-545f2a3f7b06">
      <Url>https://senpr.sharepoint.com/sites/obralegislativa/_layouts/15/DocIdRedir.aspx?ID=4SQX5P7U7WPY-958212181-812185</Url>
      <Description>4SQX5P7U7WPY-958212181-812185</Description>
    </_dlc_DocIdUrl>
  </documentManagement>
</p:properties>
</file>

<file path=customXml/itemProps1.xml><?xml version="1.0" encoding="utf-8"?>
<ds:datastoreItem xmlns:ds="http://schemas.openxmlformats.org/officeDocument/2006/customXml" ds:itemID="{BD95B1CC-BA62-4695-8B82-A354888B4B57}">
  <ds:schemaRefs>
    <ds:schemaRef ds:uri="http://schemas.microsoft.com/sharepoint/v3/contenttype/forms"/>
  </ds:schemaRefs>
</ds:datastoreItem>
</file>

<file path=customXml/itemProps2.xml><?xml version="1.0" encoding="utf-8"?>
<ds:datastoreItem xmlns:ds="http://schemas.openxmlformats.org/officeDocument/2006/customXml" ds:itemID="{A59743F9-092F-4E03-B074-EEAF3E7027F7}">
  <ds:schemaRefs>
    <ds:schemaRef ds:uri="http://schemas.openxmlformats.org/officeDocument/2006/bibliography"/>
  </ds:schemaRefs>
</ds:datastoreItem>
</file>

<file path=customXml/itemProps3.xml><?xml version="1.0" encoding="utf-8"?>
<ds:datastoreItem xmlns:ds="http://schemas.openxmlformats.org/officeDocument/2006/customXml" ds:itemID="{202CE63E-BC7C-4E86-A9E9-284EE8A1CE88}">
  <ds:schemaRefs>
    <ds:schemaRef ds:uri="http://schemas.microsoft.com/sharepoint/events"/>
  </ds:schemaRefs>
</ds:datastoreItem>
</file>

<file path=customXml/itemProps4.xml><?xml version="1.0" encoding="utf-8"?>
<ds:datastoreItem xmlns:ds="http://schemas.openxmlformats.org/officeDocument/2006/customXml" ds:itemID="{804303CA-73F4-43C2-8916-DB82B7A7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889535-B819-4894-B39E-98509498E360}">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2860</Words>
  <Characters>16308</Characters>
  <Application>Microsoft Office Word</Application>
  <DocSecurity>4</DocSecurity>
  <Lines>135</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A. Rodríguez Nazario</dc:creator>
  <cp:keywords/>
  <dc:description/>
  <cp:lastModifiedBy>Camyl Moreno Pantojas</cp:lastModifiedBy>
  <cp:revision>2</cp:revision>
  <cp:lastPrinted>2025-06-24T22:35:00Z</cp:lastPrinted>
  <dcterms:created xsi:type="dcterms:W3CDTF">2025-06-24T22:51:00Z</dcterms:created>
  <dcterms:modified xsi:type="dcterms:W3CDTF">2025-06-24T22:51:00Z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dddb3e7a-848d-4ab2-9d13-7b410320e0b1</vt:lpwstr>
  </property>
  <property fmtid="{D5CDD505-2E9C-101B-9397-08002B2CF9AE}" pid="4" name="MediaServiceImageTags">
    <vt:lpwstr/>
  </property>
</Properties>
</file>