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422F87"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422F87">
        <w:rPr>
          <w:rFonts w:ascii="Book Antiqua" w:hAnsi="Book Antiqua"/>
          <w:sz w:val="28"/>
          <w:szCs w:val="28"/>
          <w:lang w:val="es-ES"/>
        </w:rPr>
        <w:t>GOBIERNO DE PUERTO RICO</w:t>
      </w:r>
    </w:p>
    <w:p w14:paraId="24353140" w14:textId="77777777" w:rsidR="007535BB" w:rsidRPr="00422F87"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422F87" w14:paraId="4DE77E24" w14:textId="77777777" w:rsidTr="00D95836">
        <w:trPr>
          <w:trHeight w:val="900"/>
        </w:trPr>
        <w:tc>
          <w:tcPr>
            <w:tcW w:w="3170" w:type="dxa"/>
          </w:tcPr>
          <w:p w14:paraId="27AF3912" w14:textId="77777777" w:rsidR="007535BB" w:rsidRPr="00422F87" w:rsidRDefault="007535BB" w:rsidP="00D95836">
            <w:pPr>
              <w:rPr>
                <w:rFonts w:ascii="Book Antiqua" w:hAnsi="Book Antiqua"/>
                <w:lang w:val="es-ES"/>
              </w:rPr>
            </w:pPr>
            <w:r w:rsidRPr="00422F87">
              <w:rPr>
                <w:rFonts w:ascii="Book Antiqua" w:hAnsi="Book Antiqua"/>
                <w:lang w:val="es-ES"/>
              </w:rPr>
              <w:t>20</w:t>
            </w:r>
            <w:r w:rsidRPr="00422F87">
              <w:rPr>
                <w:rFonts w:ascii="Book Antiqua" w:hAnsi="Book Antiqua"/>
                <w:vertAlign w:val="superscript"/>
                <w:lang w:val="es-ES"/>
              </w:rPr>
              <w:t>ma.</w:t>
            </w:r>
            <w:r w:rsidRPr="00422F87">
              <w:rPr>
                <w:rFonts w:ascii="Book Antiqua" w:hAnsi="Book Antiqua"/>
                <w:lang w:val="es-ES"/>
              </w:rPr>
              <w:tab/>
              <w:t>Asamblea</w:t>
            </w:r>
          </w:p>
          <w:p w14:paraId="082D32B2" w14:textId="77777777" w:rsidR="007535BB" w:rsidRPr="00422F87" w:rsidRDefault="007535BB" w:rsidP="00D95836">
            <w:pPr>
              <w:rPr>
                <w:rFonts w:ascii="Book Antiqua" w:hAnsi="Book Antiqua"/>
                <w:sz w:val="36"/>
                <w:lang w:val="es-ES"/>
              </w:rPr>
            </w:pPr>
            <w:r w:rsidRPr="00422F87">
              <w:rPr>
                <w:rFonts w:ascii="Book Antiqua" w:hAnsi="Book Antiqua"/>
                <w:lang w:val="es-ES"/>
              </w:rPr>
              <w:t xml:space="preserve">         </w:t>
            </w:r>
            <w:r w:rsidRPr="00422F87">
              <w:rPr>
                <w:rFonts w:ascii="Book Antiqua" w:hAnsi="Book Antiqua"/>
                <w:lang w:val="es-ES"/>
              </w:rPr>
              <w:tab/>
              <w:t xml:space="preserve">Legislativa                                                                                                          </w:t>
            </w:r>
          </w:p>
        </w:tc>
        <w:tc>
          <w:tcPr>
            <w:tcW w:w="3171" w:type="dxa"/>
          </w:tcPr>
          <w:p w14:paraId="48FE9142" w14:textId="77777777" w:rsidR="007535BB" w:rsidRPr="00422F87" w:rsidRDefault="007535BB" w:rsidP="00D95836">
            <w:pPr>
              <w:jc w:val="center"/>
              <w:rPr>
                <w:rFonts w:ascii="Book Antiqua" w:hAnsi="Book Antiqua"/>
                <w:sz w:val="36"/>
                <w:lang w:val="es-ES"/>
              </w:rPr>
            </w:pPr>
          </w:p>
        </w:tc>
        <w:tc>
          <w:tcPr>
            <w:tcW w:w="3268" w:type="dxa"/>
          </w:tcPr>
          <w:p w14:paraId="69176C76" w14:textId="2F06252B" w:rsidR="007535BB" w:rsidRPr="00422F87" w:rsidRDefault="007535BB" w:rsidP="00D95836">
            <w:pPr>
              <w:rPr>
                <w:rFonts w:ascii="Book Antiqua" w:hAnsi="Book Antiqua"/>
                <w:lang w:val="es-ES"/>
              </w:rPr>
            </w:pPr>
            <w:r w:rsidRPr="00422F87">
              <w:rPr>
                <w:rFonts w:ascii="Book Antiqua" w:hAnsi="Book Antiqua"/>
                <w:lang w:val="es-ES"/>
              </w:rPr>
              <w:tab/>
            </w:r>
            <w:r w:rsidR="00E17E3B" w:rsidRPr="00422F87">
              <w:rPr>
                <w:rFonts w:ascii="Book Antiqua" w:hAnsi="Book Antiqua"/>
                <w:lang w:val="es-ES"/>
              </w:rPr>
              <w:t>2</w:t>
            </w:r>
            <w:r w:rsidR="00E17E3B" w:rsidRPr="00422F87">
              <w:rPr>
                <w:rFonts w:ascii="Book Antiqua" w:hAnsi="Book Antiqua"/>
                <w:vertAlign w:val="superscript"/>
                <w:lang w:val="es-ES"/>
              </w:rPr>
              <w:t>d</w:t>
            </w:r>
            <w:r w:rsidRPr="00422F87">
              <w:rPr>
                <w:rFonts w:ascii="Book Antiqua" w:hAnsi="Book Antiqua"/>
                <w:vertAlign w:val="superscript"/>
                <w:lang w:val="es-ES"/>
              </w:rPr>
              <w:t>a.</w:t>
            </w:r>
            <w:r w:rsidRPr="00422F87">
              <w:rPr>
                <w:rFonts w:ascii="Book Antiqua" w:hAnsi="Book Antiqua"/>
                <w:lang w:val="es-ES"/>
              </w:rPr>
              <w:t xml:space="preserve"> Sesión</w:t>
            </w:r>
          </w:p>
          <w:p w14:paraId="42A8E2C1" w14:textId="6033C9E1" w:rsidR="007535BB" w:rsidRPr="00422F87" w:rsidRDefault="007535BB" w:rsidP="00D95836">
            <w:pPr>
              <w:rPr>
                <w:rFonts w:ascii="Book Antiqua" w:hAnsi="Book Antiqua"/>
                <w:lang w:val="es-ES"/>
              </w:rPr>
            </w:pPr>
            <w:r w:rsidRPr="00422F87">
              <w:rPr>
                <w:rFonts w:ascii="Book Antiqua" w:hAnsi="Book Antiqua"/>
                <w:lang w:val="es-ES"/>
              </w:rPr>
              <w:tab/>
              <w:t xml:space="preserve">      Ordinaria</w:t>
            </w:r>
          </w:p>
          <w:p w14:paraId="640FD190" w14:textId="77777777" w:rsidR="007535BB" w:rsidRPr="00422F87" w:rsidRDefault="007535BB" w:rsidP="00D95836">
            <w:pPr>
              <w:jc w:val="center"/>
              <w:rPr>
                <w:rFonts w:ascii="Book Antiqua" w:hAnsi="Book Antiqua"/>
                <w:sz w:val="36"/>
                <w:lang w:val="es-ES"/>
              </w:rPr>
            </w:pPr>
          </w:p>
        </w:tc>
      </w:tr>
    </w:tbl>
    <w:bookmarkEnd w:id="0"/>
    <w:p w14:paraId="44DF1C72" w14:textId="77777777" w:rsidR="007535BB" w:rsidRPr="00422F87" w:rsidRDefault="007535BB" w:rsidP="0027212A">
      <w:pPr>
        <w:spacing w:line="360" w:lineRule="auto"/>
        <w:jc w:val="center"/>
        <w:rPr>
          <w:rFonts w:ascii="Book Antiqua" w:hAnsi="Book Antiqua"/>
          <w:b/>
          <w:sz w:val="36"/>
          <w:lang w:val="es-ES"/>
        </w:rPr>
      </w:pPr>
      <w:r w:rsidRPr="00422F87">
        <w:rPr>
          <w:rFonts w:ascii="Book Antiqua" w:hAnsi="Book Antiqua"/>
          <w:b/>
          <w:sz w:val="36"/>
          <w:lang w:val="es-ES"/>
        </w:rPr>
        <w:t>SENADO DE PUERTO RICO</w:t>
      </w:r>
      <w:bookmarkEnd w:id="1"/>
    </w:p>
    <w:p w14:paraId="3E53146F" w14:textId="19FCCB4C" w:rsidR="007535BB" w:rsidRPr="00422F87" w:rsidRDefault="007535BB" w:rsidP="0027212A">
      <w:pPr>
        <w:spacing w:line="360" w:lineRule="auto"/>
        <w:jc w:val="center"/>
        <w:rPr>
          <w:rFonts w:ascii="Book Antiqua" w:hAnsi="Book Antiqua"/>
          <w:b/>
          <w:sz w:val="52"/>
          <w:lang w:val="es-ES"/>
        </w:rPr>
      </w:pPr>
      <w:r w:rsidRPr="00422F87">
        <w:rPr>
          <w:rFonts w:ascii="Book Antiqua" w:hAnsi="Book Antiqua"/>
          <w:b/>
          <w:sz w:val="52"/>
          <w:lang w:val="es-ES"/>
        </w:rPr>
        <w:t xml:space="preserve">P. del S. </w:t>
      </w:r>
      <w:r w:rsidR="00837344" w:rsidRPr="00422F87">
        <w:rPr>
          <w:rFonts w:ascii="Book Antiqua" w:hAnsi="Book Antiqua"/>
          <w:b/>
          <w:sz w:val="52"/>
          <w:lang w:val="es-ES"/>
        </w:rPr>
        <w:t>84</w:t>
      </w:r>
    </w:p>
    <w:p w14:paraId="1443CA0F" w14:textId="77777777" w:rsidR="007535BB" w:rsidRPr="00422F87" w:rsidRDefault="007535BB" w:rsidP="0027212A">
      <w:pPr>
        <w:spacing w:line="360" w:lineRule="auto"/>
        <w:jc w:val="center"/>
        <w:rPr>
          <w:rFonts w:ascii="Book Antiqua" w:hAnsi="Book Antiqua"/>
          <w:b/>
          <w:bCs/>
          <w:lang w:val="es-ES"/>
        </w:rPr>
      </w:pPr>
      <w:r w:rsidRPr="00422F87">
        <w:rPr>
          <w:rFonts w:ascii="Book Antiqua" w:hAnsi="Book Antiqua"/>
          <w:b/>
          <w:bCs/>
          <w:lang w:val="es-ES"/>
        </w:rPr>
        <w:t xml:space="preserve"> </w:t>
      </w:r>
      <w:bookmarkStart w:id="3" w:name="_Hlk183037684"/>
      <w:r w:rsidR="001B5218" w:rsidRPr="00422F87">
        <w:rPr>
          <w:rFonts w:ascii="Book Antiqua" w:hAnsi="Book Antiqua"/>
          <w:b/>
          <w:bCs/>
          <w:sz w:val="28"/>
          <w:szCs w:val="22"/>
          <w:lang w:val="es-ES"/>
        </w:rPr>
        <w:t xml:space="preserve">INFORME POSITIVO </w:t>
      </w:r>
    </w:p>
    <w:p w14:paraId="07AB4BDD" w14:textId="2CBE8878" w:rsidR="001B5218" w:rsidRPr="00422F87" w:rsidRDefault="00F1052D" w:rsidP="0027212A">
      <w:pPr>
        <w:spacing w:line="360" w:lineRule="auto"/>
        <w:jc w:val="center"/>
        <w:rPr>
          <w:rFonts w:ascii="Book Antiqua" w:hAnsi="Book Antiqua"/>
          <w:lang w:val="es-ES"/>
        </w:rPr>
      </w:pPr>
      <w:r>
        <w:rPr>
          <w:rFonts w:ascii="Book Antiqua" w:hAnsi="Book Antiqua"/>
          <w:lang w:val="es-ES"/>
        </w:rPr>
        <w:t>1</w:t>
      </w:r>
      <w:r w:rsidR="00F82673">
        <w:rPr>
          <w:rFonts w:ascii="Book Antiqua" w:hAnsi="Book Antiqua"/>
          <w:lang w:val="es-ES"/>
        </w:rPr>
        <w:t>4</w:t>
      </w:r>
      <w:r>
        <w:rPr>
          <w:rFonts w:ascii="Book Antiqua" w:hAnsi="Book Antiqua"/>
          <w:lang w:val="es-ES"/>
        </w:rPr>
        <w:t xml:space="preserve"> </w:t>
      </w:r>
      <w:r w:rsidR="00837344" w:rsidRPr="00422F87">
        <w:rPr>
          <w:rFonts w:ascii="Book Antiqua" w:hAnsi="Book Antiqua"/>
          <w:lang w:val="es-ES"/>
        </w:rPr>
        <w:t xml:space="preserve">de agosto </w:t>
      </w:r>
      <w:r w:rsidR="00D13D23" w:rsidRPr="00422F87">
        <w:rPr>
          <w:rFonts w:ascii="Book Antiqua" w:hAnsi="Book Antiqua"/>
          <w:lang w:val="es-ES"/>
        </w:rPr>
        <w:t>de 2025</w:t>
      </w:r>
    </w:p>
    <w:bookmarkEnd w:id="2"/>
    <w:bookmarkEnd w:id="3"/>
    <w:p w14:paraId="518A096B" w14:textId="07DCC0DC" w:rsidR="005B2884" w:rsidRPr="00422F87" w:rsidRDefault="001B5218" w:rsidP="0028310F">
      <w:pPr>
        <w:tabs>
          <w:tab w:val="left" w:pos="-720"/>
        </w:tabs>
        <w:suppressAutoHyphens/>
        <w:spacing w:before="240" w:after="240" w:line="276" w:lineRule="auto"/>
        <w:rPr>
          <w:rFonts w:ascii="Book Antiqua" w:hAnsi="Book Antiqua"/>
          <w:szCs w:val="24"/>
          <w:lang w:val="es-ES"/>
        </w:rPr>
      </w:pPr>
      <w:r w:rsidRPr="00422F87">
        <w:rPr>
          <w:rFonts w:ascii="Book Antiqua" w:hAnsi="Book Antiqua"/>
          <w:b/>
          <w:szCs w:val="24"/>
          <w:lang w:val="es-ES"/>
        </w:rPr>
        <w:t xml:space="preserve">AL SENADO DE PUERTO RICO: </w:t>
      </w:r>
    </w:p>
    <w:p w14:paraId="37982730" w14:textId="559DFBE4" w:rsidR="005B2884" w:rsidRPr="00422F87" w:rsidRDefault="00A52CD9" w:rsidP="0028310F">
      <w:pPr>
        <w:suppressAutoHyphens/>
        <w:spacing w:line="276" w:lineRule="auto"/>
        <w:jc w:val="both"/>
        <w:rPr>
          <w:rFonts w:ascii="Book Antiqua" w:hAnsi="Book Antiqua"/>
          <w:spacing w:val="-3"/>
          <w:lang w:val="es-ES"/>
        </w:rPr>
      </w:pPr>
      <w:r w:rsidRPr="00422F87">
        <w:rPr>
          <w:rFonts w:ascii="Book Antiqua" w:hAnsi="Book Antiqua"/>
          <w:spacing w:val="-3"/>
          <w:lang w:val="es-ES"/>
        </w:rPr>
        <w:t xml:space="preserve">      </w:t>
      </w:r>
      <w:r w:rsidR="009F427F" w:rsidRPr="00422F87">
        <w:rPr>
          <w:rFonts w:ascii="Book Antiqua" w:hAnsi="Book Antiqua"/>
          <w:spacing w:val="-3"/>
          <w:lang w:val="es-ES"/>
        </w:rPr>
        <w:tab/>
      </w:r>
      <w:r w:rsidR="001B5218" w:rsidRPr="00422F87">
        <w:rPr>
          <w:rFonts w:ascii="Book Antiqua" w:hAnsi="Book Antiqua"/>
          <w:spacing w:val="-3"/>
          <w:lang w:val="es-ES"/>
        </w:rPr>
        <w:t xml:space="preserve">La </w:t>
      </w:r>
      <w:r w:rsidR="00E17E3B" w:rsidRPr="00422F87">
        <w:rPr>
          <w:rFonts w:ascii="Book Antiqua" w:hAnsi="Book Antiqua"/>
          <w:spacing w:val="-3"/>
          <w:lang w:val="es-ES"/>
        </w:rPr>
        <w:t>Comisión de lo Jurídico del Senado de Puerto Rico</w:t>
      </w:r>
      <w:r w:rsidR="001B5218" w:rsidRPr="00422F87">
        <w:rPr>
          <w:rFonts w:ascii="Book Antiqua" w:hAnsi="Book Antiqua"/>
          <w:spacing w:val="-3"/>
          <w:lang w:val="es-ES"/>
        </w:rPr>
        <w:t>, previo estudio y consideración</w:t>
      </w:r>
      <w:r w:rsidR="009F427F" w:rsidRPr="00422F87">
        <w:rPr>
          <w:rFonts w:ascii="Book Antiqua" w:hAnsi="Book Antiqua"/>
          <w:spacing w:val="-3"/>
          <w:lang w:val="es-ES"/>
        </w:rPr>
        <w:t xml:space="preserve"> del </w:t>
      </w:r>
      <w:r w:rsidR="00670DF4" w:rsidRPr="00422F87">
        <w:rPr>
          <w:rFonts w:ascii="Book Antiqua" w:hAnsi="Book Antiqua"/>
          <w:spacing w:val="-3"/>
          <w:lang w:val="es-ES"/>
        </w:rPr>
        <w:t>Proyecto del Senado 84</w:t>
      </w:r>
      <w:r w:rsidR="001B5218" w:rsidRPr="00422F87">
        <w:rPr>
          <w:rFonts w:ascii="Book Antiqua" w:hAnsi="Book Antiqua"/>
          <w:spacing w:val="-3"/>
          <w:lang w:val="es-ES"/>
        </w:rPr>
        <w:t xml:space="preserve"> </w:t>
      </w:r>
      <w:r w:rsidR="009F427F" w:rsidRPr="00422F87">
        <w:rPr>
          <w:rFonts w:ascii="Book Antiqua" w:hAnsi="Book Antiqua"/>
          <w:spacing w:val="-3"/>
          <w:lang w:val="es-ES"/>
        </w:rPr>
        <w:t>recomienda a este Alto Cuerpo su</w:t>
      </w:r>
      <w:r w:rsidR="008E051A" w:rsidRPr="00422F87">
        <w:rPr>
          <w:rFonts w:ascii="Book Antiqua" w:hAnsi="Book Antiqua"/>
          <w:spacing w:val="-3"/>
          <w:lang w:val="es-ES"/>
        </w:rPr>
        <w:t xml:space="preserve"> </w:t>
      </w:r>
      <w:r w:rsidR="001B5218" w:rsidRPr="00EF4088">
        <w:rPr>
          <w:rFonts w:ascii="Book Antiqua" w:hAnsi="Book Antiqua"/>
          <w:b/>
          <w:bCs/>
          <w:spacing w:val="-3"/>
          <w:lang w:val="es-ES"/>
        </w:rPr>
        <w:t>aprobación</w:t>
      </w:r>
      <w:r w:rsidR="001B5218" w:rsidRPr="00422F87">
        <w:rPr>
          <w:rFonts w:ascii="Book Antiqua" w:hAnsi="Book Antiqua"/>
          <w:spacing w:val="-3"/>
          <w:lang w:val="es-ES"/>
        </w:rPr>
        <w:t xml:space="preserve">, con las enmiendas contenidas en el </w:t>
      </w:r>
      <w:proofErr w:type="spellStart"/>
      <w:r w:rsidR="001B5218" w:rsidRPr="00422F87">
        <w:rPr>
          <w:rFonts w:ascii="Book Antiqua" w:hAnsi="Book Antiqua"/>
          <w:spacing w:val="-3"/>
          <w:lang w:val="es-ES"/>
        </w:rPr>
        <w:t>entirillado</w:t>
      </w:r>
      <w:proofErr w:type="spellEnd"/>
      <w:r w:rsidR="001B5218" w:rsidRPr="00422F87">
        <w:rPr>
          <w:rFonts w:ascii="Book Antiqua" w:hAnsi="Book Antiqua"/>
          <w:spacing w:val="-3"/>
          <w:lang w:val="es-ES"/>
        </w:rPr>
        <w:t xml:space="preserve"> electrónico que se acompaña</w:t>
      </w:r>
      <w:r w:rsidR="00670DF4" w:rsidRPr="00422F87">
        <w:rPr>
          <w:rFonts w:ascii="Book Antiqua" w:hAnsi="Book Antiqua"/>
          <w:spacing w:val="-3"/>
          <w:lang w:val="es-ES"/>
        </w:rPr>
        <w:t>.</w:t>
      </w:r>
    </w:p>
    <w:p w14:paraId="1C36686D" w14:textId="77777777" w:rsidR="000C52A1" w:rsidRPr="00422F87" w:rsidRDefault="000C52A1" w:rsidP="0028310F">
      <w:pPr>
        <w:suppressAutoHyphens/>
        <w:spacing w:line="276" w:lineRule="auto"/>
        <w:jc w:val="both"/>
        <w:rPr>
          <w:rFonts w:ascii="Book Antiqua" w:hAnsi="Book Antiqua"/>
          <w:spacing w:val="-3"/>
          <w:lang w:val="es-ES"/>
        </w:rPr>
      </w:pPr>
    </w:p>
    <w:p w14:paraId="632423B1" w14:textId="77777777" w:rsidR="0024131E" w:rsidRPr="00422F87" w:rsidRDefault="001B5218" w:rsidP="0028310F">
      <w:pPr>
        <w:tabs>
          <w:tab w:val="left" w:pos="-720"/>
        </w:tabs>
        <w:suppressAutoHyphens/>
        <w:spacing w:line="276" w:lineRule="auto"/>
        <w:jc w:val="center"/>
        <w:rPr>
          <w:rFonts w:ascii="Book Antiqua" w:hAnsi="Book Antiqua"/>
          <w:b/>
          <w:bCs/>
          <w:szCs w:val="24"/>
          <w:lang w:val="es-ES"/>
        </w:rPr>
      </w:pPr>
      <w:r w:rsidRPr="00422F87">
        <w:rPr>
          <w:rFonts w:ascii="Book Antiqua" w:hAnsi="Book Antiqua"/>
          <w:b/>
          <w:bCs/>
          <w:szCs w:val="24"/>
          <w:lang w:val="es-ES"/>
        </w:rPr>
        <w:t xml:space="preserve">ALCANCE DE LA MEDIDA </w:t>
      </w:r>
    </w:p>
    <w:p w14:paraId="5B5C79B2" w14:textId="77777777" w:rsidR="000C52A1" w:rsidRPr="00422F87" w:rsidRDefault="000C52A1" w:rsidP="0028310F">
      <w:pPr>
        <w:tabs>
          <w:tab w:val="left" w:pos="-720"/>
        </w:tabs>
        <w:suppressAutoHyphens/>
        <w:spacing w:line="276" w:lineRule="auto"/>
        <w:rPr>
          <w:rFonts w:ascii="Book Antiqua" w:hAnsi="Book Antiqua"/>
          <w:b/>
          <w:bCs/>
          <w:szCs w:val="24"/>
          <w:lang w:val="es-ES"/>
        </w:rPr>
      </w:pPr>
    </w:p>
    <w:p w14:paraId="7C7A3389" w14:textId="4CE202EB" w:rsidR="006F51A8" w:rsidRPr="00422F87" w:rsidRDefault="009F427F" w:rsidP="0028310F">
      <w:pPr>
        <w:tabs>
          <w:tab w:val="left" w:pos="-720"/>
        </w:tabs>
        <w:suppressAutoHyphens/>
        <w:spacing w:line="276" w:lineRule="auto"/>
        <w:ind w:firstLine="360"/>
        <w:jc w:val="both"/>
        <w:rPr>
          <w:rFonts w:ascii="Book Antiqua" w:hAnsi="Book Antiqua"/>
          <w:lang w:val="es-ES"/>
        </w:rPr>
      </w:pPr>
      <w:r w:rsidRPr="00422F87">
        <w:rPr>
          <w:rFonts w:ascii="Book Antiqua" w:hAnsi="Book Antiqua"/>
          <w:lang w:val="es-ES"/>
        </w:rPr>
        <w:tab/>
      </w:r>
      <w:r w:rsidR="001B5218" w:rsidRPr="00422F87">
        <w:rPr>
          <w:rFonts w:ascii="Book Antiqua" w:hAnsi="Book Antiqua"/>
          <w:lang w:val="es-ES"/>
        </w:rPr>
        <w:t xml:space="preserve">El Proyecto del Senado </w:t>
      </w:r>
      <w:r w:rsidR="00670DF4" w:rsidRPr="00422F87">
        <w:rPr>
          <w:rFonts w:ascii="Book Antiqua" w:hAnsi="Book Antiqua"/>
          <w:lang w:val="es-ES"/>
        </w:rPr>
        <w:t>84</w:t>
      </w:r>
      <w:r w:rsidRPr="00422F87">
        <w:rPr>
          <w:rFonts w:ascii="Book Antiqua" w:hAnsi="Book Antiqua"/>
          <w:lang w:val="es-ES"/>
        </w:rPr>
        <w:t xml:space="preserve"> (en adelante, P. del S. </w:t>
      </w:r>
      <w:r w:rsidR="00670DF4" w:rsidRPr="00422F87">
        <w:rPr>
          <w:rFonts w:ascii="Book Antiqua" w:hAnsi="Book Antiqua"/>
          <w:lang w:val="es-ES"/>
        </w:rPr>
        <w:t>84</w:t>
      </w:r>
      <w:r w:rsidR="00EF4088" w:rsidRPr="00422F87">
        <w:rPr>
          <w:rFonts w:ascii="Book Antiqua" w:hAnsi="Book Antiqua"/>
          <w:lang w:val="es-ES"/>
        </w:rPr>
        <w:t>)</w:t>
      </w:r>
      <w:r w:rsidR="00EF4088" w:rsidRPr="00422F87">
        <w:rPr>
          <w:rFonts w:ascii="Book Antiqua" w:hAnsi="Book Antiqua"/>
          <w:i/>
          <w:iCs/>
          <w:lang w:val="es-ES"/>
        </w:rPr>
        <w:t>,</w:t>
      </w:r>
      <w:r w:rsidR="001B5218" w:rsidRPr="00422F87">
        <w:rPr>
          <w:rFonts w:ascii="Book Antiqua" w:hAnsi="Book Antiqua"/>
          <w:lang w:val="es-ES"/>
        </w:rPr>
        <w:t xml:space="preserve"> según radicado, tiene como propósito, </w:t>
      </w:r>
      <w:r w:rsidR="008E051A" w:rsidRPr="00422F87">
        <w:rPr>
          <w:rFonts w:ascii="Book Antiqua" w:hAnsi="Book Antiqua"/>
          <w:lang w:val="es-ES"/>
        </w:rPr>
        <w:t>“</w:t>
      </w:r>
      <w:r w:rsidR="00722EE4" w:rsidRPr="00422F87">
        <w:rPr>
          <w:rFonts w:ascii="Book Antiqua" w:hAnsi="Book Antiqua"/>
          <w:lang w:val="es-ES"/>
        </w:rPr>
        <w:t xml:space="preserve">enmendar los </w:t>
      </w:r>
      <w:bookmarkStart w:id="4" w:name="_Hlk182117729"/>
      <w:r w:rsidR="00722EE4" w:rsidRPr="00422F87">
        <w:rPr>
          <w:rFonts w:ascii="Book Antiqua" w:hAnsi="Book Antiqua"/>
          <w:lang w:val="es-ES"/>
        </w:rPr>
        <w:t xml:space="preserve">Artículos 2.8, 3.1, 3.2, 3.3, 3.4, y 3.5 </w:t>
      </w:r>
      <w:bookmarkEnd w:id="4"/>
      <w:r w:rsidR="00722EE4" w:rsidRPr="00422F87">
        <w:rPr>
          <w:rFonts w:ascii="Book Antiqua" w:hAnsi="Book Antiqua"/>
          <w:lang w:val="es-ES"/>
        </w:rPr>
        <w:t>de la Ley Núm. 54 de 15 de agosto de 1989, según enmendada, conocida como “Ley para la Prevención e Intervención con la Violencia Doméstica” a los fines de atemperar sus disposiciones y delitos al sistema de penas establecido en la Ley Núm. 146 de 30 de julio de 2012, según enmendada, conocida como “Código Penal de Puerto Rico</w:t>
      </w:r>
      <w:r w:rsidR="00A11ED0" w:rsidRPr="00422F87">
        <w:rPr>
          <w:rFonts w:ascii="Book Antiqua" w:hAnsi="Book Antiqua"/>
          <w:lang w:val="es-ES"/>
        </w:rPr>
        <w:t>”</w:t>
      </w:r>
      <w:bookmarkStart w:id="5" w:name="_Hlk194438498"/>
      <w:r w:rsidR="00722EE4" w:rsidRPr="00422F87">
        <w:rPr>
          <w:rFonts w:ascii="Book Antiqua" w:hAnsi="Book Antiqua"/>
          <w:lang w:val="es-ES"/>
        </w:rPr>
        <w:t>.</w:t>
      </w:r>
    </w:p>
    <w:bookmarkEnd w:id="5"/>
    <w:p w14:paraId="771800BC" w14:textId="77777777" w:rsidR="00A06A16" w:rsidRPr="00422F87" w:rsidRDefault="00A06A16" w:rsidP="0028310F">
      <w:pPr>
        <w:tabs>
          <w:tab w:val="left" w:pos="-720"/>
        </w:tabs>
        <w:suppressAutoHyphens/>
        <w:spacing w:line="276" w:lineRule="auto"/>
        <w:ind w:firstLine="360"/>
        <w:jc w:val="center"/>
        <w:rPr>
          <w:rFonts w:ascii="Book Antiqua" w:hAnsi="Book Antiqua"/>
          <w:b/>
          <w:bCs/>
          <w:lang w:val="es-ES"/>
        </w:rPr>
      </w:pPr>
    </w:p>
    <w:p w14:paraId="6EE110C6" w14:textId="695AAC9E" w:rsidR="006F51A8" w:rsidRPr="00422F87" w:rsidRDefault="009F427F" w:rsidP="0028310F">
      <w:pPr>
        <w:tabs>
          <w:tab w:val="left" w:pos="-720"/>
        </w:tabs>
        <w:suppressAutoHyphens/>
        <w:spacing w:line="276" w:lineRule="auto"/>
        <w:ind w:firstLine="360"/>
        <w:jc w:val="center"/>
        <w:rPr>
          <w:rFonts w:ascii="Book Antiqua" w:hAnsi="Book Antiqua"/>
          <w:b/>
          <w:bCs/>
          <w:lang w:val="es-ES"/>
        </w:rPr>
      </w:pPr>
      <w:r w:rsidRPr="00422F87">
        <w:rPr>
          <w:rFonts w:ascii="Book Antiqua" w:hAnsi="Book Antiqua"/>
          <w:b/>
          <w:bCs/>
          <w:lang w:val="es-ES"/>
        </w:rPr>
        <w:t>ANÁLISIS DE LA MEDIDA</w:t>
      </w:r>
    </w:p>
    <w:p w14:paraId="6FD2A601" w14:textId="77777777" w:rsidR="000C52A1" w:rsidRPr="00422F87" w:rsidRDefault="000C52A1" w:rsidP="0028310F">
      <w:pPr>
        <w:tabs>
          <w:tab w:val="left" w:pos="-720"/>
        </w:tabs>
        <w:suppressAutoHyphens/>
        <w:spacing w:line="276" w:lineRule="auto"/>
        <w:ind w:firstLine="360"/>
        <w:jc w:val="center"/>
        <w:rPr>
          <w:rFonts w:ascii="Book Antiqua" w:hAnsi="Book Antiqua"/>
          <w:b/>
          <w:bCs/>
          <w:lang w:val="es-ES"/>
        </w:rPr>
      </w:pPr>
    </w:p>
    <w:p w14:paraId="3A2A126A" w14:textId="49A258C0" w:rsidR="00440935" w:rsidRPr="00422F87" w:rsidRDefault="00FA220E" w:rsidP="00FA220E">
      <w:pPr>
        <w:tabs>
          <w:tab w:val="left" w:pos="-720"/>
        </w:tabs>
        <w:suppressAutoHyphens/>
        <w:spacing w:line="276" w:lineRule="auto"/>
        <w:jc w:val="both"/>
        <w:rPr>
          <w:rFonts w:ascii="Book Antiqua" w:hAnsi="Book Antiqua"/>
          <w:lang w:val="es-ES"/>
        </w:rPr>
      </w:pPr>
      <w:r>
        <w:rPr>
          <w:rFonts w:ascii="Book Antiqua" w:hAnsi="Book Antiqua"/>
          <w:lang w:val="es-ES"/>
        </w:rPr>
        <w:tab/>
      </w:r>
      <w:r w:rsidR="00440935" w:rsidRPr="00422F87">
        <w:rPr>
          <w:rFonts w:ascii="Book Antiqua" w:hAnsi="Book Antiqua"/>
          <w:lang w:val="es-ES"/>
        </w:rPr>
        <w:t xml:space="preserve">La Ley Núm. 54 de 15 de agosto de 1989, según enmendada, conocida como “Ley para la Prevención e Intervención con la Violencia Doméstica” (en adelante, la “Ley 54”) busca prevenir y combatir la violencia doméstica estableciendo delitos como maltrato, maltrato agravado, amenaza y agresión sexual conyugal, y fijando penas. También faculta a los tribunales a expedir órdenes de protección para las víctimas, con procedimientos claros y expeditos. Además, la Ley 54 asigna a la Oficina de la Procuradora de las Mujeres la responsabilidad de educar y orientar a la comunidad </w:t>
      </w:r>
      <w:r w:rsidR="00440935" w:rsidRPr="00422F87">
        <w:rPr>
          <w:rFonts w:ascii="Book Antiqua" w:hAnsi="Book Antiqua"/>
          <w:lang w:val="es-ES"/>
        </w:rPr>
        <w:lastRenderedPageBreak/>
        <w:t>sobre esta legislación y de fomentar programas de prevención y apoyo. Se abordan medidas procesales para las órdenes de protección, las consecuencias del incumplimiento, y la conducta delictiva con sus penalidades.</w:t>
      </w:r>
      <w:r w:rsidR="00246C97" w:rsidRPr="00422F87">
        <w:rPr>
          <w:rFonts w:ascii="Book Antiqua" w:hAnsi="Book Antiqua"/>
          <w:lang w:val="es-ES"/>
        </w:rPr>
        <w:tab/>
      </w:r>
    </w:p>
    <w:p w14:paraId="4935A450" w14:textId="743397F6" w:rsidR="00F03BFB" w:rsidRPr="00422F87" w:rsidRDefault="00FA220E" w:rsidP="00FA220E">
      <w:pPr>
        <w:tabs>
          <w:tab w:val="left" w:pos="-720"/>
        </w:tabs>
        <w:suppressAutoHyphens/>
        <w:spacing w:line="276" w:lineRule="auto"/>
        <w:jc w:val="both"/>
        <w:rPr>
          <w:rFonts w:ascii="Book Antiqua" w:hAnsi="Book Antiqua"/>
          <w:lang w:val="es-ES"/>
        </w:rPr>
      </w:pPr>
      <w:r>
        <w:rPr>
          <w:rFonts w:ascii="Book Antiqua" w:hAnsi="Book Antiqua"/>
          <w:lang w:val="es-ES"/>
        </w:rPr>
        <w:tab/>
      </w:r>
      <w:r w:rsidR="00F03BFB" w:rsidRPr="00422F87">
        <w:rPr>
          <w:rFonts w:ascii="Book Antiqua" w:hAnsi="Book Antiqua"/>
          <w:lang w:val="es-ES"/>
        </w:rPr>
        <w:t xml:space="preserve">Uno de los pilares de la Ley 54 es su Artículo 2.8, que aborda la seriedad con la que se toma la violación de las órdenes de protección. Se establece que cualquier infracción a sabiendas de una orden de protección emitida bajo esta Ley se castigará como delito grave de “tercer grado en su mitad inferior”. Si se concede una sentencia suspendida, los tribunales están obligados a imponer supervisión electrónica al agresor. La Ley subraya el deber de los oficiales del orden público de actuar: deben efectuar un arresto si se les presenta una orden de protección o si, mediante comunicación con las autoridades pertinentes, el patrono de la peticionaria o la compañía de seguridad, determinan que existe dicha orden y tienen motivos fundados para creer que se han violado </w:t>
      </w:r>
      <w:r w:rsidR="009A0B8B" w:rsidRPr="00422F87">
        <w:rPr>
          <w:rFonts w:ascii="Book Antiqua" w:hAnsi="Book Antiqua"/>
          <w:lang w:val="es-ES"/>
        </w:rPr>
        <w:t>las disposiciones de la orden</w:t>
      </w:r>
      <w:r w:rsidR="00F03BFB" w:rsidRPr="00422F87">
        <w:rPr>
          <w:rFonts w:ascii="Book Antiqua" w:hAnsi="Book Antiqua"/>
          <w:lang w:val="es-ES"/>
        </w:rPr>
        <w:t xml:space="preserve">. Esta obligación de arresto aplica incluso si la violación no ocurrió en presencia del oficial y sin necesidad de una orden de arresto previa. </w:t>
      </w:r>
      <w:r w:rsidR="009208F4" w:rsidRPr="00422F87">
        <w:rPr>
          <w:rFonts w:ascii="Book Antiqua" w:hAnsi="Book Antiqua"/>
          <w:lang w:val="es-ES"/>
        </w:rPr>
        <w:t xml:space="preserve">La pena dispuesta </w:t>
      </w:r>
      <w:r w:rsidR="00F03BFB" w:rsidRPr="00422F87">
        <w:rPr>
          <w:rFonts w:ascii="Book Antiqua" w:hAnsi="Book Antiqua"/>
          <w:lang w:val="es-ES"/>
        </w:rPr>
        <w:t>en el Artículo 2.8, junto con la imposición obligatoria de supervisión electrónica en sentencias suspendidas, busca disuadir la reincidencia y asegurar la protección de las víctimas.</w:t>
      </w:r>
    </w:p>
    <w:p w14:paraId="29ED777E" w14:textId="7A59ACE1" w:rsidR="00F03BFB" w:rsidRPr="00422F87" w:rsidRDefault="00FA220E" w:rsidP="00FA220E">
      <w:pPr>
        <w:tabs>
          <w:tab w:val="left" w:pos="-720"/>
        </w:tabs>
        <w:suppressAutoHyphens/>
        <w:spacing w:line="276" w:lineRule="auto"/>
        <w:jc w:val="both"/>
        <w:rPr>
          <w:rFonts w:ascii="Book Antiqua" w:hAnsi="Book Antiqua"/>
          <w:lang w:val="es-ES"/>
        </w:rPr>
      </w:pPr>
      <w:r>
        <w:rPr>
          <w:rFonts w:ascii="Book Antiqua" w:hAnsi="Book Antiqua"/>
          <w:lang w:val="es-ES"/>
        </w:rPr>
        <w:tab/>
      </w:r>
      <w:r w:rsidR="00F03BFB" w:rsidRPr="00422F87">
        <w:rPr>
          <w:rFonts w:ascii="Book Antiqua" w:hAnsi="Book Antiqua"/>
          <w:lang w:val="es-ES"/>
        </w:rPr>
        <w:t xml:space="preserve">El Artículo 3.1 </w:t>
      </w:r>
      <w:r w:rsidR="00126F68" w:rsidRPr="00422F87">
        <w:rPr>
          <w:rFonts w:ascii="Book Antiqua" w:hAnsi="Book Antiqua"/>
          <w:lang w:val="es-ES"/>
        </w:rPr>
        <w:t xml:space="preserve">de la Ley 54 </w:t>
      </w:r>
      <w:r w:rsidR="00F03BFB" w:rsidRPr="00422F87">
        <w:rPr>
          <w:rFonts w:ascii="Book Antiqua" w:hAnsi="Book Antiqua"/>
          <w:lang w:val="es-ES"/>
        </w:rPr>
        <w:t xml:space="preserve">define el delito de maltrato, que ocurre cuando una persona emplea fuerza física, violencia psicológica o económica, intimidación o persecución contra su cónyuge, ex-cónyuge, cohabitante, o persona con la que ha procreado un hijo o </w:t>
      </w:r>
      <w:r w:rsidR="002D4E50" w:rsidRPr="00422F87">
        <w:rPr>
          <w:rFonts w:ascii="Book Antiqua" w:hAnsi="Book Antiqua"/>
          <w:lang w:val="es-ES"/>
        </w:rPr>
        <w:t xml:space="preserve">haya </w:t>
      </w:r>
      <w:r w:rsidR="00F03BFB" w:rsidRPr="00422F87">
        <w:rPr>
          <w:rFonts w:ascii="Book Antiqua" w:hAnsi="Book Antiqua"/>
          <w:lang w:val="es-ES"/>
        </w:rPr>
        <w:t xml:space="preserve">sostenido una relación consensual. Esta definición es </w:t>
      </w:r>
      <w:r w:rsidR="00126F68" w:rsidRPr="00422F87">
        <w:rPr>
          <w:rFonts w:ascii="Book Antiqua" w:hAnsi="Book Antiqua"/>
          <w:lang w:val="es-ES"/>
        </w:rPr>
        <w:t>amplia</w:t>
      </w:r>
      <w:r w:rsidR="00F03BFB" w:rsidRPr="00422F87">
        <w:rPr>
          <w:rFonts w:ascii="Book Antiqua" w:hAnsi="Book Antiqua"/>
          <w:lang w:val="es-ES"/>
        </w:rPr>
        <w:t xml:space="preserve">, aplicando independientemente del sexo, estado civil, orientación sexual, identidad de género o estatus migratorio de las personas involucradas. El propósito de </w:t>
      </w:r>
      <w:r w:rsidR="00126F68" w:rsidRPr="00422F87">
        <w:rPr>
          <w:rFonts w:ascii="Book Antiqua" w:hAnsi="Book Antiqua"/>
          <w:lang w:val="es-ES"/>
        </w:rPr>
        <w:t>este artículo es incluir conductas delictivas como</w:t>
      </w:r>
      <w:r w:rsidR="00F03BFB" w:rsidRPr="00422F87">
        <w:rPr>
          <w:rFonts w:ascii="Book Antiqua" w:hAnsi="Book Antiqua"/>
          <w:lang w:val="es-ES"/>
        </w:rPr>
        <w:t xml:space="preserve"> causar daño físico a la persona, a su animal de compañía/mascota, a bienes apreciados (excepto los del ofensor), o grave daño emocional. Un aspecto fundamental de este delito es que no es necesaria la prueba de un patrón de conducta para que se configure. La pena para este delito es de delito grave de </w:t>
      </w:r>
      <w:r w:rsidR="00126F68" w:rsidRPr="00422F87">
        <w:rPr>
          <w:rFonts w:ascii="Book Antiqua" w:hAnsi="Book Antiqua"/>
          <w:lang w:val="es-ES"/>
        </w:rPr>
        <w:t>“</w:t>
      </w:r>
      <w:r w:rsidR="00F03BFB" w:rsidRPr="00422F87">
        <w:rPr>
          <w:rFonts w:ascii="Book Antiqua" w:hAnsi="Book Antiqua"/>
          <w:lang w:val="es-ES"/>
        </w:rPr>
        <w:t>cuarto grado en su mitad superior</w:t>
      </w:r>
      <w:r w:rsidR="00126F68" w:rsidRPr="00422F87">
        <w:rPr>
          <w:rFonts w:ascii="Book Antiqua" w:hAnsi="Book Antiqua"/>
          <w:lang w:val="es-ES"/>
        </w:rPr>
        <w:t>”</w:t>
      </w:r>
      <w:r w:rsidR="00F03BFB" w:rsidRPr="00422F87">
        <w:rPr>
          <w:rFonts w:ascii="Book Antiqua" w:hAnsi="Book Antiqua"/>
          <w:lang w:val="es-ES"/>
        </w:rPr>
        <w:t>, y el tribunal puede imponer adicionalmente la pena de restitución. La violencia psicológica se especifica para incluir el uso de cualquier comunicación electrónica o digital (como mensajes de texto, correos de voz</w:t>
      </w:r>
      <w:r w:rsidR="00126F68" w:rsidRPr="00422F87">
        <w:rPr>
          <w:rFonts w:ascii="Book Antiqua" w:hAnsi="Book Antiqua"/>
          <w:lang w:val="es-ES"/>
        </w:rPr>
        <w:t xml:space="preserve">, correos </w:t>
      </w:r>
      <w:r w:rsidR="00F03BFB" w:rsidRPr="00422F87">
        <w:rPr>
          <w:rFonts w:ascii="Book Antiqua" w:hAnsi="Book Antiqua"/>
          <w:lang w:val="es-ES"/>
        </w:rPr>
        <w:t>electrónicos, redes sociales o sistemas de rastreo satelital) con el fin de acosar, perseguir, intimidar o afligir a la persona en la relación de pareja, y tampoco requiere un patrón de conducta para su constitución.</w:t>
      </w:r>
    </w:p>
    <w:p w14:paraId="0824CAC2" w14:textId="5D4A1EF6" w:rsidR="0077735E" w:rsidRDefault="00FA220E" w:rsidP="00FA220E">
      <w:pPr>
        <w:tabs>
          <w:tab w:val="left" w:pos="-720"/>
        </w:tabs>
        <w:suppressAutoHyphens/>
        <w:spacing w:line="276" w:lineRule="auto"/>
        <w:jc w:val="both"/>
        <w:rPr>
          <w:rFonts w:ascii="Book Antiqua" w:hAnsi="Book Antiqua"/>
          <w:lang w:val="es-ES"/>
        </w:rPr>
      </w:pPr>
      <w:r>
        <w:rPr>
          <w:rFonts w:ascii="Book Antiqua" w:hAnsi="Book Antiqua"/>
          <w:lang w:val="es-ES"/>
        </w:rPr>
        <w:tab/>
      </w:r>
      <w:r w:rsidR="00F03BFB" w:rsidRPr="00422F87">
        <w:rPr>
          <w:rFonts w:ascii="Book Antiqua" w:hAnsi="Book Antiqua"/>
          <w:lang w:val="es-ES"/>
        </w:rPr>
        <w:t xml:space="preserve">Por su parte, el Artículo </w:t>
      </w:r>
      <w:r w:rsidR="00126F68" w:rsidRPr="00422F87">
        <w:rPr>
          <w:rFonts w:ascii="Book Antiqua" w:hAnsi="Book Antiqua"/>
          <w:lang w:val="es-ES"/>
        </w:rPr>
        <w:t xml:space="preserve">3.2 de la Ley 54 </w:t>
      </w:r>
      <w:r w:rsidR="00F03BFB" w:rsidRPr="00422F87">
        <w:rPr>
          <w:rFonts w:ascii="Book Antiqua" w:hAnsi="Book Antiqua"/>
          <w:lang w:val="es-ES"/>
        </w:rPr>
        <w:t>eleva la gravedad de la pena cuando el maltrato se comete bajo circunstancias específicas</w:t>
      </w:r>
      <w:r w:rsidR="0077735E" w:rsidRPr="00422F87">
        <w:rPr>
          <w:rFonts w:ascii="Book Antiqua" w:hAnsi="Book Antiqua"/>
          <w:lang w:val="es-ES"/>
        </w:rPr>
        <w:t xml:space="preserve"> tipificadas en el texto de la Ley</w:t>
      </w:r>
      <w:r w:rsidR="00F03BFB" w:rsidRPr="00422F87">
        <w:rPr>
          <w:rFonts w:ascii="Book Antiqua" w:hAnsi="Book Antiqua"/>
          <w:lang w:val="es-ES"/>
        </w:rPr>
        <w:t xml:space="preserve">. La pena impuesta es la de delito grave </w:t>
      </w:r>
      <w:r w:rsidR="0077735E" w:rsidRPr="00422F87">
        <w:rPr>
          <w:rFonts w:ascii="Book Antiqua" w:hAnsi="Book Antiqua"/>
          <w:lang w:val="es-ES"/>
        </w:rPr>
        <w:t>“</w:t>
      </w:r>
      <w:r w:rsidR="00F03BFB" w:rsidRPr="00422F87">
        <w:rPr>
          <w:rFonts w:ascii="Book Antiqua" w:hAnsi="Book Antiqua"/>
          <w:lang w:val="es-ES"/>
        </w:rPr>
        <w:t>de tercer grado en su mitad inferior</w:t>
      </w:r>
      <w:r w:rsidR="0077735E" w:rsidRPr="00422F87">
        <w:rPr>
          <w:rFonts w:ascii="Book Antiqua" w:hAnsi="Book Antiqua"/>
          <w:lang w:val="es-ES"/>
        </w:rPr>
        <w:t>”</w:t>
      </w:r>
      <w:r w:rsidR="00F03BFB" w:rsidRPr="00422F87">
        <w:rPr>
          <w:rFonts w:ascii="Book Antiqua" w:hAnsi="Book Antiqua"/>
          <w:lang w:val="es-ES"/>
        </w:rPr>
        <w:t xml:space="preserve"> cuando el maltrato ocurre con una o más de las siguientes circunstancias agravantes:</w:t>
      </w:r>
    </w:p>
    <w:p w14:paraId="3FB3C02E" w14:textId="77777777" w:rsidR="006043F3" w:rsidRPr="00422F87" w:rsidRDefault="006043F3" w:rsidP="00FA220E">
      <w:pPr>
        <w:tabs>
          <w:tab w:val="left" w:pos="-720"/>
        </w:tabs>
        <w:suppressAutoHyphens/>
        <w:spacing w:line="276" w:lineRule="auto"/>
        <w:jc w:val="both"/>
        <w:rPr>
          <w:rFonts w:ascii="Book Antiqua" w:hAnsi="Book Antiqua"/>
          <w:lang w:val="es-ES"/>
        </w:rPr>
      </w:pPr>
    </w:p>
    <w:p w14:paraId="51365DED" w14:textId="77777777" w:rsidR="00CC29A3"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Penetrar en la morada o lugar de albergue de la víctima y cometer maltrato allí, especialmente si hay separación o una orden de protección de desalojo.</w:t>
      </w:r>
    </w:p>
    <w:p w14:paraId="7B5A6784" w14:textId="77777777" w:rsidR="00CC29A3"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Causar grave daño corporal a la persona.</w:t>
      </w:r>
    </w:p>
    <w:p w14:paraId="5AD84E7E" w14:textId="77777777" w:rsidR="00CC29A3"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Cometerlo con un arma mortífera sin intención de matar o mutilar.</w:t>
      </w:r>
    </w:p>
    <w:p w14:paraId="2BE67DF4" w14:textId="77777777" w:rsidR="00CC29A3"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Cometerlo en presencia de menores de edad.</w:t>
      </w:r>
    </w:p>
    <w:p w14:paraId="040D377B" w14:textId="77777777" w:rsidR="00CC29A3"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Cometerlo después de que medie una orden de protección o resolución contra el acusado.</w:t>
      </w:r>
    </w:p>
    <w:p w14:paraId="27D132D1" w14:textId="77777777" w:rsidR="001322A0"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Inducir u obligar a la persona a drogarse o intoxicarse con sustancias que alteren su voluntad.</w:t>
      </w:r>
    </w:p>
    <w:p w14:paraId="189FC6D7" w14:textId="77777777" w:rsidR="001322A0"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Cometerlo simultáneamente con maltrato a un menor.</w:t>
      </w:r>
    </w:p>
    <w:p w14:paraId="28D5B7AF" w14:textId="77777777" w:rsidR="00FA153B"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Obligar o inducir a la víctima a participar en relaciones sexuales no deseadas con terceros.</w:t>
      </w:r>
    </w:p>
    <w:p w14:paraId="17823CB8" w14:textId="77777777" w:rsidR="00FA153B"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Cometerlo contra una mujer embarazada.</w:t>
      </w:r>
    </w:p>
    <w:p w14:paraId="179BF254" w14:textId="77777777" w:rsidR="00FA153B"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Cometerlo contra una persona menor de dieciséis (16) años si el agresor tiene dieciocho (18) años o más.</w:t>
      </w:r>
    </w:p>
    <w:p w14:paraId="2A1CB124" w14:textId="77777777" w:rsidR="00FA153B"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Torturar o dar muerte a un animal de compañía o mascota de la víctima o de sus hijos.</w:t>
      </w:r>
    </w:p>
    <w:p w14:paraId="720DC100" w14:textId="77777777" w:rsidR="00FA153B" w:rsidRPr="00422F87" w:rsidRDefault="00F03BFB" w:rsidP="0028310F">
      <w:pPr>
        <w:pStyle w:val="ListParagraph"/>
        <w:numPr>
          <w:ilvl w:val="0"/>
          <w:numId w:val="7"/>
        </w:numPr>
        <w:tabs>
          <w:tab w:val="left" w:pos="-720"/>
        </w:tabs>
        <w:suppressAutoHyphens/>
        <w:spacing w:line="276" w:lineRule="auto"/>
        <w:jc w:val="both"/>
        <w:rPr>
          <w:rFonts w:ascii="Book Antiqua" w:hAnsi="Book Antiqua"/>
          <w:lang w:val="es-ES"/>
        </w:rPr>
      </w:pPr>
      <w:r w:rsidRPr="00422F87">
        <w:rPr>
          <w:rFonts w:ascii="Book Antiqua" w:hAnsi="Book Antiqua"/>
          <w:lang w:val="es-ES"/>
        </w:rPr>
        <w:t xml:space="preserve">Utilizar un dispositivo tecnológico para monitorear la ubicación o movimiento de una persona o su propiedad sin autorización expresa. </w:t>
      </w:r>
    </w:p>
    <w:p w14:paraId="2C9B3AA0" w14:textId="5A24DD1F" w:rsidR="00FA153B" w:rsidRPr="00422F87" w:rsidRDefault="00FA153B" w:rsidP="0028310F">
      <w:pPr>
        <w:tabs>
          <w:tab w:val="left" w:pos="-720"/>
        </w:tabs>
        <w:suppressAutoHyphens/>
        <w:spacing w:line="276" w:lineRule="auto"/>
        <w:ind w:left="720"/>
        <w:jc w:val="both"/>
        <w:rPr>
          <w:rFonts w:ascii="Book Antiqua" w:hAnsi="Book Antiqua"/>
          <w:lang w:val="es-ES"/>
        </w:rPr>
      </w:pPr>
    </w:p>
    <w:p w14:paraId="15170E12" w14:textId="77777777" w:rsidR="00FA153B" w:rsidRPr="00422F87" w:rsidRDefault="00FA153B" w:rsidP="0028310F">
      <w:pPr>
        <w:tabs>
          <w:tab w:val="left" w:pos="-720"/>
        </w:tabs>
        <w:suppressAutoHyphens/>
        <w:spacing w:line="276" w:lineRule="auto"/>
        <w:jc w:val="both"/>
        <w:rPr>
          <w:rFonts w:ascii="Book Antiqua" w:hAnsi="Book Antiqua"/>
          <w:lang w:val="es-ES"/>
        </w:rPr>
      </w:pPr>
      <w:r w:rsidRPr="00422F87">
        <w:rPr>
          <w:rFonts w:ascii="Book Antiqua" w:hAnsi="Book Antiqua"/>
          <w:lang w:val="es-ES"/>
        </w:rPr>
        <w:tab/>
      </w:r>
      <w:r w:rsidR="00F03BFB" w:rsidRPr="00422F87">
        <w:rPr>
          <w:rFonts w:ascii="Book Antiqua" w:hAnsi="Book Antiqua"/>
          <w:lang w:val="es-ES"/>
        </w:rPr>
        <w:t>Al igual que en el maltrato simple, el tribunal puede imponer la pena de restitución además de la reclusión. La intención es que las penas de maltrato agravado reflejen la gravedad de la conducta y la especial vulnerabilidad de la víctima.</w:t>
      </w:r>
    </w:p>
    <w:p w14:paraId="7462EBE6" w14:textId="77777777" w:rsidR="003F6904" w:rsidRPr="00422F87" w:rsidRDefault="00FA153B" w:rsidP="0028310F">
      <w:pPr>
        <w:tabs>
          <w:tab w:val="left" w:pos="-720"/>
        </w:tabs>
        <w:suppressAutoHyphens/>
        <w:spacing w:line="276" w:lineRule="auto"/>
        <w:jc w:val="both"/>
        <w:rPr>
          <w:rFonts w:ascii="Book Antiqua" w:hAnsi="Book Antiqua"/>
          <w:lang w:val="es-ES"/>
        </w:rPr>
      </w:pPr>
      <w:r w:rsidRPr="00422F87">
        <w:rPr>
          <w:rFonts w:ascii="Book Antiqua" w:hAnsi="Book Antiqua"/>
          <w:lang w:val="es-ES"/>
        </w:rPr>
        <w:tab/>
      </w:r>
      <w:r w:rsidR="00F03BFB" w:rsidRPr="00422F87">
        <w:rPr>
          <w:rFonts w:ascii="Book Antiqua" w:hAnsi="Book Antiqua"/>
          <w:lang w:val="es-ES"/>
        </w:rPr>
        <w:t>El delito de maltrato mediante amenaza, establecido en el Artículo 3.3</w:t>
      </w:r>
      <w:r w:rsidRPr="00422F87">
        <w:rPr>
          <w:rFonts w:ascii="Book Antiqua" w:hAnsi="Book Antiqua"/>
          <w:lang w:val="es-ES"/>
        </w:rPr>
        <w:t xml:space="preserve"> de la Ley 54</w:t>
      </w:r>
      <w:r w:rsidR="00F03BFB" w:rsidRPr="00422F87">
        <w:rPr>
          <w:rFonts w:ascii="Book Antiqua" w:hAnsi="Book Antiqua"/>
          <w:lang w:val="es-ES"/>
        </w:rPr>
        <w:t xml:space="preserve">, se configura cuando una persona amenaza con causar daño a su cónyuge, ex-cónyuge, cohabitante, o a la persona con quien ha procreado un hijo o sostenido una relación consensual. También se considera maltrato mediante amenaza si la amenaza es dirigida a causar daño a bienes apreciados por la víctima (excepto los del ofensor), a otra persona, o a un animal o mascota. La pena establecida para este delito es de delito grave </w:t>
      </w:r>
      <w:r w:rsidR="003F6904" w:rsidRPr="00422F87">
        <w:rPr>
          <w:rFonts w:ascii="Book Antiqua" w:hAnsi="Book Antiqua"/>
          <w:lang w:val="es-ES"/>
        </w:rPr>
        <w:t>“</w:t>
      </w:r>
      <w:r w:rsidR="00F03BFB" w:rsidRPr="00422F87">
        <w:rPr>
          <w:rFonts w:ascii="Book Antiqua" w:hAnsi="Book Antiqua"/>
          <w:lang w:val="es-ES"/>
        </w:rPr>
        <w:t>de cuarto grado en su mitad superior</w:t>
      </w:r>
      <w:r w:rsidR="003F6904" w:rsidRPr="00422F87">
        <w:rPr>
          <w:rFonts w:ascii="Book Antiqua" w:hAnsi="Book Antiqua"/>
          <w:lang w:val="es-ES"/>
        </w:rPr>
        <w:t>”</w:t>
      </w:r>
      <w:r w:rsidR="00F03BFB" w:rsidRPr="00422F87">
        <w:rPr>
          <w:rFonts w:ascii="Book Antiqua" w:hAnsi="Book Antiqua"/>
          <w:lang w:val="es-ES"/>
        </w:rPr>
        <w:t>, y el tribunal puede añadir la pena de restitución. Es importante destacar que la amenaza puede realizarse a través de cualquier tipo de comunicación electrónica o digital, incluyendo mensajes de texto, correos de voz, correos electrónicos o redes sociales.</w:t>
      </w:r>
    </w:p>
    <w:p w14:paraId="7D24B098" w14:textId="1BDC9027" w:rsidR="00F03BFB" w:rsidRPr="00422F87" w:rsidRDefault="003F6904" w:rsidP="0028310F">
      <w:pPr>
        <w:tabs>
          <w:tab w:val="left" w:pos="-720"/>
        </w:tabs>
        <w:suppressAutoHyphens/>
        <w:spacing w:line="276" w:lineRule="auto"/>
        <w:jc w:val="both"/>
        <w:rPr>
          <w:rFonts w:ascii="Book Antiqua" w:hAnsi="Book Antiqua"/>
          <w:lang w:val="es-ES"/>
        </w:rPr>
      </w:pPr>
      <w:r w:rsidRPr="00422F87">
        <w:rPr>
          <w:rFonts w:ascii="Book Antiqua" w:hAnsi="Book Antiqua"/>
          <w:lang w:val="es-ES"/>
        </w:rPr>
        <w:tab/>
      </w:r>
      <w:r w:rsidR="00F03BFB" w:rsidRPr="00422F87">
        <w:rPr>
          <w:rFonts w:ascii="Book Antiqua" w:hAnsi="Book Antiqua"/>
          <w:lang w:val="es-ES"/>
        </w:rPr>
        <w:t xml:space="preserve">El Artículo 3.4 </w:t>
      </w:r>
      <w:r w:rsidRPr="00422F87">
        <w:rPr>
          <w:rFonts w:ascii="Book Antiqua" w:hAnsi="Book Antiqua"/>
          <w:lang w:val="es-ES"/>
        </w:rPr>
        <w:t xml:space="preserve">de la Ley 54 </w:t>
      </w:r>
      <w:r w:rsidR="00F03BFB" w:rsidRPr="00422F87">
        <w:rPr>
          <w:rFonts w:ascii="Book Antiqua" w:hAnsi="Book Antiqua"/>
          <w:lang w:val="es-ES"/>
        </w:rPr>
        <w:t xml:space="preserve">tipifica el delito de restricción de la libertad. Se comete cuando una persona utiliza violencia o intimidación contra su cónyuge, ex-cónyuge, cohabitante, o la persona con quien ha procreado un hijo o sostenido una </w:t>
      </w:r>
      <w:r w:rsidR="00F03BFB" w:rsidRPr="00422F87">
        <w:rPr>
          <w:rFonts w:ascii="Book Antiqua" w:hAnsi="Book Antiqua"/>
          <w:lang w:val="es-ES"/>
        </w:rPr>
        <w:lastRenderedPageBreak/>
        <w:t xml:space="preserve">relación consensual, para restringir su libertad. Adicionalmente, el delito se configura si se utiliza el pretexto de que la víctima padece una enfermedad o defecto mental para dicha restricción, con conocimiento de la víctima. La pena para este delito es de delito grave </w:t>
      </w:r>
      <w:r w:rsidR="00713499" w:rsidRPr="00422F87">
        <w:rPr>
          <w:rFonts w:ascii="Book Antiqua" w:hAnsi="Book Antiqua"/>
          <w:lang w:val="es-ES"/>
        </w:rPr>
        <w:t>“</w:t>
      </w:r>
      <w:r w:rsidR="00F03BFB" w:rsidRPr="00422F87">
        <w:rPr>
          <w:rFonts w:ascii="Book Antiqua" w:hAnsi="Book Antiqua"/>
          <w:lang w:val="es-ES"/>
        </w:rPr>
        <w:t>de tercer grado en su mitad inferior</w:t>
      </w:r>
      <w:r w:rsidR="00713499" w:rsidRPr="00422F87">
        <w:rPr>
          <w:rFonts w:ascii="Book Antiqua" w:hAnsi="Book Antiqua"/>
          <w:lang w:val="es-ES"/>
        </w:rPr>
        <w:t>”</w:t>
      </w:r>
      <w:r w:rsidR="00F03BFB" w:rsidRPr="00422F87">
        <w:rPr>
          <w:rFonts w:ascii="Book Antiqua" w:hAnsi="Book Antiqua"/>
          <w:lang w:val="es-ES"/>
        </w:rPr>
        <w:t>, y el tribunal también puede imponer la pena de restitución.</w:t>
      </w:r>
    </w:p>
    <w:p w14:paraId="0397BAF2" w14:textId="30D4CFA0" w:rsidR="00F03BFB" w:rsidRDefault="00FA220E" w:rsidP="00FA220E">
      <w:pPr>
        <w:tabs>
          <w:tab w:val="left" w:pos="-720"/>
        </w:tabs>
        <w:suppressAutoHyphens/>
        <w:spacing w:line="276" w:lineRule="auto"/>
        <w:jc w:val="both"/>
        <w:rPr>
          <w:rFonts w:ascii="Book Antiqua" w:hAnsi="Book Antiqua"/>
          <w:lang w:val="es-ES"/>
        </w:rPr>
      </w:pPr>
      <w:r>
        <w:rPr>
          <w:rFonts w:ascii="Book Antiqua" w:hAnsi="Book Antiqua"/>
          <w:lang w:val="es-ES"/>
        </w:rPr>
        <w:tab/>
      </w:r>
      <w:r w:rsidR="00F03BFB" w:rsidRPr="00422F87">
        <w:rPr>
          <w:rFonts w:ascii="Book Antiqua" w:hAnsi="Book Antiqua"/>
          <w:lang w:val="es-ES"/>
        </w:rPr>
        <w:t xml:space="preserve">Finalmente, el Artículo 3.5 penaliza a toda persona que incurra en una relación sexual no consentida con su cónyuge, ex-cónyuge, cohabitante, o la persona con quien ha procreado un hijo o sostenido una relación consensual. Esto aplica sin distinción de sexo, estado civil, orientación sexual, identidad de género o estatus migratorio. Las circunstancias bajo las cuales se considera </w:t>
      </w:r>
      <w:r w:rsidR="00792B6F">
        <w:rPr>
          <w:rFonts w:ascii="Book Antiqua" w:hAnsi="Book Antiqua"/>
          <w:lang w:val="es-ES"/>
        </w:rPr>
        <w:t>el</w:t>
      </w:r>
      <w:r w:rsidR="00F03BFB" w:rsidRPr="00422F87">
        <w:rPr>
          <w:rFonts w:ascii="Book Antiqua" w:hAnsi="Book Antiqua"/>
          <w:lang w:val="es-ES"/>
        </w:rPr>
        <w:t xml:space="preserve"> delito </w:t>
      </w:r>
      <w:r w:rsidR="00470BF0">
        <w:rPr>
          <w:rFonts w:ascii="Book Antiqua" w:hAnsi="Book Antiqua"/>
          <w:lang w:val="es-ES"/>
        </w:rPr>
        <w:t xml:space="preserve">de agresión sexual conyugal </w:t>
      </w:r>
      <w:r w:rsidR="00F03BFB" w:rsidRPr="00422F87">
        <w:rPr>
          <w:rFonts w:ascii="Book Antiqua" w:hAnsi="Book Antiqua"/>
          <w:lang w:val="es-ES"/>
        </w:rPr>
        <w:t>incluyen:</w:t>
      </w:r>
    </w:p>
    <w:p w14:paraId="160B8249" w14:textId="77777777" w:rsidR="006043F3" w:rsidRPr="00422F87" w:rsidRDefault="006043F3" w:rsidP="00FA220E">
      <w:pPr>
        <w:tabs>
          <w:tab w:val="left" w:pos="-720"/>
        </w:tabs>
        <w:suppressAutoHyphens/>
        <w:spacing w:line="276" w:lineRule="auto"/>
        <w:jc w:val="both"/>
        <w:rPr>
          <w:rFonts w:ascii="Book Antiqua" w:hAnsi="Book Antiqua"/>
          <w:lang w:val="es-ES"/>
        </w:rPr>
      </w:pPr>
    </w:p>
    <w:p w14:paraId="3B70EC57" w14:textId="77777777" w:rsidR="00A501D7" w:rsidRPr="00422F87" w:rsidRDefault="00F03BFB" w:rsidP="0028310F">
      <w:pPr>
        <w:pStyle w:val="ListParagraph"/>
        <w:numPr>
          <w:ilvl w:val="0"/>
          <w:numId w:val="8"/>
        </w:numPr>
        <w:tabs>
          <w:tab w:val="left" w:pos="-720"/>
        </w:tabs>
        <w:suppressAutoHyphens/>
        <w:spacing w:line="276" w:lineRule="auto"/>
        <w:jc w:val="both"/>
        <w:rPr>
          <w:rFonts w:ascii="Book Antiqua" w:hAnsi="Book Antiqua"/>
          <w:lang w:val="es-ES"/>
        </w:rPr>
      </w:pPr>
      <w:r w:rsidRPr="00422F87">
        <w:rPr>
          <w:rFonts w:ascii="Book Antiqua" w:hAnsi="Book Antiqua"/>
          <w:lang w:val="es-ES"/>
        </w:rPr>
        <w:t>Compele a la relación sexual mediante fuerza, violencia, intimidación o amenaza de grave e inmediato daño corporal.</w:t>
      </w:r>
    </w:p>
    <w:p w14:paraId="5927A41E" w14:textId="77777777" w:rsidR="00A501D7" w:rsidRPr="00422F87" w:rsidRDefault="00F03BFB" w:rsidP="0028310F">
      <w:pPr>
        <w:pStyle w:val="ListParagraph"/>
        <w:numPr>
          <w:ilvl w:val="0"/>
          <w:numId w:val="8"/>
        </w:numPr>
        <w:tabs>
          <w:tab w:val="left" w:pos="-720"/>
        </w:tabs>
        <w:suppressAutoHyphens/>
        <w:spacing w:line="276" w:lineRule="auto"/>
        <w:jc w:val="both"/>
        <w:rPr>
          <w:rFonts w:ascii="Book Antiqua" w:hAnsi="Book Antiqua"/>
          <w:lang w:val="es-ES"/>
        </w:rPr>
      </w:pPr>
      <w:r w:rsidRPr="00422F87">
        <w:rPr>
          <w:rFonts w:ascii="Book Antiqua" w:hAnsi="Book Antiqua"/>
          <w:lang w:val="es-ES"/>
        </w:rPr>
        <w:t>La capacidad de consentir fue anulada o disminuida sustancialmente sin su conocimiento o consentimiento, mediante el uso de medios hipnóticos, narcóticos, depresores, estimulantes o sustancias similares.</w:t>
      </w:r>
    </w:p>
    <w:p w14:paraId="68B4396F" w14:textId="77777777" w:rsidR="008E6EBC" w:rsidRPr="00422F87" w:rsidRDefault="00F03BFB" w:rsidP="0028310F">
      <w:pPr>
        <w:pStyle w:val="ListParagraph"/>
        <w:numPr>
          <w:ilvl w:val="0"/>
          <w:numId w:val="8"/>
        </w:numPr>
        <w:tabs>
          <w:tab w:val="left" w:pos="-720"/>
        </w:tabs>
        <w:suppressAutoHyphens/>
        <w:spacing w:line="276" w:lineRule="auto"/>
        <w:jc w:val="both"/>
        <w:rPr>
          <w:rFonts w:ascii="Book Antiqua" w:hAnsi="Book Antiqua"/>
          <w:lang w:val="es-ES"/>
        </w:rPr>
      </w:pPr>
      <w:r w:rsidRPr="00422F87">
        <w:rPr>
          <w:rFonts w:ascii="Book Antiqua" w:hAnsi="Book Antiqua"/>
          <w:lang w:val="es-ES"/>
        </w:rPr>
        <w:t>La víctima está incapacitada para comprender la naturaleza del acto debido a enfermedad o incapacidad mental, temporal o permanente, en el momento de su realización.</w:t>
      </w:r>
    </w:p>
    <w:p w14:paraId="219E54B9" w14:textId="77777777" w:rsidR="008E6EBC" w:rsidRPr="00422F87" w:rsidRDefault="00F03BFB" w:rsidP="0028310F">
      <w:pPr>
        <w:pStyle w:val="ListParagraph"/>
        <w:numPr>
          <w:ilvl w:val="0"/>
          <w:numId w:val="8"/>
        </w:numPr>
        <w:tabs>
          <w:tab w:val="left" w:pos="-720"/>
        </w:tabs>
        <w:suppressAutoHyphens/>
        <w:spacing w:line="276" w:lineRule="auto"/>
        <w:jc w:val="both"/>
        <w:rPr>
          <w:rFonts w:ascii="Book Antiqua" w:hAnsi="Book Antiqua"/>
          <w:lang w:val="es-ES"/>
        </w:rPr>
      </w:pPr>
      <w:r w:rsidRPr="00422F87">
        <w:rPr>
          <w:rFonts w:ascii="Book Antiqua" w:hAnsi="Book Antiqua"/>
          <w:lang w:val="es-ES"/>
        </w:rPr>
        <w:t xml:space="preserve">Se obliga o induce a la víctima, mediante maltrato, violencia física o psicológica, a participar o involucrarse en una relación sexual no deseada con terceras personas. </w:t>
      </w:r>
    </w:p>
    <w:p w14:paraId="63AAD967" w14:textId="2C631F9B" w:rsidR="008E6EBC" w:rsidRPr="00422F87" w:rsidRDefault="008E6EBC" w:rsidP="0028310F">
      <w:pPr>
        <w:tabs>
          <w:tab w:val="left" w:pos="-720"/>
        </w:tabs>
        <w:suppressAutoHyphens/>
        <w:spacing w:line="276" w:lineRule="auto"/>
        <w:ind w:left="720"/>
        <w:jc w:val="both"/>
        <w:rPr>
          <w:rFonts w:ascii="Book Antiqua" w:hAnsi="Book Antiqua"/>
          <w:lang w:val="es-ES"/>
        </w:rPr>
      </w:pPr>
    </w:p>
    <w:p w14:paraId="030D8D81" w14:textId="186F5703" w:rsidR="00F03BFB" w:rsidRPr="00422F87" w:rsidRDefault="008E6EBC" w:rsidP="0028310F">
      <w:pPr>
        <w:tabs>
          <w:tab w:val="left" w:pos="-720"/>
        </w:tabs>
        <w:suppressAutoHyphens/>
        <w:spacing w:line="276" w:lineRule="auto"/>
        <w:jc w:val="both"/>
        <w:rPr>
          <w:rFonts w:ascii="Book Antiqua" w:hAnsi="Book Antiqua"/>
          <w:lang w:val="es-ES"/>
        </w:rPr>
      </w:pPr>
      <w:r w:rsidRPr="00422F87">
        <w:rPr>
          <w:rFonts w:ascii="Book Antiqua" w:hAnsi="Book Antiqua"/>
          <w:lang w:val="es-ES"/>
        </w:rPr>
        <w:tab/>
      </w:r>
      <w:r w:rsidR="00F03BFB" w:rsidRPr="00422F87">
        <w:rPr>
          <w:rFonts w:ascii="Book Antiqua" w:hAnsi="Book Antiqua"/>
          <w:lang w:val="es-ES"/>
        </w:rPr>
        <w:t xml:space="preserve">Un punto crucial es que el delito de agresión sexual conyugal no prescribe cuando la víctima es menor de 18 años y el imputado es mayor de 18 años al momento de la comisión. </w:t>
      </w:r>
      <w:proofErr w:type="gramStart"/>
      <w:r w:rsidR="00F03BFB" w:rsidRPr="00422F87">
        <w:rPr>
          <w:rFonts w:ascii="Book Antiqua" w:hAnsi="Book Antiqua"/>
          <w:lang w:val="es-ES"/>
        </w:rPr>
        <w:t>La pena a imponerse</w:t>
      </w:r>
      <w:proofErr w:type="gramEnd"/>
      <w:r w:rsidR="00F03BFB" w:rsidRPr="00422F87">
        <w:rPr>
          <w:rFonts w:ascii="Book Antiqua" w:hAnsi="Book Antiqua"/>
          <w:lang w:val="es-ES"/>
        </w:rPr>
        <w:t xml:space="preserve"> por este delito, en todas sus modalidades, es la correspondiente a delito grave </w:t>
      </w:r>
      <w:r w:rsidRPr="00422F87">
        <w:rPr>
          <w:rFonts w:ascii="Book Antiqua" w:hAnsi="Book Antiqua"/>
          <w:lang w:val="es-ES"/>
        </w:rPr>
        <w:t>“</w:t>
      </w:r>
      <w:r w:rsidR="00F03BFB" w:rsidRPr="00422F87">
        <w:rPr>
          <w:rFonts w:ascii="Book Antiqua" w:hAnsi="Book Antiqua"/>
          <w:lang w:val="es-ES"/>
        </w:rPr>
        <w:t>de segundo grado severo</w:t>
      </w:r>
      <w:r w:rsidRPr="00422F87">
        <w:rPr>
          <w:rFonts w:ascii="Book Antiqua" w:hAnsi="Book Antiqua"/>
          <w:lang w:val="es-ES"/>
        </w:rPr>
        <w:t>”</w:t>
      </w:r>
      <w:r w:rsidR="00F03BFB" w:rsidRPr="00422F87">
        <w:rPr>
          <w:rFonts w:ascii="Book Antiqua" w:hAnsi="Book Antiqua"/>
          <w:lang w:val="es-ES"/>
        </w:rPr>
        <w:t>. El tribunal también tiene la facultad de imponer la pena de restitución además de la reclusión.</w:t>
      </w:r>
    </w:p>
    <w:p w14:paraId="5345E52F" w14:textId="6C635629" w:rsidR="00F87169" w:rsidRDefault="00F87169" w:rsidP="0028310F">
      <w:pPr>
        <w:tabs>
          <w:tab w:val="left" w:pos="-720"/>
        </w:tabs>
        <w:suppressAutoHyphens/>
        <w:spacing w:line="276" w:lineRule="auto"/>
        <w:jc w:val="both"/>
        <w:rPr>
          <w:rFonts w:ascii="Book Antiqua" w:hAnsi="Book Antiqua"/>
          <w:szCs w:val="24"/>
          <w:lang w:val="es-ES"/>
        </w:rPr>
      </w:pPr>
      <w:r w:rsidRPr="00422F87">
        <w:rPr>
          <w:rFonts w:ascii="Book Antiqua" w:hAnsi="Book Antiqua"/>
          <w:lang w:val="es-ES"/>
        </w:rPr>
        <w:tab/>
        <w:t>El P. del S. 84 propone enmendar los Artículos 2.8, 3.1, 3.2, 3.3, 3.4, y 3.5 de la Ley 54</w:t>
      </w:r>
      <w:r w:rsidR="00464911">
        <w:rPr>
          <w:rFonts w:ascii="Book Antiqua" w:hAnsi="Book Antiqua"/>
          <w:lang w:val="es-ES"/>
        </w:rPr>
        <w:t>, discutidos anteriormente,</w:t>
      </w:r>
      <w:r w:rsidRPr="00422F87">
        <w:rPr>
          <w:rFonts w:ascii="Book Antiqua" w:hAnsi="Book Antiqua"/>
          <w:lang w:val="es-ES"/>
        </w:rPr>
        <w:t xml:space="preserve"> con el fin de actualizar las penas </w:t>
      </w:r>
      <w:r w:rsidR="00B82515" w:rsidRPr="00422F87">
        <w:rPr>
          <w:rFonts w:ascii="Book Antiqua" w:hAnsi="Book Antiqua"/>
          <w:lang w:val="es-ES"/>
        </w:rPr>
        <w:t xml:space="preserve">al sistema vigente de penas fijas de la Ley 146-2012, según enmendada, conocida como “Código Penal de Puerto Rico de 2012”. </w:t>
      </w:r>
      <w:r w:rsidR="00C041C2" w:rsidRPr="00422F87">
        <w:rPr>
          <w:rFonts w:ascii="Book Antiqua" w:hAnsi="Book Antiqua"/>
          <w:szCs w:val="24"/>
          <w:lang w:val="es-ES"/>
        </w:rPr>
        <w:t xml:space="preserve">En otras palabras, el proyecto propone enmendar cualquier referencia que tenga la </w:t>
      </w:r>
      <w:r w:rsidR="00C041C2" w:rsidRPr="00422F87">
        <w:rPr>
          <w:rFonts w:ascii="Book Antiqua" w:hAnsi="Book Antiqua"/>
          <w:lang w:val="es-ES"/>
        </w:rPr>
        <w:t xml:space="preserve">Ley 54 </w:t>
      </w:r>
      <w:r w:rsidR="00C041C2" w:rsidRPr="00422F87">
        <w:rPr>
          <w:rFonts w:ascii="Book Antiqua" w:hAnsi="Book Antiqua"/>
          <w:szCs w:val="24"/>
          <w:lang w:val="es-ES"/>
        </w:rPr>
        <w:t xml:space="preserve">sobre el antiguo sistema de penas establecidos por el “Código Penal del Estado Libre Asociado de Puerto Rico de 2004” por el actual sistema de penas fijas promulgado por el “Código Penal de Puerto Rico de 2012”. </w:t>
      </w:r>
    </w:p>
    <w:p w14:paraId="2F1FFEA4" w14:textId="77777777" w:rsidR="00E503BB" w:rsidRPr="00E503BB" w:rsidRDefault="00D969E3" w:rsidP="00E503BB">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lastRenderedPageBreak/>
        <w:tab/>
      </w:r>
      <w:r w:rsidR="00E503BB" w:rsidRPr="00E503BB">
        <w:rPr>
          <w:rFonts w:ascii="Book Antiqua" w:hAnsi="Book Antiqua"/>
          <w:szCs w:val="24"/>
          <w:lang w:val="es-PR"/>
        </w:rPr>
        <w:t>Para propósitos ilustrativos exponemos la comparación entre el “Código Penal del Estado Libre Asociado de Puerto Rico de 2004” y el “Código Penal de Puerto Rico de 2012”, respecto a la clasificación de los delitos:</w:t>
      </w:r>
    </w:p>
    <w:p w14:paraId="7978B403"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tbl>
      <w:tblPr>
        <w:tblStyle w:val="TableGrid"/>
        <w:tblW w:w="0" w:type="auto"/>
        <w:tblLook w:val="04A0" w:firstRow="1" w:lastRow="0" w:firstColumn="1" w:lastColumn="0" w:noHBand="0" w:noVBand="1"/>
      </w:tblPr>
      <w:tblGrid>
        <w:gridCol w:w="4516"/>
        <w:gridCol w:w="4517"/>
      </w:tblGrid>
      <w:tr w:rsidR="00E503BB" w:rsidRPr="00F82673" w14:paraId="188264CA" w14:textId="77777777" w:rsidTr="00E503BB">
        <w:tc>
          <w:tcPr>
            <w:tcW w:w="4516" w:type="dxa"/>
            <w:tcBorders>
              <w:top w:val="single" w:sz="4" w:space="0" w:color="auto"/>
              <w:left w:val="single" w:sz="4" w:space="0" w:color="auto"/>
              <w:bottom w:val="single" w:sz="4" w:space="0" w:color="auto"/>
              <w:right w:val="single" w:sz="4" w:space="0" w:color="auto"/>
            </w:tcBorders>
            <w:vAlign w:val="center"/>
            <w:hideMark/>
          </w:tcPr>
          <w:p w14:paraId="269EE083" w14:textId="5E69A4FF" w:rsidR="00E503BB" w:rsidRPr="00E503BB" w:rsidRDefault="00E503BB" w:rsidP="00E503BB">
            <w:pPr>
              <w:tabs>
                <w:tab w:val="left" w:pos="-720"/>
              </w:tabs>
              <w:suppressAutoHyphens/>
              <w:spacing w:line="276" w:lineRule="auto"/>
              <w:jc w:val="center"/>
              <w:rPr>
                <w:rFonts w:ascii="Book Antiqua" w:hAnsi="Book Antiqua"/>
                <w:b/>
                <w:bCs/>
                <w:szCs w:val="24"/>
                <w:lang w:val="es-PR"/>
              </w:rPr>
            </w:pPr>
            <w:r w:rsidRPr="00E503BB">
              <w:rPr>
                <w:rFonts w:ascii="Book Antiqua" w:hAnsi="Book Antiqua"/>
                <w:b/>
                <w:bCs/>
                <w:szCs w:val="24"/>
                <w:lang w:val="es-PR"/>
              </w:rPr>
              <w:t>Código Penal del Estado Libre Asociado de Puerto Rico de 2004</w:t>
            </w:r>
          </w:p>
          <w:p w14:paraId="3817BA29" w14:textId="77777777" w:rsidR="00E503BB" w:rsidRPr="00E503BB" w:rsidRDefault="00E503BB" w:rsidP="00E503BB">
            <w:pPr>
              <w:tabs>
                <w:tab w:val="left" w:pos="-720"/>
              </w:tabs>
              <w:suppressAutoHyphens/>
              <w:spacing w:line="276" w:lineRule="auto"/>
              <w:jc w:val="center"/>
              <w:rPr>
                <w:rFonts w:ascii="Book Antiqua" w:hAnsi="Book Antiqua"/>
                <w:b/>
                <w:bCs/>
                <w:szCs w:val="24"/>
                <w:lang w:val="es-PR"/>
              </w:rPr>
            </w:pPr>
            <w:r w:rsidRPr="00E503BB">
              <w:rPr>
                <w:rFonts w:ascii="Book Antiqua" w:hAnsi="Book Antiqua"/>
                <w:b/>
                <w:bCs/>
                <w:szCs w:val="24"/>
                <w:lang w:val="es-PR"/>
              </w:rPr>
              <w:t>(ley derogada)</w:t>
            </w:r>
          </w:p>
        </w:tc>
        <w:tc>
          <w:tcPr>
            <w:tcW w:w="4517" w:type="dxa"/>
            <w:tcBorders>
              <w:top w:val="single" w:sz="4" w:space="0" w:color="auto"/>
              <w:left w:val="single" w:sz="4" w:space="0" w:color="auto"/>
              <w:bottom w:val="single" w:sz="4" w:space="0" w:color="auto"/>
              <w:right w:val="single" w:sz="4" w:space="0" w:color="auto"/>
            </w:tcBorders>
            <w:vAlign w:val="center"/>
            <w:hideMark/>
          </w:tcPr>
          <w:p w14:paraId="014D960F" w14:textId="77777777" w:rsidR="00E503BB" w:rsidRPr="00E503BB" w:rsidRDefault="00E503BB" w:rsidP="00E503BB">
            <w:pPr>
              <w:tabs>
                <w:tab w:val="left" w:pos="-720"/>
              </w:tabs>
              <w:suppressAutoHyphens/>
              <w:spacing w:line="276" w:lineRule="auto"/>
              <w:jc w:val="center"/>
              <w:rPr>
                <w:rFonts w:ascii="Book Antiqua" w:hAnsi="Book Antiqua"/>
                <w:b/>
                <w:bCs/>
                <w:szCs w:val="24"/>
                <w:lang w:val="es-PR"/>
              </w:rPr>
            </w:pPr>
            <w:r w:rsidRPr="00E503BB">
              <w:rPr>
                <w:rFonts w:ascii="Book Antiqua" w:hAnsi="Book Antiqua"/>
                <w:b/>
                <w:bCs/>
                <w:szCs w:val="24"/>
                <w:lang w:val="es-PR"/>
              </w:rPr>
              <w:t>Código Penal de Puerto Rico de 2012 (ley vigente)</w:t>
            </w:r>
          </w:p>
        </w:tc>
      </w:tr>
      <w:tr w:rsidR="00E503BB" w:rsidRPr="00F82673" w14:paraId="67918889" w14:textId="77777777" w:rsidTr="00E503BB">
        <w:tc>
          <w:tcPr>
            <w:tcW w:w="4516" w:type="dxa"/>
            <w:tcBorders>
              <w:top w:val="single" w:sz="4" w:space="0" w:color="auto"/>
              <w:left w:val="single" w:sz="4" w:space="0" w:color="auto"/>
              <w:bottom w:val="single" w:sz="4" w:space="0" w:color="auto"/>
              <w:right w:val="single" w:sz="4" w:space="0" w:color="auto"/>
            </w:tcBorders>
          </w:tcPr>
          <w:p w14:paraId="5D615AB8"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7AE2392B" w14:textId="77777777" w:rsidR="00E503BB" w:rsidRPr="00E503BB" w:rsidRDefault="00E503BB" w:rsidP="00E503BB">
            <w:pPr>
              <w:tabs>
                <w:tab w:val="left" w:pos="-720"/>
              </w:tabs>
              <w:suppressAutoHyphens/>
              <w:spacing w:line="276" w:lineRule="auto"/>
              <w:jc w:val="both"/>
              <w:rPr>
                <w:rFonts w:ascii="Book Antiqua" w:hAnsi="Book Antiqua"/>
                <w:b/>
                <w:bCs/>
                <w:szCs w:val="24"/>
                <w:lang w:val="es-PR"/>
              </w:rPr>
            </w:pPr>
            <w:r w:rsidRPr="00E503BB">
              <w:rPr>
                <w:rFonts w:ascii="Book Antiqua" w:hAnsi="Book Antiqua"/>
                <w:b/>
                <w:bCs/>
                <w:szCs w:val="24"/>
                <w:lang w:val="es-PR"/>
              </w:rPr>
              <w:t xml:space="preserve">Artículo 16. — Clasificación de los Delitos. </w:t>
            </w:r>
          </w:p>
          <w:p w14:paraId="53B81391"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57D37FB6"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Los delitos se clasifican en menos graves y graves.</w:t>
            </w:r>
          </w:p>
          <w:p w14:paraId="67D74161"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47F42564"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Es delito menos grave todo aquél que conlleva multa individualizada de hasta cinco mil (5,000) dólares o reclusión hasta noventa (90) días. Delito grave, en todas las clasificaciones que se especifican más adelante, comprende todos los demás delitos.</w:t>
            </w:r>
          </w:p>
          <w:p w14:paraId="7C4B5088"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705D5E20"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Es delito grave aquél que conlleva una pena de reclusión mayor de seis (6) meses y que según la pena correspondiente, se clasifica en cuatro grados, como sigue:</w:t>
            </w:r>
          </w:p>
          <w:p w14:paraId="48F0E10B"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5BF640BB"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(a) Grave de primer grado, cuya pena es de reclusión por noventa y nueve (99) años.</w:t>
            </w:r>
          </w:p>
          <w:p w14:paraId="111E28B1"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4D0BD136"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 xml:space="preserve">(b) Grave de segundo grado, cuya pena de reclusión fluctúa entre ocho (8) años un (1) día y quince (15) años. Los delitos de asesinato en segundo grado, la agresión sexual, el secuestro agravado, el </w:t>
            </w:r>
            <w:r w:rsidRPr="00E503BB">
              <w:rPr>
                <w:rFonts w:ascii="Book Antiqua" w:hAnsi="Book Antiqua"/>
                <w:szCs w:val="24"/>
                <w:lang w:val="es-PR"/>
              </w:rPr>
              <w:lastRenderedPageBreak/>
              <w:t>secuestro de menores y el robo agravado cuando se inflige daño a la víctima u ocurre en el edificio residencial donde esté la víctima serán delitos graves de segundo grado severo, con pena de reclusión entre quince (15) años y un día y veinticinco (25) años.</w:t>
            </w:r>
          </w:p>
          <w:p w14:paraId="5965E653"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3541D299"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(c) Grave de tercer grado, cuya pena de reclusión fluctúa entre tres (3) años un (1) día y ocho (8) años.</w:t>
            </w:r>
          </w:p>
          <w:p w14:paraId="39390642"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5BB1E12D"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(d) Grave de cuarto grado, cuya pena de reclusión fluctúa entre seis (6) meses un día y tres (3) años.</w:t>
            </w:r>
          </w:p>
          <w:p w14:paraId="521854F6"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0A804480"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No obstante, en los delitos graves y en los delitos menos graves podrá imponerse otros tipos de penas, además de la reclusión.</w:t>
            </w:r>
          </w:p>
          <w:p w14:paraId="75D0A1E3"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5FDF74ED"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Los delitos graves que se tipifican en leyes especiales mantienen la clasificación de grave y la pena correspondiente si conllevan una pena de reclusión mayor de seis (6) meses o multa mayor de cinco mil (5,000) dólares, salvo que por ley se disponga otra cosa.</w:t>
            </w:r>
          </w:p>
          <w:p w14:paraId="1A95A4DB"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79E22997"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Los delitos menos graves que se tipifican en leyes especiales mantienen la clasificación de menos grave y la pena correspondiente si conllevan una pena que no exceda de seis (6) meses o multa que no exceda de cinco mil (5,000) dólares, o ambas penas.</w:t>
            </w:r>
          </w:p>
        </w:tc>
        <w:tc>
          <w:tcPr>
            <w:tcW w:w="4517" w:type="dxa"/>
            <w:tcBorders>
              <w:top w:val="single" w:sz="4" w:space="0" w:color="auto"/>
              <w:left w:val="single" w:sz="4" w:space="0" w:color="auto"/>
              <w:bottom w:val="single" w:sz="4" w:space="0" w:color="auto"/>
              <w:right w:val="single" w:sz="4" w:space="0" w:color="auto"/>
            </w:tcBorders>
          </w:tcPr>
          <w:p w14:paraId="7462835C"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025643DB" w14:textId="77777777" w:rsidR="00E503BB" w:rsidRPr="00E503BB" w:rsidRDefault="00E503BB" w:rsidP="00E503BB">
            <w:pPr>
              <w:tabs>
                <w:tab w:val="left" w:pos="-720"/>
              </w:tabs>
              <w:suppressAutoHyphens/>
              <w:spacing w:line="276" w:lineRule="auto"/>
              <w:jc w:val="both"/>
              <w:rPr>
                <w:rFonts w:ascii="Book Antiqua" w:hAnsi="Book Antiqua"/>
                <w:b/>
                <w:bCs/>
                <w:szCs w:val="24"/>
                <w:lang w:val="es-PR"/>
              </w:rPr>
            </w:pPr>
            <w:r w:rsidRPr="00E503BB">
              <w:rPr>
                <w:rFonts w:ascii="Book Antiqua" w:hAnsi="Book Antiqua"/>
                <w:b/>
                <w:bCs/>
                <w:szCs w:val="24"/>
                <w:lang w:val="es-PR"/>
              </w:rPr>
              <w:t xml:space="preserve">Artículo 16. — Clasificación de los Delitos. </w:t>
            </w:r>
          </w:p>
          <w:p w14:paraId="4275DD88"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3EC0945C"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Los delitos se clasifican en menos graves y graves.</w:t>
            </w:r>
          </w:p>
          <w:p w14:paraId="7D0851C1"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43354C21"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 xml:space="preserve">Es delito menos grave todo aquél que apareja pena de reclusión por un término que no exceda de seis (6) meses, pena de multa que no exceda de cinco mil (5,000) dólares o pena de restricción domiciliaria o de servicios comunitarios que no exceda de seis (6) meses. </w:t>
            </w:r>
          </w:p>
          <w:p w14:paraId="6EB660EE"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65B18D95"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Delito grave comprende todos los demás delitos.</w:t>
            </w:r>
          </w:p>
        </w:tc>
      </w:tr>
      <w:tr w:rsidR="00E503BB" w:rsidRPr="00F82673" w14:paraId="1D92FCCC" w14:textId="77777777" w:rsidTr="00E503BB">
        <w:tc>
          <w:tcPr>
            <w:tcW w:w="4516" w:type="dxa"/>
            <w:tcBorders>
              <w:top w:val="single" w:sz="4" w:space="0" w:color="auto"/>
              <w:left w:val="single" w:sz="4" w:space="0" w:color="auto"/>
              <w:bottom w:val="single" w:sz="4" w:space="0" w:color="auto"/>
              <w:right w:val="single" w:sz="4" w:space="0" w:color="auto"/>
            </w:tcBorders>
          </w:tcPr>
          <w:p w14:paraId="552FCFD4"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2644CC9D" w14:textId="77777777" w:rsidR="00E503BB" w:rsidRPr="00E503BB" w:rsidRDefault="00E503BB" w:rsidP="00E503BB">
            <w:pPr>
              <w:tabs>
                <w:tab w:val="left" w:pos="-720"/>
              </w:tabs>
              <w:suppressAutoHyphens/>
              <w:spacing w:line="276" w:lineRule="auto"/>
              <w:jc w:val="both"/>
              <w:rPr>
                <w:rFonts w:ascii="Book Antiqua" w:hAnsi="Book Antiqua"/>
                <w:b/>
                <w:bCs/>
                <w:szCs w:val="24"/>
                <w:lang w:val="es-PR"/>
              </w:rPr>
            </w:pPr>
            <w:r w:rsidRPr="00E503BB">
              <w:rPr>
                <w:rFonts w:ascii="Book Antiqua" w:hAnsi="Book Antiqua"/>
                <w:b/>
                <w:bCs/>
                <w:szCs w:val="24"/>
                <w:lang w:val="es-PR"/>
              </w:rPr>
              <w:t xml:space="preserve">Artículo 17. — Delito sin pena estatuida. </w:t>
            </w:r>
          </w:p>
          <w:p w14:paraId="386A5949"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62F00C7A"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Si algún acto u omisión es declarado delito y no se establece la pena correspondiente, tal acto u omisión se penalizará como delito menos grave.</w:t>
            </w:r>
          </w:p>
          <w:p w14:paraId="2E1B7EAF"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6FD7DBA9"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Si algún acto u omisión es declarado delito grave y no se establece la pena correspondiente, se le impondrá la pena de delito grave de cuarto grado</w:t>
            </w:r>
          </w:p>
        </w:tc>
        <w:tc>
          <w:tcPr>
            <w:tcW w:w="4517" w:type="dxa"/>
            <w:tcBorders>
              <w:top w:val="single" w:sz="4" w:space="0" w:color="auto"/>
              <w:left w:val="single" w:sz="4" w:space="0" w:color="auto"/>
              <w:bottom w:val="single" w:sz="4" w:space="0" w:color="auto"/>
              <w:right w:val="single" w:sz="4" w:space="0" w:color="auto"/>
            </w:tcBorders>
          </w:tcPr>
          <w:p w14:paraId="4712C54D"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3627EBD2" w14:textId="77777777" w:rsidR="00E503BB" w:rsidRPr="00E503BB" w:rsidRDefault="00E503BB" w:rsidP="00E503BB">
            <w:pPr>
              <w:tabs>
                <w:tab w:val="left" w:pos="-720"/>
              </w:tabs>
              <w:suppressAutoHyphens/>
              <w:spacing w:line="276" w:lineRule="auto"/>
              <w:jc w:val="both"/>
              <w:rPr>
                <w:rFonts w:ascii="Book Antiqua" w:hAnsi="Book Antiqua"/>
                <w:b/>
                <w:bCs/>
                <w:szCs w:val="24"/>
                <w:lang w:val="es-ES"/>
              </w:rPr>
            </w:pPr>
            <w:r w:rsidRPr="00E503BB">
              <w:rPr>
                <w:rFonts w:ascii="Book Antiqua" w:hAnsi="Book Antiqua"/>
                <w:b/>
                <w:bCs/>
                <w:szCs w:val="24"/>
                <w:lang w:val="es-ES"/>
              </w:rPr>
              <w:t xml:space="preserve">Artículo 17. — Delito sin pena estatuida. </w:t>
            </w:r>
          </w:p>
          <w:p w14:paraId="348EB0C1" w14:textId="77777777" w:rsidR="00E503BB" w:rsidRPr="00E503BB" w:rsidRDefault="00E503BB" w:rsidP="00E503BB">
            <w:pPr>
              <w:tabs>
                <w:tab w:val="left" w:pos="-720"/>
              </w:tabs>
              <w:suppressAutoHyphens/>
              <w:spacing w:line="276" w:lineRule="auto"/>
              <w:jc w:val="both"/>
              <w:rPr>
                <w:rFonts w:ascii="Book Antiqua" w:hAnsi="Book Antiqua"/>
                <w:szCs w:val="24"/>
                <w:lang w:val="es-ES"/>
              </w:rPr>
            </w:pPr>
          </w:p>
          <w:p w14:paraId="611FB14E" w14:textId="77777777" w:rsidR="00E503BB" w:rsidRPr="00E503BB" w:rsidRDefault="00E503BB" w:rsidP="00E503BB">
            <w:pPr>
              <w:tabs>
                <w:tab w:val="left" w:pos="-720"/>
              </w:tabs>
              <w:suppressAutoHyphens/>
              <w:spacing w:line="276" w:lineRule="auto"/>
              <w:jc w:val="both"/>
              <w:rPr>
                <w:rFonts w:ascii="Book Antiqua" w:hAnsi="Book Antiqua"/>
                <w:szCs w:val="24"/>
                <w:lang w:val="es-ES"/>
              </w:rPr>
            </w:pPr>
            <w:r w:rsidRPr="00E503BB">
              <w:rPr>
                <w:rFonts w:ascii="Book Antiqua" w:hAnsi="Book Antiqua"/>
                <w:szCs w:val="24"/>
                <w:lang w:val="es-ES"/>
              </w:rPr>
              <w:t xml:space="preserve">Si algún acto u omisión es declarado delito y no se establece la pena correspondiente, tal acto u omisión se penalizará como delito menos grave. </w:t>
            </w:r>
          </w:p>
          <w:p w14:paraId="17E1EB55" w14:textId="77777777" w:rsidR="00E503BB" w:rsidRPr="00E503BB" w:rsidRDefault="00E503BB" w:rsidP="00E503BB">
            <w:pPr>
              <w:tabs>
                <w:tab w:val="left" w:pos="-720"/>
              </w:tabs>
              <w:suppressAutoHyphens/>
              <w:spacing w:line="276" w:lineRule="auto"/>
              <w:jc w:val="both"/>
              <w:rPr>
                <w:rFonts w:ascii="Book Antiqua" w:hAnsi="Book Antiqua"/>
                <w:szCs w:val="24"/>
                <w:lang w:val="es-ES"/>
              </w:rPr>
            </w:pPr>
          </w:p>
          <w:p w14:paraId="510DE83B"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ES"/>
              </w:rPr>
              <w:t>Si algún acto u omisión es declarado delito grave y no se establece la pena correspondiente, ésta será de reclusión por un término fijo de dos (2) años, o pena de multa que no excederá de diez mil (10,000) dólares, o una pena alternativa a la reclusión de las consignadas en este Código, a discreción del tribunal.</w:t>
            </w:r>
          </w:p>
        </w:tc>
      </w:tr>
    </w:tbl>
    <w:p w14:paraId="2AF8DE06"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p>
    <w:p w14:paraId="286A63B3" w14:textId="77777777" w:rsidR="00E503BB" w:rsidRPr="00E503BB" w:rsidRDefault="00E503BB" w:rsidP="00E503BB">
      <w:p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ab/>
        <w:t>En ese sentido, el Código Penal de Puerto Rico 2012, en su Artículo 307, provee una cláusula de transición para la fijación de penas en las leyes penales especiales. Conforme al marco legal vigente, los delitos graves que se tipifican en leyes penales especiales bajo el sistema de clasificación de delitos del Código Penal del Estado Libre Asociado de Puerto Rico estarán sujetos a las siguientes penas, hasta que se proceda a enmendarlas para atemperarlas al sistema de sentencias fijas adoptado en el Código de 2012, según enmendado:</w:t>
      </w:r>
    </w:p>
    <w:p w14:paraId="147F8380" w14:textId="77777777" w:rsidR="00E503BB" w:rsidRPr="00E503BB" w:rsidRDefault="00E503BB" w:rsidP="00E503BB">
      <w:pPr>
        <w:numPr>
          <w:ilvl w:val="0"/>
          <w:numId w:val="9"/>
        </w:num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Delito grave de primer grado — conllevará una pena de reclusión por un término fijo de 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7AE48530" w14:textId="77777777" w:rsidR="00E503BB" w:rsidRPr="00E503BB" w:rsidRDefault="00E503BB" w:rsidP="00E503BB">
      <w:pPr>
        <w:numPr>
          <w:ilvl w:val="0"/>
          <w:numId w:val="9"/>
        </w:num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Delito grave de segundo grado severo — conllevará una pena de reclusión por un término fijo de veinticinco (25) años. En tal caso, la persona puede ser considerada para libertad bajo palabra por la Junta de Libertad Bajo Palabra al cumplir el setenta y cinco (75) por ciento del término de reclusión impuesto.</w:t>
      </w:r>
    </w:p>
    <w:p w14:paraId="2BD66B6A" w14:textId="77777777" w:rsidR="00E503BB" w:rsidRPr="00E503BB" w:rsidRDefault="00E503BB" w:rsidP="00E503BB">
      <w:pPr>
        <w:numPr>
          <w:ilvl w:val="0"/>
          <w:numId w:val="9"/>
        </w:num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 xml:space="preserve">Delito grave de segundo grado — conllevará una pena de reclusión por un término fijo de quince (15) años. En tal caso, la persona puede ser considerada </w:t>
      </w:r>
      <w:r w:rsidRPr="00E503BB">
        <w:rPr>
          <w:rFonts w:ascii="Book Antiqua" w:hAnsi="Book Antiqua"/>
          <w:szCs w:val="24"/>
          <w:lang w:val="es-PR"/>
        </w:rPr>
        <w:lastRenderedPageBreak/>
        <w:t xml:space="preserve">para libertad bajo palabra por la Junta de Libertad Bajo Palabra al cumplir el setenta y cinco (75) por ciento del término de reclusión impuesto. </w:t>
      </w:r>
    </w:p>
    <w:p w14:paraId="5BE3876A" w14:textId="77777777" w:rsidR="00E503BB" w:rsidRPr="00E503BB" w:rsidRDefault="00E503BB" w:rsidP="00E503BB">
      <w:pPr>
        <w:numPr>
          <w:ilvl w:val="0"/>
          <w:numId w:val="9"/>
        </w:num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w:t>
      </w:r>
    </w:p>
    <w:p w14:paraId="0D7831C3" w14:textId="77777777" w:rsidR="00E503BB" w:rsidRDefault="00E503BB" w:rsidP="00E503BB">
      <w:pPr>
        <w:numPr>
          <w:ilvl w:val="0"/>
          <w:numId w:val="9"/>
        </w:num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 xml:space="preserve">Delito grave de cuarto grado — conllevará una pena de reclusión restricción terapéutica, restricción domiciliaria, servicios comunitarios, o combinación de estas penas, por un término fijo de tres (3) años. En tal caso, la persona puede ser considerada para libertad bajo palabra por la Junta de Libertad Bajo Palabra al cumplir el setenta y cinco (75) por ciento del término de reclusión impuesto. </w:t>
      </w:r>
    </w:p>
    <w:p w14:paraId="1EF7CBA5" w14:textId="7242F32E" w:rsidR="00DA594A" w:rsidRPr="00E503BB" w:rsidRDefault="00E503BB" w:rsidP="00E503BB">
      <w:pPr>
        <w:numPr>
          <w:ilvl w:val="0"/>
          <w:numId w:val="9"/>
        </w:numPr>
        <w:tabs>
          <w:tab w:val="left" w:pos="-720"/>
        </w:tabs>
        <w:suppressAutoHyphens/>
        <w:spacing w:line="276" w:lineRule="auto"/>
        <w:jc w:val="both"/>
        <w:rPr>
          <w:rFonts w:ascii="Book Antiqua" w:hAnsi="Book Antiqua"/>
          <w:szCs w:val="24"/>
          <w:lang w:val="es-PR"/>
        </w:rPr>
      </w:pPr>
      <w:r w:rsidRPr="00E503BB">
        <w:rPr>
          <w:rFonts w:ascii="Book Antiqua" w:hAnsi="Book Antiqua"/>
          <w:szCs w:val="24"/>
          <w:lang w:val="es-PR"/>
        </w:rPr>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p>
    <w:p w14:paraId="39E84EAC" w14:textId="201EF354" w:rsidR="00E503BB" w:rsidRDefault="00E503BB" w:rsidP="00E503BB">
      <w:pPr>
        <w:tabs>
          <w:tab w:val="left" w:pos="-720"/>
        </w:tabs>
        <w:suppressAutoHyphens/>
        <w:spacing w:line="276" w:lineRule="auto"/>
        <w:ind w:left="720"/>
        <w:jc w:val="both"/>
        <w:rPr>
          <w:rFonts w:ascii="Book Antiqua" w:hAnsi="Book Antiqua"/>
          <w:lang w:val="es-PR"/>
        </w:rPr>
      </w:pPr>
    </w:p>
    <w:p w14:paraId="7D81C205" w14:textId="6E11BF64" w:rsidR="006D5838" w:rsidRPr="00422F87" w:rsidRDefault="009154BD" w:rsidP="0028310F">
      <w:pPr>
        <w:tabs>
          <w:tab w:val="left" w:pos="-720"/>
        </w:tabs>
        <w:suppressAutoHyphens/>
        <w:spacing w:line="276" w:lineRule="auto"/>
        <w:ind w:firstLine="360"/>
        <w:jc w:val="both"/>
        <w:rPr>
          <w:rFonts w:ascii="Book Antiqua" w:hAnsi="Book Antiqua"/>
          <w:lang w:val="es-ES"/>
        </w:rPr>
      </w:pPr>
      <w:r w:rsidRPr="00422F87">
        <w:rPr>
          <w:rFonts w:ascii="Book Antiqua" w:hAnsi="Book Antiqua"/>
          <w:lang w:val="es-ES"/>
        </w:rPr>
        <w:t xml:space="preserve">La </w:t>
      </w:r>
      <w:r w:rsidR="000C5B91" w:rsidRPr="00422F87">
        <w:rPr>
          <w:rFonts w:ascii="Book Antiqua" w:hAnsi="Book Antiqua"/>
          <w:spacing w:val="-3"/>
          <w:lang w:val="es-ES"/>
        </w:rPr>
        <w:t>Comisión de lo Jurídico del Senado de Puerto Rico</w:t>
      </w:r>
      <w:r w:rsidRPr="00422F87">
        <w:rPr>
          <w:rFonts w:ascii="Book Antiqua" w:hAnsi="Book Antiqua"/>
          <w:spacing w:val="-3"/>
          <w:lang w:val="es-ES"/>
        </w:rPr>
        <w:t xml:space="preserve">, como parte del estudio y evaluación del </w:t>
      </w:r>
      <w:r w:rsidR="00036674" w:rsidRPr="00422F87">
        <w:rPr>
          <w:rFonts w:ascii="Book Antiqua" w:hAnsi="Book Antiqua"/>
          <w:spacing w:val="-3"/>
          <w:lang w:val="es-ES"/>
        </w:rPr>
        <w:t>P. del S. 84</w:t>
      </w:r>
      <w:r w:rsidR="00481C39" w:rsidRPr="00422F87">
        <w:rPr>
          <w:rFonts w:ascii="Book Antiqua" w:hAnsi="Book Antiqua"/>
          <w:lang w:val="es-ES"/>
        </w:rPr>
        <w:t xml:space="preserve"> </w:t>
      </w:r>
      <w:r w:rsidR="00036674" w:rsidRPr="00422F87">
        <w:rPr>
          <w:rFonts w:ascii="Book Antiqua" w:hAnsi="Book Antiqua"/>
          <w:lang w:val="es-ES"/>
        </w:rPr>
        <w:t>recibió un memorial explicativo de la Oficina de la Procuradora de las Mujeres (OPM).</w:t>
      </w:r>
      <w:r w:rsidR="006D5838" w:rsidRPr="00422F87">
        <w:rPr>
          <w:rFonts w:ascii="Book Antiqua" w:hAnsi="Book Antiqua"/>
          <w:lang w:val="es-ES"/>
        </w:rPr>
        <w:t xml:space="preserve"> </w:t>
      </w:r>
      <w:r w:rsidRPr="00422F87">
        <w:rPr>
          <w:rFonts w:ascii="Book Antiqua" w:hAnsi="Book Antiqua"/>
          <w:lang w:val="es-ES"/>
        </w:rPr>
        <w:t xml:space="preserve">A continuación, </w:t>
      </w:r>
      <w:r w:rsidR="00036674" w:rsidRPr="00422F87">
        <w:rPr>
          <w:rFonts w:ascii="Book Antiqua" w:hAnsi="Book Antiqua"/>
          <w:lang w:val="es-ES"/>
        </w:rPr>
        <w:t>exponemos</w:t>
      </w:r>
      <w:r w:rsidRPr="00422F87">
        <w:rPr>
          <w:rFonts w:ascii="Book Antiqua" w:hAnsi="Book Antiqua"/>
          <w:lang w:val="es-ES"/>
        </w:rPr>
        <w:t xml:space="preserve"> </w:t>
      </w:r>
      <w:r w:rsidR="004F6E72" w:rsidRPr="00422F87">
        <w:rPr>
          <w:rFonts w:ascii="Book Antiqua" w:hAnsi="Book Antiqua"/>
          <w:lang w:val="es-ES"/>
        </w:rPr>
        <w:t xml:space="preserve">lo expresado por </w:t>
      </w:r>
      <w:r w:rsidR="00036674" w:rsidRPr="00422F87">
        <w:rPr>
          <w:rFonts w:ascii="Book Antiqua" w:hAnsi="Book Antiqua"/>
          <w:lang w:val="es-ES"/>
        </w:rPr>
        <w:t>esta</w:t>
      </w:r>
      <w:r w:rsidR="00334935" w:rsidRPr="00422F87">
        <w:rPr>
          <w:rFonts w:ascii="Book Antiqua" w:hAnsi="Book Antiqua"/>
          <w:lang w:val="es-ES"/>
        </w:rPr>
        <w:t xml:space="preserve"> </w:t>
      </w:r>
      <w:r w:rsidR="00036674" w:rsidRPr="00422F87">
        <w:rPr>
          <w:rFonts w:ascii="Book Antiqua" w:hAnsi="Book Antiqua"/>
          <w:lang w:val="es-ES"/>
        </w:rPr>
        <w:t>entidad</w:t>
      </w:r>
      <w:r w:rsidR="00186AB6" w:rsidRPr="00422F87">
        <w:rPr>
          <w:rFonts w:ascii="Book Antiqua" w:hAnsi="Book Antiqua"/>
          <w:lang w:val="es-ES"/>
        </w:rPr>
        <w:t xml:space="preserve"> </w:t>
      </w:r>
      <w:r w:rsidR="00036674" w:rsidRPr="00422F87">
        <w:rPr>
          <w:rFonts w:ascii="Book Antiqua" w:hAnsi="Book Antiqua"/>
          <w:lang w:val="es-ES"/>
        </w:rPr>
        <w:t>gubernamental</w:t>
      </w:r>
      <w:r w:rsidR="004F6E72" w:rsidRPr="00422F87">
        <w:rPr>
          <w:rFonts w:ascii="Book Antiqua" w:hAnsi="Book Antiqua"/>
          <w:lang w:val="es-ES"/>
        </w:rPr>
        <w:t>.</w:t>
      </w:r>
    </w:p>
    <w:p w14:paraId="317B31EA" w14:textId="77777777" w:rsidR="00036674" w:rsidRDefault="00036674" w:rsidP="0028310F">
      <w:pPr>
        <w:tabs>
          <w:tab w:val="left" w:pos="-720"/>
        </w:tabs>
        <w:suppressAutoHyphens/>
        <w:spacing w:line="276" w:lineRule="auto"/>
        <w:jc w:val="both"/>
        <w:rPr>
          <w:rFonts w:ascii="Book Antiqua" w:hAnsi="Book Antiqua"/>
          <w:lang w:val="es-ES"/>
        </w:rPr>
      </w:pPr>
    </w:p>
    <w:p w14:paraId="4103F76F" w14:textId="21BA9AC6" w:rsidR="00CA559C" w:rsidRPr="00CA559C" w:rsidRDefault="00CA559C" w:rsidP="0028310F">
      <w:pPr>
        <w:tabs>
          <w:tab w:val="left" w:pos="-720"/>
        </w:tabs>
        <w:suppressAutoHyphens/>
        <w:spacing w:line="276" w:lineRule="auto"/>
        <w:jc w:val="center"/>
        <w:rPr>
          <w:rFonts w:ascii="Book Antiqua" w:hAnsi="Book Antiqua"/>
          <w:b/>
          <w:bCs/>
          <w:lang w:val="es-ES"/>
        </w:rPr>
      </w:pPr>
      <w:r w:rsidRPr="00CA559C">
        <w:rPr>
          <w:rFonts w:ascii="Book Antiqua" w:hAnsi="Book Antiqua"/>
          <w:b/>
          <w:bCs/>
          <w:lang w:val="es-ES"/>
        </w:rPr>
        <w:t>OFICINA DE LA PROCURADORA DE LAS MUJERES</w:t>
      </w:r>
    </w:p>
    <w:p w14:paraId="6BDDB146" w14:textId="77777777" w:rsidR="00CA559C" w:rsidRDefault="00CA559C" w:rsidP="0028310F">
      <w:pPr>
        <w:tabs>
          <w:tab w:val="left" w:pos="-720"/>
        </w:tabs>
        <w:suppressAutoHyphens/>
        <w:spacing w:line="276" w:lineRule="auto"/>
        <w:jc w:val="both"/>
        <w:rPr>
          <w:rFonts w:ascii="Book Antiqua" w:hAnsi="Book Antiqua"/>
          <w:lang w:val="es-ES"/>
        </w:rPr>
      </w:pPr>
    </w:p>
    <w:p w14:paraId="16335667" w14:textId="5DCFD2DD" w:rsidR="00CA559C" w:rsidRPr="00CA559C" w:rsidRDefault="00CA559C" w:rsidP="0028310F">
      <w:pPr>
        <w:tabs>
          <w:tab w:val="left" w:pos="-720"/>
        </w:tabs>
        <w:suppressAutoHyphens/>
        <w:spacing w:line="276" w:lineRule="auto"/>
        <w:jc w:val="both"/>
        <w:rPr>
          <w:rFonts w:ascii="Book Antiqua" w:hAnsi="Book Antiqua"/>
          <w:lang w:val="es-ES"/>
        </w:rPr>
      </w:pPr>
      <w:r>
        <w:rPr>
          <w:rFonts w:ascii="Book Antiqua" w:hAnsi="Book Antiqua"/>
          <w:lang w:val="es-ES"/>
        </w:rPr>
        <w:tab/>
      </w:r>
      <w:r w:rsidRPr="00CA559C">
        <w:rPr>
          <w:rFonts w:ascii="Book Antiqua" w:hAnsi="Book Antiqua"/>
          <w:lang w:val="es-ES"/>
        </w:rPr>
        <w:t>La Oficina de la Procuradora de las Mujeres (OPM) apoya la intención general del P. del S. 84</w:t>
      </w:r>
      <w:r>
        <w:rPr>
          <w:rFonts w:ascii="Book Antiqua" w:hAnsi="Book Antiqua"/>
          <w:lang w:val="es-ES"/>
        </w:rPr>
        <w:t xml:space="preserve"> </w:t>
      </w:r>
      <w:r w:rsidRPr="00CA559C">
        <w:rPr>
          <w:rFonts w:ascii="Book Antiqua" w:hAnsi="Book Antiqua"/>
          <w:lang w:val="es-ES"/>
        </w:rPr>
        <w:t>de armonizar la Ley 54</w:t>
      </w:r>
      <w:r>
        <w:rPr>
          <w:rFonts w:ascii="Book Antiqua" w:hAnsi="Book Antiqua"/>
          <w:lang w:val="es-ES"/>
        </w:rPr>
        <w:t xml:space="preserve"> </w:t>
      </w:r>
      <w:r w:rsidRPr="00CA559C">
        <w:rPr>
          <w:rFonts w:ascii="Book Antiqua" w:hAnsi="Book Antiqua"/>
          <w:lang w:val="es-ES"/>
        </w:rPr>
        <w:t>con el sistema de penas fijas establecido en el Código Penal de Puerto Rico de 2012. Reconocen que esta armonización es crucial para asegurar la coherencia y equidad en el sistema de justicia penal. Sin embargo, la OPM enfatiza que esta actualización no debe mermar el poder preventivo e interventor de la Ley 54, ya que la violencia de género sigue siendo un problema social profundamente arraigado</w:t>
      </w:r>
      <w:r w:rsidR="004664CE">
        <w:rPr>
          <w:rFonts w:ascii="Book Antiqua" w:hAnsi="Book Antiqua"/>
          <w:lang w:val="es-ES"/>
        </w:rPr>
        <w:t xml:space="preserve"> en Puerto Rico</w:t>
      </w:r>
      <w:r w:rsidRPr="00CA559C">
        <w:rPr>
          <w:rFonts w:ascii="Book Antiqua" w:hAnsi="Book Antiqua"/>
          <w:lang w:val="es-ES"/>
        </w:rPr>
        <w:t xml:space="preserve">. </w:t>
      </w:r>
      <w:r w:rsidR="006A0CA2">
        <w:rPr>
          <w:rFonts w:ascii="Book Antiqua" w:hAnsi="Book Antiqua"/>
          <w:lang w:val="es-ES"/>
        </w:rPr>
        <w:t>Sugiere la OPM</w:t>
      </w:r>
      <w:r w:rsidRPr="00CA559C">
        <w:rPr>
          <w:rFonts w:ascii="Book Antiqua" w:hAnsi="Book Antiqua"/>
          <w:lang w:val="es-ES"/>
        </w:rPr>
        <w:t xml:space="preserve"> que el proyecto podría beneficiarse de modificaciones sustantivas para fortalecer el marco legal y reafirmar el compromiso con la erradicación de la violencia de género.</w:t>
      </w:r>
    </w:p>
    <w:p w14:paraId="5ECE2CF5" w14:textId="67E8BD6B" w:rsidR="004A54FE" w:rsidRDefault="006A0CA2" w:rsidP="0028310F">
      <w:pPr>
        <w:tabs>
          <w:tab w:val="left" w:pos="-720"/>
        </w:tabs>
        <w:suppressAutoHyphens/>
        <w:spacing w:line="276" w:lineRule="auto"/>
        <w:jc w:val="both"/>
        <w:rPr>
          <w:rFonts w:ascii="Book Antiqua" w:hAnsi="Book Antiqua"/>
          <w:lang w:val="es-ES"/>
        </w:rPr>
      </w:pPr>
      <w:r>
        <w:rPr>
          <w:rFonts w:ascii="Book Antiqua" w:hAnsi="Book Antiqua"/>
          <w:lang w:val="es-ES"/>
        </w:rPr>
        <w:tab/>
      </w:r>
      <w:r w:rsidR="00CA559C" w:rsidRPr="00CA559C">
        <w:rPr>
          <w:rFonts w:ascii="Book Antiqua" w:hAnsi="Book Antiqua"/>
          <w:lang w:val="es-ES"/>
        </w:rPr>
        <w:t>En cuanto a las penas específicas propuestas en el P. del S. 84 para los delitos de violencia doméstica</w:t>
      </w:r>
      <w:r w:rsidR="004A54FE">
        <w:rPr>
          <w:rFonts w:ascii="Book Antiqua" w:hAnsi="Book Antiqua"/>
          <w:lang w:val="es-ES"/>
        </w:rPr>
        <w:t xml:space="preserve"> tipificados en la Ley 54</w:t>
      </w:r>
      <w:r w:rsidR="00CA559C" w:rsidRPr="00CA559C">
        <w:rPr>
          <w:rFonts w:ascii="Book Antiqua" w:hAnsi="Book Antiqua"/>
          <w:lang w:val="es-ES"/>
        </w:rPr>
        <w:t xml:space="preserve">, la OPM ha emitido recomendaciones para aumentar la severidad de las </w:t>
      </w:r>
      <w:r>
        <w:rPr>
          <w:rFonts w:ascii="Book Antiqua" w:hAnsi="Book Antiqua"/>
          <w:lang w:val="es-ES"/>
        </w:rPr>
        <w:t>penas</w:t>
      </w:r>
      <w:r w:rsidR="00CA559C" w:rsidRPr="00CA559C">
        <w:rPr>
          <w:rFonts w:ascii="Book Antiqua" w:hAnsi="Book Antiqua"/>
          <w:lang w:val="es-ES"/>
        </w:rPr>
        <w:t xml:space="preserve">. </w:t>
      </w:r>
    </w:p>
    <w:p w14:paraId="4EC64965" w14:textId="57D1EDCE" w:rsidR="00E40CB9" w:rsidRDefault="004A54FE" w:rsidP="0028310F">
      <w:pPr>
        <w:tabs>
          <w:tab w:val="left" w:pos="-720"/>
        </w:tabs>
        <w:suppressAutoHyphens/>
        <w:spacing w:line="276" w:lineRule="auto"/>
        <w:jc w:val="both"/>
        <w:rPr>
          <w:rFonts w:ascii="Book Antiqua" w:hAnsi="Book Antiqua"/>
          <w:lang w:val="es-ES"/>
        </w:rPr>
      </w:pPr>
      <w:r>
        <w:rPr>
          <w:rFonts w:ascii="Book Antiqua" w:hAnsi="Book Antiqua"/>
          <w:lang w:val="es-ES"/>
        </w:rPr>
        <w:lastRenderedPageBreak/>
        <w:tab/>
      </w:r>
      <w:r w:rsidR="00CA559C" w:rsidRPr="00CA559C">
        <w:rPr>
          <w:rFonts w:ascii="Book Antiqua" w:hAnsi="Book Antiqua"/>
          <w:lang w:val="es-ES"/>
        </w:rPr>
        <w:t xml:space="preserve">Para el Artículo 2.8, </w:t>
      </w:r>
      <w:r w:rsidR="006A0CA2">
        <w:rPr>
          <w:rFonts w:ascii="Book Antiqua" w:hAnsi="Book Antiqua"/>
          <w:lang w:val="es-ES"/>
        </w:rPr>
        <w:t xml:space="preserve">sobre </w:t>
      </w:r>
      <w:r w:rsidR="00CA559C" w:rsidRPr="00CA559C">
        <w:rPr>
          <w:rFonts w:ascii="Book Antiqua" w:hAnsi="Book Antiqua"/>
          <w:lang w:val="es-ES"/>
        </w:rPr>
        <w:t xml:space="preserve">Incumplimiento de Órdenes de Protección, </w:t>
      </w:r>
      <w:r w:rsidR="009D722F">
        <w:rPr>
          <w:rFonts w:ascii="Book Antiqua" w:hAnsi="Book Antiqua"/>
          <w:lang w:val="es-ES"/>
        </w:rPr>
        <w:t>la OPM propone añadir una disposición que excluya la disponibilidad de libertad a prueba o sentencia suspendida a personas convictas por violar una orden de protección</w:t>
      </w:r>
      <w:r w:rsidR="00CA559C" w:rsidRPr="00CA559C">
        <w:rPr>
          <w:rFonts w:ascii="Book Antiqua" w:hAnsi="Book Antiqua"/>
          <w:lang w:val="es-ES"/>
        </w:rPr>
        <w:t xml:space="preserve">. Asimismo, para el Artículo 3.1, Maltrato, y el Artículo 3.3, Maltrato Mediante Amenaza, en los cuales el P. del S. 84 establece una pena fija de tres (3) años, la OPM considera estas penas insuficientes y sugiere un incremento. </w:t>
      </w:r>
      <w:r w:rsidR="00E40CB9">
        <w:rPr>
          <w:rFonts w:ascii="Book Antiqua" w:hAnsi="Book Antiqua"/>
          <w:lang w:val="es-ES"/>
        </w:rPr>
        <w:t>La OPM entiende que “</w:t>
      </w:r>
      <w:r w:rsidR="00E40CB9" w:rsidRPr="00E40CB9">
        <w:rPr>
          <w:rFonts w:ascii="Book Antiqua" w:hAnsi="Book Antiqua"/>
          <w:lang w:val="es-ES"/>
        </w:rPr>
        <w:t>que el delito de maltrato</w:t>
      </w:r>
      <w:r w:rsidR="00E40CB9">
        <w:rPr>
          <w:rFonts w:ascii="Book Antiqua" w:hAnsi="Book Antiqua"/>
          <w:lang w:val="es-ES"/>
        </w:rPr>
        <w:t xml:space="preserve"> </w:t>
      </w:r>
      <w:r w:rsidR="00E40CB9" w:rsidRPr="00E40CB9">
        <w:rPr>
          <w:rFonts w:ascii="Book Antiqua" w:hAnsi="Book Antiqua"/>
          <w:lang w:val="es-ES"/>
        </w:rPr>
        <w:t>agravado (Artículo 3.2), por su naturaleza, incluye</w:t>
      </w:r>
      <w:r w:rsidR="00E40CB9">
        <w:rPr>
          <w:rFonts w:ascii="Book Antiqua" w:hAnsi="Book Antiqua"/>
          <w:lang w:val="es-ES"/>
        </w:rPr>
        <w:t xml:space="preserve"> </w:t>
      </w:r>
      <w:r w:rsidR="00E40CB9" w:rsidRPr="00E40CB9">
        <w:rPr>
          <w:rFonts w:ascii="Book Antiqua" w:hAnsi="Book Antiqua"/>
          <w:lang w:val="es-ES"/>
        </w:rPr>
        <w:t>circunstancias que incrementan el</w:t>
      </w:r>
      <w:r w:rsidR="00E40CB9">
        <w:rPr>
          <w:rFonts w:ascii="Book Antiqua" w:hAnsi="Book Antiqua"/>
          <w:lang w:val="es-ES"/>
        </w:rPr>
        <w:t xml:space="preserve"> </w:t>
      </w:r>
      <w:r w:rsidR="00E40CB9" w:rsidRPr="00E40CB9">
        <w:rPr>
          <w:rFonts w:ascii="Book Antiqua" w:hAnsi="Book Antiqua"/>
          <w:lang w:val="es-ES"/>
        </w:rPr>
        <w:t>riesgo o el daño causado a la víctima. Así pues, si se le impone la misma pena que al</w:t>
      </w:r>
      <w:r w:rsidR="00E40CB9">
        <w:rPr>
          <w:rFonts w:ascii="Book Antiqua" w:hAnsi="Book Antiqua"/>
          <w:lang w:val="es-ES"/>
        </w:rPr>
        <w:t xml:space="preserve"> </w:t>
      </w:r>
      <w:r w:rsidR="00E40CB9" w:rsidRPr="00E40CB9">
        <w:rPr>
          <w:rFonts w:ascii="Book Antiqua" w:hAnsi="Book Antiqua"/>
          <w:lang w:val="es-ES"/>
        </w:rPr>
        <w:t>delito de maltrato mediante amenaza (Artículo 3.3), se atenúa el reconocimiento jurídico</w:t>
      </w:r>
      <w:r w:rsidR="00E40CB9">
        <w:rPr>
          <w:rFonts w:ascii="Book Antiqua" w:hAnsi="Book Antiqua"/>
          <w:lang w:val="es-ES"/>
        </w:rPr>
        <w:t xml:space="preserve"> </w:t>
      </w:r>
      <w:r w:rsidR="00E40CB9" w:rsidRPr="00E40CB9">
        <w:rPr>
          <w:rFonts w:ascii="Book Antiqua" w:hAnsi="Book Antiqua"/>
          <w:lang w:val="es-ES"/>
        </w:rPr>
        <w:t>de su mayor gravedad</w:t>
      </w:r>
      <w:r w:rsidR="00E40CB9">
        <w:rPr>
          <w:rFonts w:ascii="Book Antiqua" w:hAnsi="Book Antiqua"/>
          <w:lang w:val="es-ES"/>
        </w:rPr>
        <w:t>”.</w:t>
      </w:r>
    </w:p>
    <w:p w14:paraId="4A867C64" w14:textId="7490889E" w:rsidR="00CA559C" w:rsidRPr="00CA559C" w:rsidRDefault="00E40CB9" w:rsidP="0028310F">
      <w:pPr>
        <w:tabs>
          <w:tab w:val="left" w:pos="-720"/>
        </w:tabs>
        <w:suppressAutoHyphens/>
        <w:spacing w:line="276" w:lineRule="auto"/>
        <w:jc w:val="both"/>
        <w:rPr>
          <w:rFonts w:ascii="Book Antiqua" w:hAnsi="Book Antiqua"/>
          <w:lang w:val="es-ES"/>
        </w:rPr>
      </w:pPr>
      <w:r>
        <w:rPr>
          <w:rFonts w:ascii="Book Antiqua" w:hAnsi="Book Antiqua"/>
          <w:lang w:val="es-ES"/>
        </w:rPr>
        <w:tab/>
      </w:r>
      <w:r w:rsidR="00CA559C" w:rsidRPr="00CA559C">
        <w:rPr>
          <w:rFonts w:ascii="Book Antiqua" w:hAnsi="Book Antiqua"/>
          <w:lang w:val="es-ES"/>
        </w:rPr>
        <w:t xml:space="preserve">De manera similar, para el Artículo 3.2, </w:t>
      </w:r>
      <w:r w:rsidR="00597FA7">
        <w:rPr>
          <w:rFonts w:ascii="Book Antiqua" w:hAnsi="Book Antiqua"/>
          <w:lang w:val="es-ES"/>
        </w:rPr>
        <w:t xml:space="preserve">sobre </w:t>
      </w:r>
      <w:r w:rsidR="00CA559C" w:rsidRPr="00CA559C">
        <w:rPr>
          <w:rFonts w:ascii="Book Antiqua" w:hAnsi="Book Antiqua"/>
          <w:lang w:val="es-ES"/>
        </w:rPr>
        <w:t xml:space="preserve">Maltrato Agravado, y el Artículo 3.4, </w:t>
      </w:r>
      <w:r w:rsidR="00597FA7">
        <w:rPr>
          <w:rFonts w:ascii="Book Antiqua" w:hAnsi="Book Antiqua"/>
          <w:lang w:val="es-ES"/>
        </w:rPr>
        <w:t xml:space="preserve">sobre </w:t>
      </w:r>
      <w:r w:rsidR="00CA559C" w:rsidRPr="00CA559C">
        <w:rPr>
          <w:rFonts w:ascii="Book Antiqua" w:hAnsi="Book Antiqua"/>
          <w:lang w:val="es-ES"/>
        </w:rPr>
        <w:t>Restricción de la Libertad, para los que el P. del S. 84 propone una pena fija de tres (3) y ocho (8) años respectivamente, la OPM también recomienda aumentar las penas a ocho (8) años para el maltrato agravado y un aumento no especificado pero implícito para la restricción de la libertad. La OPM argumenta que un aumento en la pena para estos delitos graves es fundamental para reflejar la gravedad de la conducta y la especial vulnerabilidad de la víctima.</w:t>
      </w:r>
    </w:p>
    <w:p w14:paraId="01FD5F54" w14:textId="3160F20C" w:rsidR="00D94369" w:rsidRDefault="00D94369" w:rsidP="0006165F">
      <w:pPr>
        <w:tabs>
          <w:tab w:val="left" w:pos="-720"/>
        </w:tabs>
        <w:suppressAutoHyphens/>
        <w:spacing w:line="276" w:lineRule="auto"/>
        <w:jc w:val="both"/>
        <w:rPr>
          <w:rFonts w:ascii="Book Antiqua" w:hAnsi="Book Antiqua"/>
          <w:lang w:val="es-ES"/>
        </w:rPr>
      </w:pPr>
      <w:r>
        <w:rPr>
          <w:rFonts w:ascii="Book Antiqua" w:hAnsi="Book Antiqua"/>
          <w:lang w:val="es-ES"/>
        </w:rPr>
        <w:tab/>
      </w:r>
      <w:r w:rsidR="00F974FC">
        <w:rPr>
          <w:rFonts w:ascii="Book Antiqua" w:hAnsi="Book Antiqua"/>
          <w:lang w:val="es-ES"/>
        </w:rPr>
        <w:t>Otra</w:t>
      </w:r>
      <w:r w:rsidR="00CA559C" w:rsidRPr="00CA559C">
        <w:rPr>
          <w:rFonts w:ascii="Book Antiqua" w:hAnsi="Book Antiqua"/>
          <w:lang w:val="es-ES"/>
        </w:rPr>
        <w:t xml:space="preserve"> de las recomendaciones de la OPM se refiere al Artículo 3.5, </w:t>
      </w:r>
      <w:r w:rsidR="00F974FC">
        <w:rPr>
          <w:rFonts w:ascii="Book Antiqua" w:hAnsi="Book Antiqua"/>
          <w:lang w:val="es-ES"/>
        </w:rPr>
        <w:t xml:space="preserve">sobre </w:t>
      </w:r>
      <w:r w:rsidR="00CA559C" w:rsidRPr="00CA559C">
        <w:rPr>
          <w:rFonts w:ascii="Book Antiqua" w:hAnsi="Book Antiqua"/>
          <w:lang w:val="es-ES"/>
        </w:rPr>
        <w:t>Agresión Sexual Conyugal. Aunque el P. del S. 84 propone una pena fija de quince (15) años, la OPM sugiere elevar significativamente la pena a un término fijo de cincuenta (50) años</w:t>
      </w:r>
      <w:r w:rsidR="00F974FC">
        <w:rPr>
          <w:rFonts w:ascii="Book Antiqua" w:hAnsi="Book Antiqua"/>
          <w:lang w:val="es-ES"/>
        </w:rPr>
        <w:t>, equiparándolo con el delito de agresión sexual dispuesto en el Código Penal de Puerto Rico de 2012</w:t>
      </w:r>
      <w:r w:rsidR="00CA559C" w:rsidRPr="00CA559C">
        <w:rPr>
          <w:rFonts w:ascii="Book Antiqua" w:hAnsi="Book Antiqua"/>
          <w:lang w:val="es-ES"/>
        </w:rPr>
        <w:t>. Argumentan que el hecho de que la víctima sea cónyuge o excónyuge no debe implicar una reducción punitiva del delito</w:t>
      </w:r>
      <w:r>
        <w:rPr>
          <w:rFonts w:ascii="Book Antiqua" w:hAnsi="Book Antiqua"/>
          <w:lang w:val="es-ES"/>
        </w:rPr>
        <w:t xml:space="preserve"> de agresión sexual</w:t>
      </w:r>
      <w:r w:rsidR="00CA559C" w:rsidRPr="00CA559C">
        <w:rPr>
          <w:rFonts w:ascii="Book Antiqua" w:hAnsi="Book Antiqua"/>
          <w:lang w:val="es-ES"/>
        </w:rPr>
        <w:t xml:space="preserve">. Esta propuesta busca enviar un mensaje claro de </w:t>
      </w:r>
      <w:r w:rsidRPr="00CA559C">
        <w:rPr>
          <w:rFonts w:ascii="Book Antiqua" w:hAnsi="Book Antiqua"/>
          <w:lang w:val="es-ES"/>
        </w:rPr>
        <w:t>cero tolerancias</w:t>
      </w:r>
      <w:r w:rsidR="00CA559C" w:rsidRPr="00CA559C">
        <w:rPr>
          <w:rFonts w:ascii="Book Antiqua" w:hAnsi="Book Antiqua"/>
          <w:lang w:val="es-ES"/>
        </w:rPr>
        <w:t xml:space="preserve"> a la violencia sexual en el contexto de pareja. </w:t>
      </w:r>
      <w:r w:rsidR="0006165F">
        <w:rPr>
          <w:rFonts w:ascii="Book Antiqua" w:hAnsi="Book Antiqua"/>
          <w:lang w:val="es-ES"/>
        </w:rPr>
        <w:t>A juicio de la OPM “</w:t>
      </w:r>
      <w:r w:rsidR="0006165F" w:rsidRPr="0006165F">
        <w:rPr>
          <w:rFonts w:ascii="Book Antiqua" w:hAnsi="Book Antiqua"/>
          <w:lang w:val="es-ES"/>
        </w:rPr>
        <w:t>las víctimas sobrevivientes de violencia doméstica</w:t>
      </w:r>
      <w:r w:rsidR="0006165F">
        <w:rPr>
          <w:rFonts w:ascii="Book Antiqua" w:hAnsi="Book Antiqua"/>
          <w:lang w:val="es-ES"/>
        </w:rPr>
        <w:t xml:space="preserve"> </w:t>
      </w:r>
      <w:r w:rsidR="0006165F" w:rsidRPr="0006165F">
        <w:rPr>
          <w:rFonts w:ascii="Book Antiqua" w:hAnsi="Book Antiqua"/>
          <w:lang w:val="es-ES"/>
        </w:rPr>
        <w:t>y sus familias merecen sentir que el Estado ha respondido con</w:t>
      </w:r>
      <w:r w:rsidR="0006165F">
        <w:rPr>
          <w:rFonts w:ascii="Book Antiqua" w:hAnsi="Book Antiqua"/>
          <w:lang w:val="es-ES"/>
        </w:rPr>
        <w:t xml:space="preserve"> </w:t>
      </w:r>
      <w:r w:rsidR="0006165F" w:rsidRPr="0006165F">
        <w:rPr>
          <w:rFonts w:ascii="Book Antiqua" w:hAnsi="Book Antiqua"/>
          <w:lang w:val="es-ES"/>
        </w:rPr>
        <w:t>seriedad proporcional al</w:t>
      </w:r>
      <w:r w:rsidR="0006165F">
        <w:rPr>
          <w:rFonts w:ascii="Book Antiqua" w:hAnsi="Book Antiqua"/>
          <w:lang w:val="es-ES"/>
        </w:rPr>
        <w:t xml:space="preserve"> </w:t>
      </w:r>
      <w:r w:rsidR="0006165F" w:rsidRPr="0006165F">
        <w:rPr>
          <w:rFonts w:ascii="Book Antiqua" w:hAnsi="Book Antiqua"/>
          <w:lang w:val="es-ES"/>
        </w:rPr>
        <w:t>daño infligido</w:t>
      </w:r>
      <w:r w:rsidR="0006165F">
        <w:rPr>
          <w:rFonts w:ascii="Book Antiqua" w:hAnsi="Book Antiqua"/>
          <w:lang w:val="es-ES"/>
        </w:rPr>
        <w:t>”</w:t>
      </w:r>
      <w:r w:rsidR="0006165F" w:rsidRPr="0006165F">
        <w:rPr>
          <w:rFonts w:ascii="Book Antiqua" w:hAnsi="Book Antiqua"/>
          <w:lang w:val="es-ES"/>
        </w:rPr>
        <w:t>.</w:t>
      </w:r>
    </w:p>
    <w:p w14:paraId="44D7470E" w14:textId="77777777" w:rsidR="00D94369" w:rsidRDefault="00D94369" w:rsidP="0028310F">
      <w:pPr>
        <w:tabs>
          <w:tab w:val="left" w:pos="-720"/>
        </w:tabs>
        <w:suppressAutoHyphens/>
        <w:spacing w:line="276" w:lineRule="auto"/>
        <w:jc w:val="both"/>
        <w:rPr>
          <w:rFonts w:ascii="Book Antiqua" w:hAnsi="Book Antiqua"/>
          <w:lang w:val="es-ES"/>
        </w:rPr>
      </w:pPr>
      <w:r>
        <w:rPr>
          <w:rFonts w:ascii="Book Antiqua" w:hAnsi="Book Antiqua"/>
          <w:lang w:val="es-ES"/>
        </w:rPr>
        <w:tab/>
      </w:r>
      <w:r w:rsidR="00CA559C" w:rsidRPr="00CA559C">
        <w:rPr>
          <w:rFonts w:ascii="Book Antiqua" w:hAnsi="Book Antiqua"/>
          <w:lang w:val="es-ES"/>
        </w:rPr>
        <w:t xml:space="preserve">La OPM también enfatiza que el aumento de las penas, particularmente en casos de reincidencia, puede incentivar la participación de los agresores en programas de reeducación y rehabilitación, manifestando un efecto disuasivo antes y durante el proceso judicial. Además, la imposición obligatoria de supervisión electrónica en sentencias suspendidas para la violación de órdenes de protección (Artículo 2.8) es vista por la OPM como una medida esencial de seguridad para las víctimas y un mecanismo para proteger el bienestar inmediato de las personas afectadas por violencia doméstica. </w:t>
      </w:r>
    </w:p>
    <w:p w14:paraId="5890CB43" w14:textId="77777777" w:rsidR="00D46299" w:rsidRDefault="00D94369" w:rsidP="0028310F">
      <w:pPr>
        <w:tabs>
          <w:tab w:val="left" w:pos="-720"/>
        </w:tabs>
        <w:suppressAutoHyphens/>
        <w:spacing w:line="276" w:lineRule="auto"/>
        <w:jc w:val="both"/>
        <w:rPr>
          <w:rFonts w:ascii="Book Antiqua" w:hAnsi="Book Antiqua"/>
          <w:lang w:val="es-ES"/>
        </w:rPr>
      </w:pPr>
      <w:r>
        <w:rPr>
          <w:rFonts w:ascii="Book Antiqua" w:hAnsi="Book Antiqua"/>
          <w:lang w:val="es-ES"/>
        </w:rPr>
        <w:tab/>
      </w:r>
      <w:r w:rsidR="00CA559C" w:rsidRPr="00CA559C">
        <w:rPr>
          <w:rFonts w:ascii="Book Antiqua" w:hAnsi="Book Antiqua"/>
          <w:lang w:val="es-ES"/>
        </w:rPr>
        <w:t xml:space="preserve">La OPM reitera que estas enmiendas buscan que la ley refleje con mayor claridad la jerarquía y proporcionalidad entre los delitos tipificados, y que se </w:t>
      </w:r>
      <w:r w:rsidR="00CA559C" w:rsidRPr="00CA559C">
        <w:rPr>
          <w:rFonts w:ascii="Book Antiqua" w:hAnsi="Book Antiqua"/>
          <w:lang w:val="es-ES"/>
        </w:rPr>
        <w:lastRenderedPageBreak/>
        <w:t>mantenga como un instrumento eficaz para atender y erradicar la violencia doméstica en Puerto Rico.</w:t>
      </w:r>
    </w:p>
    <w:p w14:paraId="506697A3" w14:textId="5E910941" w:rsidR="00CA1098" w:rsidRPr="00422F87" w:rsidRDefault="00D46299" w:rsidP="0028310F">
      <w:pPr>
        <w:tabs>
          <w:tab w:val="left" w:pos="-720"/>
        </w:tabs>
        <w:suppressAutoHyphens/>
        <w:spacing w:line="276" w:lineRule="auto"/>
        <w:jc w:val="both"/>
        <w:rPr>
          <w:rFonts w:ascii="Book Antiqua" w:hAnsi="Book Antiqua"/>
          <w:lang w:val="es-ES"/>
        </w:rPr>
      </w:pPr>
      <w:r>
        <w:rPr>
          <w:rFonts w:ascii="Book Antiqua" w:hAnsi="Book Antiqua"/>
          <w:lang w:val="es-ES"/>
        </w:rPr>
        <w:tab/>
      </w:r>
      <w:r w:rsidR="00422F87" w:rsidRPr="00422F87">
        <w:rPr>
          <w:rFonts w:ascii="Book Antiqua" w:hAnsi="Book Antiqua"/>
          <w:lang w:val="es-ES"/>
        </w:rPr>
        <w:t xml:space="preserve">La Comisión coincide con </w:t>
      </w:r>
      <w:r w:rsidR="008C6CB7">
        <w:rPr>
          <w:rFonts w:ascii="Book Antiqua" w:hAnsi="Book Antiqua"/>
          <w:lang w:val="es-ES"/>
        </w:rPr>
        <w:t>la mayoría de los</w:t>
      </w:r>
      <w:r w:rsidR="00422F87" w:rsidRPr="00422F87">
        <w:rPr>
          <w:rFonts w:ascii="Book Antiqua" w:hAnsi="Book Antiqua"/>
          <w:lang w:val="es-ES"/>
        </w:rPr>
        <w:t xml:space="preserve"> comentarios de la OPM</w:t>
      </w:r>
      <w:r w:rsidR="008C6CB7">
        <w:rPr>
          <w:rFonts w:ascii="Book Antiqua" w:hAnsi="Book Antiqua"/>
          <w:lang w:val="es-ES"/>
        </w:rPr>
        <w:t>,</w:t>
      </w:r>
      <w:r w:rsidR="00422F87" w:rsidRPr="00422F87">
        <w:rPr>
          <w:rFonts w:ascii="Book Antiqua" w:hAnsi="Book Antiqua"/>
          <w:lang w:val="es-ES"/>
        </w:rPr>
        <w:t xml:space="preserve"> </w:t>
      </w:r>
      <w:r w:rsidR="00412FCD" w:rsidRPr="00422F87">
        <w:rPr>
          <w:rFonts w:ascii="Book Antiqua" w:hAnsi="Book Antiqua"/>
          <w:lang w:val="es-ES"/>
        </w:rPr>
        <w:t>excepto</w:t>
      </w:r>
      <w:r w:rsidR="00422F87" w:rsidRPr="00422F87">
        <w:rPr>
          <w:rFonts w:ascii="Book Antiqua" w:hAnsi="Book Antiqua"/>
          <w:lang w:val="es-ES"/>
        </w:rPr>
        <w:t xml:space="preserve"> con la sugerencia de </w:t>
      </w:r>
      <w:r w:rsidR="00412FCD">
        <w:rPr>
          <w:rFonts w:ascii="Book Antiqua" w:hAnsi="Book Antiqua"/>
          <w:lang w:val="es-ES"/>
        </w:rPr>
        <w:t xml:space="preserve">que </w:t>
      </w:r>
      <w:r w:rsidR="00412FCD" w:rsidRPr="00412FCD">
        <w:rPr>
          <w:rFonts w:ascii="Book Antiqua" w:hAnsi="Book Antiqua"/>
          <w:lang w:val="es-ES"/>
        </w:rPr>
        <w:t xml:space="preserve">se </w:t>
      </w:r>
      <w:r w:rsidR="009D722F">
        <w:rPr>
          <w:rFonts w:ascii="Book Antiqua" w:hAnsi="Book Antiqua"/>
          <w:lang w:val="es-ES"/>
        </w:rPr>
        <w:t>añadan disposiciones que</w:t>
      </w:r>
      <w:r w:rsidR="00412FCD" w:rsidRPr="00412FCD">
        <w:rPr>
          <w:rFonts w:ascii="Book Antiqua" w:hAnsi="Book Antiqua"/>
          <w:lang w:val="es-ES"/>
        </w:rPr>
        <w:t xml:space="preserve"> expresamente </w:t>
      </w:r>
      <w:r w:rsidR="009D722F">
        <w:rPr>
          <w:rFonts w:ascii="Book Antiqua" w:hAnsi="Book Antiqua"/>
          <w:lang w:val="es-ES"/>
        </w:rPr>
        <w:t>excluyan varios delitos de la Ley 54 de la disponibilidad de la libertad a prueba o sentencia suspendida.</w:t>
      </w:r>
      <w:r w:rsidR="00412FCD">
        <w:rPr>
          <w:rFonts w:ascii="Book Antiqua" w:hAnsi="Book Antiqua"/>
          <w:lang w:val="es-ES"/>
        </w:rPr>
        <w:t xml:space="preserve"> </w:t>
      </w:r>
      <w:r w:rsidR="009D722F">
        <w:rPr>
          <w:rFonts w:ascii="Book Antiqua" w:hAnsi="Book Antiqua"/>
          <w:lang w:val="es-ES"/>
        </w:rPr>
        <w:t>U</w:t>
      </w:r>
      <w:r w:rsidR="00305D5B">
        <w:rPr>
          <w:rFonts w:ascii="Book Antiqua" w:hAnsi="Book Antiqua"/>
          <w:lang w:val="es-ES"/>
        </w:rPr>
        <w:t xml:space="preserve">na enmienda como </w:t>
      </w:r>
      <w:r w:rsidR="008C6CB7">
        <w:rPr>
          <w:rFonts w:ascii="Book Antiqua" w:hAnsi="Book Antiqua"/>
          <w:lang w:val="es-ES"/>
        </w:rPr>
        <w:t>la que propone la OMP</w:t>
      </w:r>
      <w:r w:rsidR="00305D5B">
        <w:rPr>
          <w:rFonts w:ascii="Book Antiqua" w:hAnsi="Book Antiqua"/>
          <w:lang w:val="es-ES"/>
        </w:rPr>
        <w:t xml:space="preserve"> distorsiona el propósito original del P. del S. 84</w:t>
      </w:r>
      <w:r w:rsidR="009D722F">
        <w:rPr>
          <w:rFonts w:ascii="Book Antiqua" w:hAnsi="Book Antiqua"/>
          <w:lang w:val="es-ES"/>
        </w:rPr>
        <w:t xml:space="preserve"> que solo busca actualizar las penas al sistema de penas fijas vigente en Puerto Rico</w:t>
      </w:r>
      <w:r w:rsidR="00470BF0">
        <w:rPr>
          <w:rFonts w:ascii="Book Antiqua" w:hAnsi="Book Antiqua"/>
          <w:lang w:val="es-ES"/>
        </w:rPr>
        <w:t>.</w:t>
      </w:r>
    </w:p>
    <w:p w14:paraId="35931FC5" w14:textId="77777777" w:rsidR="00940E84" w:rsidRPr="00422F87" w:rsidRDefault="00940E84" w:rsidP="0028310F">
      <w:pPr>
        <w:tabs>
          <w:tab w:val="left" w:pos="-720"/>
        </w:tabs>
        <w:suppressAutoHyphens/>
        <w:spacing w:line="276" w:lineRule="auto"/>
        <w:jc w:val="both"/>
        <w:rPr>
          <w:rFonts w:ascii="Book Antiqua" w:hAnsi="Book Antiqua"/>
          <w:lang w:val="es-ES"/>
        </w:rPr>
      </w:pPr>
    </w:p>
    <w:p w14:paraId="302CAC3A" w14:textId="141F50AB" w:rsidR="00D13D23" w:rsidRPr="00422F87" w:rsidRDefault="0096171F" w:rsidP="0028310F">
      <w:pPr>
        <w:tabs>
          <w:tab w:val="left" w:pos="-720"/>
        </w:tabs>
        <w:suppressAutoHyphens/>
        <w:spacing w:line="276" w:lineRule="auto"/>
        <w:ind w:firstLine="360"/>
        <w:jc w:val="center"/>
        <w:rPr>
          <w:rFonts w:ascii="Book Antiqua" w:hAnsi="Book Antiqua"/>
          <w:b/>
          <w:bCs/>
          <w:lang w:val="es-ES"/>
        </w:rPr>
      </w:pPr>
      <w:r w:rsidRPr="00422F87">
        <w:rPr>
          <w:rFonts w:ascii="Book Antiqua" w:hAnsi="Book Antiqua"/>
          <w:b/>
          <w:bCs/>
          <w:lang w:val="es-ES"/>
        </w:rPr>
        <w:t>I</w:t>
      </w:r>
      <w:r w:rsidR="002C402D" w:rsidRPr="00422F87">
        <w:rPr>
          <w:rFonts w:ascii="Book Antiqua" w:hAnsi="Book Antiqua"/>
          <w:b/>
          <w:bCs/>
          <w:lang w:val="es-ES"/>
        </w:rPr>
        <w:t>MPACTO FISCAL</w:t>
      </w:r>
      <w:r w:rsidR="00D13D23" w:rsidRPr="00422F87">
        <w:rPr>
          <w:rFonts w:ascii="Book Antiqua" w:hAnsi="Book Antiqua"/>
          <w:b/>
          <w:bCs/>
          <w:lang w:val="es-ES"/>
        </w:rPr>
        <w:t xml:space="preserve"> MUNICIPAL </w:t>
      </w:r>
    </w:p>
    <w:p w14:paraId="144378DC" w14:textId="77777777" w:rsidR="000C52A1" w:rsidRPr="00422F87" w:rsidRDefault="000C52A1" w:rsidP="0028310F">
      <w:pPr>
        <w:tabs>
          <w:tab w:val="left" w:pos="-720"/>
        </w:tabs>
        <w:suppressAutoHyphens/>
        <w:spacing w:line="276" w:lineRule="auto"/>
        <w:ind w:firstLine="360"/>
        <w:jc w:val="center"/>
        <w:rPr>
          <w:rFonts w:ascii="Book Antiqua" w:hAnsi="Book Antiqua"/>
          <w:b/>
          <w:bCs/>
          <w:lang w:val="es-ES"/>
        </w:rPr>
      </w:pPr>
    </w:p>
    <w:p w14:paraId="3CD7EB56" w14:textId="3C81D4EF" w:rsidR="002C402D" w:rsidRPr="00422F87" w:rsidRDefault="004F6E72" w:rsidP="0028310F">
      <w:pPr>
        <w:tabs>
          <w:tab w:val="left" w:pos="-720"/>
        </w:tabs>
        <w:suppressAutoHyphens/>
        <w:spacing w:line="276" w:lineRule="auto"/>
        <w:ind w:firstLine="360"/>
        <w:jc w:val="both"/>
        <w:rPr>
          <w:rFonts w:ascii="Book Antiqua" w:hAnsi="Book Antiqua"/>
          <w:lang w:val="es-ES"/>
        </w:rPr>
      </w:pPr>
      <w:r w:rsidRPr="00422F87">
        <w:rPr>
          <w:rFonts w:ascii="Book Antiqua" w:hAnsi="Book Antiqua"/>
          <w:lang w:val="es-ES"/>
        </w:rPr>
        <w:tab/>
      </w:r>
      <w:r w:rsidR="00D13D23" w:rsidRPr="00422F87">
        <w:rPr>
          <w:rFonts w:ascii="Book Antiqua" w:hAnsi="Book Antiqua"/>
          <w:lang w:val="es-ES"/>
        </w:rPr>
        <w:t xml:space="preserve">En cumplimiento con el Artículo 1.007 de la Ley Núm. 107–2020, según enmendada, conocida como “Código Municipal de Puerto Rico”, la </w:t>
      </w:r>
      <w:r w:rsidR="00BE6740" w:rsidRPr="00422F87">
        <w:rPr>
          <w:rFonts w:ascii="Book Antiqua" w:hAnsi="Book Antiqua"/>
          <w:spacing w:val="-3"/>
          <w:lang w:val="es-ES"/>
        </w:rPr>
        <w:t>Comisión de lo Jurídico del Senado de Puerto Rico</w:t>
      </w:r>
      <w:r w:rsidR="00BE6740" w:rsidRPr="00422F87">
        <w:rPr>
          <w:rFonts w:ascii="Book Antiqua" w:hAnsi="Book Antiqua"/>
          <w:lang w:val="es-ES"/>
        </w:rPr>
        <w:t xml:space="preserve"> </w:t>
      </w:r>
      <w:r w:rsidRPr="00422F87">
        <w:rPr>
          <w:rFonts w:ascii="Book Antiqua" w:hAnsi="Book Antiqua"/>
          <w:lang w:val="es-ES"/>
        </w:rPr>
        <w:t xml:space="preserve">certifica que el </w:t>
      </w:r>
      <w:r w:rsidR="00470BF0">
        <w:rPr>
          <w:rFonts w:ascii="Book Antiqua" w:hAnsi="Book Antiqua"/>
          <w:lang w:val="es-ES"/>
        </w:rPr>
        <w:t>P. del S. 84</w:t>
      </w:r>
      <w:r w:rsidR="00D13D23" w:rsidRPr="00422F87">
        <w:rPr>
          <w:rFonts w:ascii="Book Antiqua" w:hAnsi="Book Antiqua"/>
          <w:lang w:val="es-ES"/>
        </w:rPr>
        <w:t xml:space="preserve"> no impone una obligación económica en el presupuesto</w:t>
      </w:r>
      <w:r w:rsidR="00946BB4" w:rsidRPr="00422F87">
        <w:rPr>
          <w:rFonts w:ascii="Book Antiqua" w:hAnsi="Book Antiqua"/>
          <w:lang w:val="es-ES"/>
        </w:rPr>
        <w:t xml:space="preserve"> de los gobiernos municipales. </w:t>
      </w:r>
    </w:p>
    <w:p w14:paraId="426C19E9" w14:textId="77777777" w:rsidR="00946BB4" w:rsidRPr="00422F87" w:rsidRDefault="00946BB4" w:rsidP="0028310F">
      <w:pPr>
        <w:tabs>
          <w:tab w:val="left" w:pos="-720"/>
        </w:tabs>
        <w:suppressAutoHyphens/>
        <w:spacing w:line="276" w:lineRule="auto"/>
        <w:ind w:firstLine="360"/>
        <w:jc w:val="both"/>
        <w:rPr>
          <w:rFonts w:ascii="Book Antiqua" w:hAnsi="Book Antiqua"/>
          <w:lang w:val="es-ES"/>
        </w:rPr>
      </w:pPr>
    </w:p>
    <w:p w14:paraId="482AC70D" w14:textId="77777777" w:rsidR="0096171F" w:rsidRPr="00422F87" w:rsidRDefault="0096171F" w:rsidP="0028310F">
      <w:pPr>
        <w:tabs>
          <w:tab w:val="left" w:pos="-720"/>
        </w:tabs>
        <w:suppressAutoHyphens/>
        <w:spacing w:line="276" w:lineRule="auto"/>
        <w:ind w:firstLine="360"/>
        <w:jc w:val="center"/>
        <w:rPr>
          <w:rFonts w:ascii="Book Antiqua" w:hAnsi="Book Antiqua"/>
          <w:b/>
          <w:bCs/>
          <w:lang w:val="es-ES"/>
        </w:rPr>
      </w:pPr>
      <w:r w:rsidRPr="00422F87">
        <w:rPr>
          <w:rFonts w:ascii="Book Antiqua" w:hAnsi="Book Antiqua"/>
          <w:b/>
          <w:bCs/>
          <w:lang w:val="es-ES"/>
        </w:rPr>
        <w:t>C</w:t>
      </w:r>
      <w:r w:rsidR="002C402D" w:rsidRPr="00422F87">
        <w:rPr>
          <w:rFonts w:ascii="Book Antiqua" w:hAnsi="Book Antiqua"/>
          <w:b/>
          <w:bCs/>
          <w:lang w:val="es-ES"/>
        </w:rPr>
        <w:t xml:space="preserve">ONCLUSIÓN </w:t>
      </w:r>
    </w:p>
    <w:p w14:paraId="040801D3" w14:textId="77777777" w:rsidR="000C52A1" w:rsidRPr="00422F87" w:rsidRDefault="000C52A1" w:rsidP="0028310F">
      <w:pPr>
        <w:tabs>
          <w:tab w:val="left" w:pos="-720"/>
        </w:tabs>
        <w:suppressAutoHyphens/>
        <w:spacing w:line="276" w:lineRule="auto"/>
        <w:ind w:firstLine="360"/>
        <w:jc w:val="center"/>
        <w:rPr>
          <w:rFonts w:ascii="Book Antiqua" w:hAnsi="Book Antiqua"/>
          <w:b/>
          <w:bCs/>
          <w:lang w:val="es-ES"/>
        </w:rPr>
      </w:pPr>
    </w:p>
    <w:p w14:paraId="7BDD79F8" w14:textId="5BFA3F23" w:rsidR="00A12823" w:rsidRDefault="00006DDC" w:rsidP="0028310F">
      <w:pPr>
        <w:tabs>
          <w:tab w:val="left" w:pos="-720"/>
        </w:tabs>
        <w:suppressAutoHyphens/>
        <w:spacing w:line="276" w:lineRule="auto"/>
        <w:ind w:firstLine="360"/>
        <w:jc w:val="both"/>
        <w:rPr>
          <w:rFonts w:ascii="Book Antiqua" w:hAnsi="Book Antiqua"/>
          <w:lang w:val="es-ES"/>
        </w:rPr>
      </w:pPr>
      <w:r w:rsidRPr="00422F87">
        <w:rPr>
          <w:rFonts w:ascii="Book Antiqua" w:hAnsi="Book Antiqua"/>
          <w:lang w:val="es-ES"/>
        </w:rPr>
        <w:tab/>
        <w:t xml:space="preserve">La </w:t>
      </w:r>
      <w:r w:rsidR="00F86C0C" w:rsidRPr="00422F87">
        <w:rPr>
          <w:rFonts w:ascii="Book Antiqua" w:hAnsi="Book Antiqua"/>
          <w:spacing w:val="-3"/>
          <w:lang w:val="es-ES"/>
        </w:rPr>
        <w:t>Comisión de lo Jurídico del Senado de Puerto Rico</w:t>
      </w:r>
      <w:r w:rsidRPr="00422F87">
        <w:rPr>
          <w:rFonts w:ascii="Book Antiqua" w:hAnsi="Book Antiqua"/>
          <w:lang w:val="es-ES"/>
        </w:rPr>
        <w:t xml:space="preserve">, reconociendo la importancia del </w:t>
      </w:r>
      <w:r w:rsidR="003131E4">
        <w:rPr>
          <w:rFonts w:ascii="Book Antiqua" w:hAnsi="Book Antiqua"/>
          <w:lang w:val="es-ES"/>
        </w:rPr>
        <w:t>P. del S. 84,</w:t>
      </w:r>
      <w:r w:rsidR="00352C78" w:rsidRPr="00422F87">
        <w:rPr>
          <w:rFonts w:ascii="Book Antiqua" w:hAnsi="Book Antiqua"/>
          <w:lang w:val="es-ES"/>
        </w:rPr>
        <w:t xml:space="preserve"> </w:t>
      </w:r>
      <w:r w:rsidR="004F6E72" w:rsidRPr="00422F87">
        <w:rPr>
          <w:rFonts w:ascii="Book Antiqua" w:hAnsi="Book Antiqua"/>
          <w:lang w:val="es-ES"/>
        </w:rPr>
        <w:t xml:space="preserve">efectuó un análisis minucioso de </w:t>
      </w:r>
      <w:r w:rsidR="00352C78" w:rsidRPr="00422F87">
        <w:rPr>
          <w:rFonts w:ascii="Book Antiqua" w:hAnsi="Book Antiqua"/>
          <w:lang w:val="es-ES"/>
        </w:rPr>
        <w:t xml:space="preserve">la </w:t>
      </w:r>
      <w:r w:rsidR="001D12A7" w:rsidRPr="00422F87">
        <w:rPr>
          <w:rFonts w:ascii="Book Antiqua" w:hAnsi="Book Antiqua"/>
          <w:lang w:val="es-ES"/>
        </w:rPr>
        <w:t xml:space="preserve">medida, </w:t>
      </w:r>
      <w:r w:rsidR="000774D6">
        <w:rPr>
          <w:rFonts w:ascii="Book Antiqua" w:hAnsi="Book Antiqua"/>
          <w:lang w:val="es-ES"/>
        </w:rPr>
        <w:t xml:space="preserve">estudió la </w:t>
      </w:r>
      <w:r w:rsidR="000774D6" w:rsidRPr="00422F87">
        <w:rPr>
          <w:rFonts w:ascii="Book Antiqua" w:hAnsi="Book Antiqua"/>
          <w:lang w:val="es-ES"/>
        </w:rPr>
        <w:t>Ley Núm. 54 de 15 de agosto de 1989, según enmendada, conocida como “Ley para la Prevención e Intervención con la Violencia Doméstica”</w:t>
      </w:r>
      <w:r w:rsidR="000774D6">
        <w:rPr>
          <w:rFonts w:ascii="Book Antiqua" w:hAnsi="Book Antiqua"/>
          <w:lang w:val="es-ES"/>
        </w:rPr>
        <w:t xml:space="preserve">, realizó un análisis comparado entre el </w:t>
      </w:r>
      <w:r w:rsidR="000774D6" w:rsidRPr="001D7EA7">
        <w:rPr>
          <w:rFonts w:ascii="Book Antiqua" w:hAnsi="Book Antiqua"/>
          <w:szCs w:val="24"/>
          <w:lang w:val="es-PR"/>
        </w:rPr>
        <w:t xml:space="preserve">“Código Penal del Estado Libre Asociado de Puerto Rico de 2004” y el “Código Penal de Puerto Rico de 2012”, </w:t>
      </w:r>
      <w:r w:rsidR="000774D6">
        <w:rPr>
          <w:rFonts w:ascii="Book Antiqua" w:hAnsi="Book Antiqua"/>
          <w:lang w:val="es-ES"/>
        </w:rPr>
        <w:t>y</w:t>
      </w:r>
      <w:r w:rsidR="00642E4C">
        <w:rPr>
          <w:rFonts w:ascii="Book Antiqua" w:hAnsi="Book Antiqua"/>
          <w:lang w:val="es-ES"/>
        </w:rPr>
        <w:t xml:space="preserve"> analizó el memorial explicativo de la Oficina de la Procuradora de las Mujeres.</w:t>
      </w:r>
    </w:p>
    <w:p w14:paraId="1C1C4B0A" w14:textId="56BFCDB3" w:rsidR="003131E4" w:rsidRDefault="00C10ADB" w:rsidP="00C10ADB">
      <w:pPr>
        <w:tabs>
          <w:tab w:val="left" w:pos="-720"/>
        </w:tabs>
        <w:suppressAutoHyphens/>
        <w:spacing w:line="276" w:lineRule="auto"/>
        <w:jc w:val="both"/>
        <w:rPr>
          <w:rFonts w:ascii="Book Antiqua" w:hAnsi="Book Antiqua"/>
          <w:lang w:val="es-ES"/>
        </w:rPr>
      </w:pPr>
      <w:r>
        <w:rPr>
          <w:rFonts w:ascii="Book Antiqua" w:hAnsi="Book Antiqua"/>
          <w:lang w:val="es-ES"/>
        </w:rPr>
        <w:tab/>
      </w:r>
      <w:r w:rsidR="00F41961" w:rsidRPr="00F41961">
        <w:rPr>
          <w:rFonts w:ascii="Book Antiqua" w:hAnsi="Book Antiqua"/>
          <w:lang w:val="es-ES"/>
        </w:rPr>
        <w:t xml:space="preserve">En cuanto a la propuesta </w:t>
      </w:r>
      <w:r w:rsidR="00F41961">
        <w:rPr>
          <w:rFonts w:ascii="Book Antiqua" w:hAnsi="Book Antiqua"/>
          <w:lang w:val="es-ES"/>
        </w:rPr>
        <w:t xml:space="preserve">del P. del S. 84 </w:t>
      </w:r>
      <w:r w:rsidR="00F41961" w:rsidRPr="00F41961">
        <w:rPr>
          <w:rFonts w:ascii="Book Antiqua" w:hAnsi="Book Antiqua"/>
          <w:lang w:val="es-ES"/>
        </w:rPr>
        <w:t xml:space="preserve">de imponer una pena fija de ocho (8) años por el delito de incumplimiento de órdenes de protección, según tipificado en el Artículo 2.8 de la Ley 54, entendemos que lo correcto </w:t>
      </w:r>
      <w:r>
        <w:rPr>
          <w:rFonts w:ascii="Book Antiqua" w:hAnsi="Book Antiqua"/>
          <w:lang w:val="es-ES"/>
        </w:rPr>
        <w:t>es</w:t>
      </w:r>
      <w:r w:rsidR="00F41961" w:rsidRPr="00F41961">
        <w:rPr>
          <w:rFonts w:ascii="Book Antiqua" w:hAnsi="Book Antiqua"/>
          <w:lang w:val="es-ES"/>
        </w:rPr>
        <w:t xml:space="preserve"> establecer una pena equivalente a tres (3) años de prisión. Actualmente, la Ley 54 dispone que este delito constituye un “delito grave de tercer grado en su mitad inferior”. Según el sistema de penas anterior, ese lenguaje correspondía a una condena de tres (3) años de reclusión, y no de ocho (8) años. Así lo confirma el derogado Artículo 16 del Código Penal de 2004, que establecía que la pena por un delito grave de tercer grado oscilaba entre tres (3) años y un (1) día, y ocho (8) años, por lo que su mitad </w:t>
      </w:r>
      <w:r w:rsidR="00F41961" w:rsidRPr="00643EA9">
        <w:rPr>
          <w:rFonts w:ascii="Book Antiqua" w:hAnsi="Book Antiqua"/>
          <w:b/>
          <w:bCs/>
          <w:lang w:val="es-ES"/>
        </w:rPr>
        <w:t>inferior</w:t>
      </w:r>
      <w:r w:rsidR="00F41961" w:rsidRPr="00F41961">
        <w:rPr>
          <w:rFonts w:ascii="Book Antiqua" w:hAnsi="Book Antiqua"/>
          <w:lang w:val="es-ES"/>
        </w:rPr>
        <w:t xml:space="preserve"> equivale a tres (3) años</w:t>
      </w:r>
      <w:r w:rsidR="005968F0">
        <w:rPr>
          <w:rFonts w:ascii="Book Antiqua" w:hAnsi="Book Antiqua"/>
          <w:lang w:val="es-ES"/>
        </w:rPr>
        <w:t xml:space="preserve"> </w:t>
      </w:r>
      <w:r w:rsidR="000C182A">
        <w:rPr>
          <w:rFonts w:ascii="Book Antiqua" w:hAnsi="Book Antiqua"/>
          <w:lang w:val="es-ES"/>
        </w:rPr>
        <w:t>de reclusión</w:t>
      </w:r>
      <w:r w:rsidR="005968F0">
        <w:rPr>
          <w:rFonts w:ascii="Book Antiqua" w:hAnsi="Book Antiqua"/>
          <w:lang w:val="es-ES"/>
        </w:rPr>
        <w:t>.</w:t>
      </w:r>
      <w:r w:rsidR="00942D49">
        <w:rPr>
          <w:rFonts w:ascii="Book Antiqua" w:hAnsi="Book Antiqua"/>
          <w:lang w:val="es-ES"/>
        </w:rPr>
        <w:t xml:space="preserve"> </w:t>
      </w:r>
      <w:r w:rsidR="00D47749" w:rsidRPr="00D47749">
        <w:rPr>
          <w:rFonts w:ascii="Book Antiqua" w:hAnsi="Book Antiqua"/>
          <w:lang w:val="es-ES"/>
        </w:rPr>
        <w:t>Debe aplicarse el mismo criterio a la propuesta de imponer una pena fija de ocho (8) años de reclusión por el delito de maltrato mediante restricción de la libertad, tipificado en el Artículo 3.4</w:t>
      </w:r>
      <w:r w:rsidR="00D47749">
        <w:rPr>
          <w:rFonts w:ascii="Book Antiqua" w:hAnsi="Book Antiqua"/>
          <w:lang w:val="es-ES"/>
        </w:rPr>
        <w:t xml:space="preserve"> de la Ley 54</w:t>
      </w:r>
      <w:r w:rsidR="00D47749" w:rsidRPr="00D47749">
        <w:rPr>
          <w:rFonts w:ascii="Book Antiqua" w:hAnsi="Book Antiqua"/>
          <w:lang w:val="es-ES"/>
        </w:rPr>
        <w:t xml:space="preserve">. Este </w:t>
      </w:r>
      <w:r w:rsidR="00D47749">
        <w:rPr>
          <w:rFonts w:ascii="Book Antiqua" w:hAnsi="Book Antiqua"/>
          <w:lang w:val="es-ES"/>
        </w:rPr>
        <w:t>A</w:t>
      </w:r>
      <w:r w:rsidR="00D47749" w:rsidRPr="00D47749">
        <w:rPr>
          <w:rFonts w:ascii="Book Antiqua" w:hAnsi="Book Antiqua"/>
          <w:lang w:val="es-ES"/>
        </w:rPr>
        <w:t xml:space="preserve">rtículo clasifica la </w:t>
      </w:r>
      <w:r w:rsidR="00D47749" w:rsidRPr="00D47749">
        <w:rPr>
          <w:rFonts w:ascii="Book Antiqua" w:hAnsi="Book Antiqua"/>
          <w:lang w:val="es-ES"/>
        </w:rPr>
        <w:lastRenderedPageBreak/>
        <w:t xml:space="preserve">conducta </w:t>
      </w:r>
      <w:r w:rsidR="000C182A">
        <w:rPr>
          <w:rFonts w:ascii="Book Antiqua" w:hAnsi="Book Antiqua"/>
          <w:lang w:val="es-ES"/>
        </w:rPr>
        <w:t xml:space="preserve">de </w:t>
      </w:r>
      <w:r w:rsidR="000C182A" w:rsidRPr="00D47749">
        <w:rPr>
          <w:rFonts w:ascii="Book Antiqua" w:hAnsi="Book Antiqua"/>
          <w:lang w:val="es-ES"/>
        </w:rPr>
        <w:t xml:space="preserve">restricción de la libertad </w:t>
      </w:r>
      <w:r w:rsidR="00D47749" w:rsidRPr="00D47749">
        <w:rPr>
          <w:rFonts w:ascii="Book Antiqua" w:hAnsi="Book Antiqua"/>
          <w:lang w:val="es-ES"/>
        </w:rPr>
        <w:t>como un “delito grave de tercer grado en su mitad inferior”, lo que equivale a una pena de tres (3) años de reclusión. Ajustar la pena a tres (3) años también resulta consistente con lo dispuesto en el Artículo 156 del Código Penal de Puerto Rico de 2012.</w:t>
      </w:r>
      <w:r w:rsidR="00D47749">
        <w:rPr>
          <w:rStyle w:val="FootnoteReference"/>
          <w:rFonts w:ascii="Book Antiqua" w:hAnsi="Book Antiqua"/>
          <w:lang w:val="es-ES"/>
        </w:rPr>
        <w:footnoteReference w:id="1"/>
      </w:r>
    </w:p>
    <w:p w14:paraId="70E7AF19" w14:textId="42B7DD8A" w:rsidR="00385836" w:rsidRDefault="008F720C" w:rsidP="00C10ADB">
      <w:pPr>
        <w:tabs>
          <w:tab w:val="left" w:pos="-720"/>
        </w:tabs>
        <w:suppressAutoHyphens/>
        <w:spacing w:line="276" w:lineRule="auto"/>
        <w:jc w:val="both"/>
        <w:rPr>
          <w:rFonts w:ascii="Book Antiqua" w:hAnsi="Book Antiqua"/>
          <w:lang w:val="es-ES"/>
        </w:rPr>
      </w:pPr>
      <w:r>
        <w:rPr>
          <w:rFonts w:ascii="Book Antiqua" w:hAnsi="Book Antiqua"/>
          <w:lang w:val="es-ES"/>
        </w:rPr>
        <w:tab/>
        <w:t>En relación con</w:t>
      </w:r>
      <w:r w:rsidR="00A74F7B">
        <w:rPr>
          <w:rFonts w:ascii="Book Antiqua" w:hAnsi="Book Antiqua"/>
          <w:lang w:val="es-ES"/>
        </w:rPr>
        <w:t xml:space="preserve"> la enmienda de castigar </w:t>
      </w:r>
      <w:r w:rsidR="00EB5031">
        <w:rPr>
          <w:rFonts w:ascii="Book Antiqua" w:hAnsi="Book Antiqua"/>
          <w:lang w:val="es-ES"/>
        </w:rPr>
        <w:t>los delitos</w:t>
      </w:r>
      <w:r>
        <w:rPr>
          <w:rFonts w:ascii="Book Antiqua" w:hAnsi="Book Antiqua"/>
          <w:lang w:val="es-ES"/>
        </w:rPr>
        <w:t xml:space="preserve"> de </w:t>
      </w:r>
      <w:r w:rsidR="00A74F7B">
        <w:rPr>
          <w:rFonts w:ascii="Book Antiqua" w:hAnsi="Book Antiqua"/>
          <w:lang w:val="es-ES"/>
        </w:rPr>
        <w:t>maltrato</w:t>
      </w:r>
      <w:r w:rsidR="0094289B">
        <w:rPr>
          <w:rFonts w:ascii="Book Antiqua" w:hAnsi="Book Antiqua"/>
          <w:lang w:val="es-ES"/>
        </w:rPr>
        <w:t xml:space="preserve"> y maltrato mediante amenaza</w:t>
      </w:r>
      <w:r w:rsidR="00A74F7B">
        <w:rPr>
          <w:rFonts w:ascii="Book Antiqua" w:hAnsi="Book Antiqua"/>
          <w:lang w:val="es-ES"/>
        </w:rPr>
        <w:t>, tipificado</w:t>
      </w:r>
      <w:r w:rsidR="0094289B">
        <w:rPr>
          <w:rFonts w:ascii="Book Antiqua" w:hAnsi="Book Antiqua"/>
          <w:lang w:val="es-ES"/>
        </w:rPr>
        <w:t>s</w:t>
      </w:r>
      <w:r w:rsidR="00A74F7B">
        <w:rPr>
          <w:rFonts w:ascii="Book Antiqua" w:hAnsi="Book Antiqua"/>
          <w:lang w:val="es-ES"/>
        </w:rPr>
        <w:t xml:space="preserve"> en </w:t>
      </w:r>
      <w:r w:rsidR="0094289B">
        <w:rPr>
          <w:rFonts w:ascii="Book Antiqua" w:hAnsi="Book Antiqua"/>
          <w:lang w:val="es-ES"/>
        </w:rPr>
        <w:t>los</w:t>
      </w:r>
      <w:r w:rsidR="00A74F7B">
        <w:rPr>
          <w:rFonts w:ascii="Book Antiqua" w:hAnsi="Book Antiqua"/>
          <w:lang w:val="es-ES"/>
        </w:rPr>
        <w:t xml:space="preserve"> Artículo 3.1</w:t>
      </w:r>
      <w:r w:rsidR="0094289B">
        <w:rPr>
          <w:rFonts w:ascii="Book Antiqua" w:hAnsi="Book Antiqua"/>
          <w:lang w:val="es-ES"/>
        </w:rPr>
        <w:t xml:space="preserve"> y 3.3, respectivamente,</w:t>
      </w:r>
      <w:r w:rsidR="00A74F7B">
        <w:rPr>
          <w:rFonts w:ascii="Book Antiqua" w:hAnsi="Book Antiqua"/>
          <w:lang w:val="es-ES"/>
        </w:rPr>
        <w:t xml:space="preserve"> de la Ley 54, con</w:t>
      </w:r>
      <w:r>
        <w:rPr>
          <w:rFonts w:ascii="Book Antiqua" w:hAnsi="Book Antiqua"/>
          <w:lang w:val="es-ES"/>
        </w:rPr>
        <w:t xml:space="preserve"> una pena fija de tres (3) años</w:t>
      </w:r>
      <w:r w:rsidR="004C2DA4">
        <w:rPr>
          <w:rFonts w:ascii="Book Antiqua" w:hAnsi="Book Antiqua"/>
          <w:lang w:val="es-ES"/>
        </w:rPr>
        <w:t>,</w:t>
      </w:r>
      <w:r>
        <w:rPr>
          <w:rFonts w:ascii="Book Antiqua" w:hAnsi="Book Antiqua"/>
          <w:lang w:val="es-ES"/>
        </w:rPr>
        <w:t xml:space="preserve"> estamos de acuerdo. La equivalencia correcta al </w:t>
      </w:r>
      <w:r w:rsidR="0094289B">
        <w:rPr>
          <w:rFonts w:ascii="Book Antiqua" w:hAnsi="Book Antiqua"/>
          <w:lang w:val="es-ES"/>
        </w:rPr>
        <w:t>“</w:t>
      </w:r>
      <w:r>
        <w:rPr>
          <w:rFonts w:ascii="Book Antiqua" w:hAnsi="Book Antiqua"/>
          <w:lang w:val="es-ES"/>
        </w:rPr>
        <w:t>cuarto grado en su mitad superior</w:t>
      </w:r>
      <w:r w:rsidR="0094289B">
        <w:rPr>
          <w:rFonts w:ascii="Book Antiqua" w:hAnsi="Book Antiqua"/>
          <w:lang w:val="es-ES"/>
        </w:rPr>
        <w:t>”</w:t>
      </w:r>
      <w:r>
        <w:rPr>
          <w:rFonts w:ascii="Book Antiqua" w:hAnsi="Book Antiqua"/>
          <w:lang w:val="es-ES"/>
        </w:rPr>
        <w:t xml:space="preserve"> es tres (3) años</w:t>
      </w:r>
      <w:r w:rsidR="005E1ED1">
        <w:rPr>
          <w:rFonts w:ascii="Book Antiqua" w:hAnsi="Book Antiqua"/>
          <w:lang w:val="es-ES"/>
        </w:rPr>
        <w:t xml:space="preserve"> de reclusión.</w:t>
      </w:r>
    </w:p>
    <w:p w14:paraId="5B36CE79" w14:textId="6F0DD789" w:rsidR="00084BC5" w:rsidRDefault="00385836" w:rsidP="004C4F96">
      <w:pPr>
        <w:tabs>
          <w:tab w:val="left" w:pos="-720"/>
        </w:tabs>
        <w:suppressAutoHyphens/>
        <w:spacing w:line="276" w:lineRule="auto"/>
        <w:jc w:val="both"/>
        <w:rPr>
          <w:rFonts w:ascii="Book Antiqua" w:hAnsi="Book Antiqua"/>
          <w:lang w:val="es-ES"/>
        </w:rPr>
      </w:pPr>
      <w:r>
        <w:rPr>
          <w:rFonts w:ascii="Book Antiqua" w:hAnsi="Book Antiqua"/>
          <w:lang w:val="es-ES"/>
        </w:rPr>
        <w:tab/>
        <w:t xml:space="preserve">Sobre el delito de maltrato agravado, establecido en el Artículo 3.2 de la Ley 54, concurrimos con la opinión de la Oficina de la Procuradora de las Mujeres. </w:t>
      </w:r>
      <w:r w:rsidR="00E94C74">
        <w:rPr>
          <w:rFonts w:ascii="Book Antiqua" w:hAnsi="Book Antiqua"/>
          <w:lang w:val="es-ES"/>
        </w:rPr>
        <w:t>A pesar de que la equivalencia es correcta,</w:t>
      </w:r>
      <w:r w:rsidR="00AD6F46">
        <w:rPr>
          <w:rStyle w:val="FootnoteReference"/>
          <w:rFonts w:ascii="Book Antiqua" w:hAnsi="Book Antiqua"/>
          <w:lang w:val="es-ES"/>
        </w:rPr>
        <w:footnoteReference w:id="2"/>
      </w:r>
      <w:r w:rsidR="00E94C74">
        <w:rPr>
          <w:rFonts w:ascii="Book Antiqua" w:hAnsi="Book Antiqua"/>
          <w:lang w:val="es-ES"/>
        </w:rPr>
        <w:t xml:space="preserve"> e</w:t>
      </w:r>
      <w:r>
        <w:rPr>
          <w:rFonts w:ascii="Book Antiqua" w:hAnsi="Book Antiqua"/>
          <w:lang w:val="es-ES"/>
        </w:rPr>
        <w:t xml:space="preserve">l texto propuesto por el P. del S. 84 </w:t>
      </w:r>
      <w:r w:rsidR="00BC5726">
        <w:rPr>
          <w:rFonts w:ascii="Book Antiqua" w:hAnsi="Book Antiqua"/>
          <w:lang w:val="es-ES"/>
        </w:rPr>
        <w:t xml:space="preserve">equipara el maltrato agravado con el maltrato simple. </w:t>
      </w:r>
      <w:r w:rsidR="001D796F">
        <w:rPr>
          <w:rFonts w:ascii="Book Antiqua" w:hAnsi="Book Antiqua"/>
          <w:lang w:val="es-ES"/>
        </w:rPr>
        <w:t xml:space="preserve">Tal proposición </w:t>
      </w:r>
      <w:r w:rsidR="0005095C">
        <w:rPr>
          <w:rFonts w:ascii="Book Antiqua" w:hAnsi="Book Antiqua"/>
          <w:lang w:val="es-ES"/>
        </w:rPr>
        <w:t xml:space="preserve">desvirtúa la jerarquía normativa y el principio de proporcionalidad de la pena. </w:t>
      </w:r>
      <w:r w:rsidR="00D04960">
        <w:rPr>
          <w:rFonts w:ascii="Book Antiqua" w:hAnsi="Book Antiqua"/>
          <w:lang w:val="es-ES"/>
        </w:rPr>
        <w:t xml:space="preserve">Es forzoso concluir que </w:t>
      </w:r>
      <w:r w:rsidR="0021538F">
        <w:rPr>
          <w:rFonts w:ascii="Book Antiqua" w:hAnsi="Book Antiqua"/>
          <w:lang w:val="es-ES"/>
        </w:rPr>
        <w:t>el</w:t>
      </w:r>
      <w:r w:rsidR="00D04960">
        <w:rPr>
          <w:rFonts w:ascii="Book Antiqua" w:hAnsi="Book Antiqua"/>
          <w:lang w:val="es-ES"/>
        </w:rPr>
        <w:t xml:space="preserve"> maltrato agravado debe diferenciarse del maltrato simple </w:t>
      </w:r>
      <w:r w:rsidR="009667D9">
        <w:rPr>
          <w:rFonts w:ascii="Book Antiqua" w:hAnsi="Book Antiqua"/>
          <w:lang w:val="es-ES"/>
        </w:rPr>
        <w:t>estableciéndose</w:t>
      </w:r>
      <w:r w:rsidR="00D04960">
        <w:rPr>
          <w:rFonts w:ascii="Book Antiqua" w:hAnsi="Book Antiqua"/>
          <w:lang w:val="es-ES"/>
        </w:rPr>
        <w:t xml:space="preserve"> una pena mayor. Lo contrario </w:t>
      </w:r>
      <w:r w:rsidR="003366C5">
        <w:rPr>
          <w:rFonts w:ascii="Book Antiqua" w:hAnsi="Book Antiqua"/>
          <w:lang w:val="es-ES"/>
        </w:rPr>
        <w:t>menoscabaría</w:t>
      </w:r>
      <w:r w:rsidR="00FE0D1C">
        <w:rPr>
          <w:rFonts w:ascii="Book Antiqua" w:hAnsi="Book Antiqua"/>
          <w:lang w:val="es-ES"/>
        </w:rPr>
        <w:t xml:space="preserve"> severamente la intención legislativa </w:t>
      </w:r>
      <w:r w:rsidR="009667D9">
        <w:rPr>
          <w:rFonts w:ascii="Book Antiqua" w:hAnsi="Book Antiqua"/>
          <w:lang w:val="es-ES"/>
        </w:rPr>
        <w:t xml:space="preserve">de crear </w:t>
      </w:r>
      <w:r w:rsidR="00667423">
        <w:rPr>
          <w:rFonts w:ascii="Book Antiqua" w:hAnsi="Book Antiqua"/>
          <w:lang w:val="es-ES"/>
        </w:rPr>
        <w:t xml:space="preserve">un delito de naturaleza agravada </w:t>
      </w:r>
      <w:r w:rsidR="009667D9">
        <w:rPr>
          <w:rFonts w:ascii="Book Antiqua" w:hAnsi="Book Antiqua"/>
          <w:lang w:val="es-ES"/>
        </w:rPr>
        <w:t xml:space="preserve">y castigar </w:t>
      </w:r>
      <w:r w:rsidR="00902D8C">
        <w:rPr>
          <w:rFonts w:ascii="Book Antiqua" w:hAnsi="Book Antiqua"/>
          <w:lang w:val="es-ES"/>
        </w:rPr>
        <w:t xml:space="preserve">ciertas conductas en particular. </w:t>
      </w:r>
      <w:r w:rsidR="001C4D61">
        <w:rPr>
          <w:rFonts w:ascii="Book Antiqua" w:hAnsi="Book Antiqua"/>
          <w:lang w:val="es-ES"/>
        </w:rPr>
        <w:t xml:space="preserve">Concurrimos con la OPM en que la pena adecuada </w:t>
      </w:r>
      <w:r w:rsidR="00925492">
        <w:rPr>
          <w:rFonts w:ascii="Book Antiqua" w:hAnsi="Book Antiqua"/>
          <w:lang w:val="es-ES"/>
        </w:rPr>
        <w:t>para el delito de maltrato agravado, establecido en el Artículo 3.2 de la Ley 54</w:t>
      </w:r>
      <w:r w:rsidR="00F242AB">
        <w:rPr>
          <w:rFonts w:ascii="Book Antiqua" w:hAnsi="Book Antiqua"/>
          <w:lang w:val="es-ES"/>
        </w:rPr>
        <w:t xml:space="preserve">, </w:t>
      </w:r>
      <w:r w:rsidR="001C4D61">
        <w:rPr>
          <w:rFonts w:ascii="Book Antiqua" w:hAnsi="Book Antiqua"/>
          <w:lang w:val="es-ES"/>
        </w:rPr>
        <w:t xml:space="preserve">sería reclusión de ocho (8) años. </w:t>
      </w:r>
    </w:p>
    <w:p w14:paraId="1ADC915B" w14:textId="5F7DB9F8" w:rsidR="00E67BF1" w:rsidRDefault="00E67BF1" w:rsidP="004C4F96">
      <w:pPr>
        <w:tabs>
          <w:tab w:val="left" w:pos="-720"/>
        </w:tabs>
        <w:suppressAutoHyphens/>
        <w:spacing w:line="276" w:lineRule="auto"/>
        <w:jc w:val="both"/>
        <w:rPr>
          <w:rFonts w:ascii="Book Antiqua" w:hAnsi="Book Antiqua"/>
          <w:lang w:val="es-ES"/>
        </w:rPr>
      </w:pPr>
      <w:r>
        <w:rPr>
          <w:rFonts w:ascii="Book Antiqua" w:hAnsi="Book Antiqua"/>
          <w:lang w:val="es-ES"/>
        </w:rPr>
        <w:tab/>
      </w:r>
      <w:r w:rsidR="00B3093E">
        <w:rPr>
          <w:rFonts w:ascii="Book Antiqua" w:hAnsi="Book Antiqua"/>
          <w:lang w:val="es-ES"/>
        </w:rPr>
        <w:t>Por último</w:t>
      </w:r>
      <w:r>
        <w:rPr>
          <w:rFonts w:ascii="Book Antiqua" w:hAnsi="Book Antiqua"/>
          <w:lang w:val="es-ES"/>
        </w:rPr>
        <w:t>, debemos concurrir con la Oficina de la Procuradora de las Mujeres en cuanto a</w:t>
      </w:r>
      <w:r w:rsidR="00F242AB">
        <w:rPr>
          <w:rFonts w:ascii="Book Antiqua" w:hAnsi="Book Antiqua"/>
          <w:lang w:val="es-ES"/>
        </w:rPr>
        <w:t xml:space="preserve"> la necesidad de</w:t>
      </w:r>
      <w:r>
        <w:rPr>
          <w:rFonts w:ascii="Book Antiqua" w:hAnsi="Book Antiqua"/>
          <w:lang w:val="es-ES"/>
        </w:rPr>
        <w:t xml:space="preserve"> equiparar el </w:t>
      </w:r>
      <w:r w:rsidR="00525AC1">
        <w:rPr>
          <w:rFonts w:ascii="Book Antiqua" w:hAnsi="Book Antiqua"/>
          <w:lang w:val="es-ES"/>
        </w:rPr>
        <w:t>delito de agresión sexual conyugal</w:t>
      </w:r>
      <w:r w:rsidR="00EC0901">
        <w:rPr>
          <w:rFonts w:ascii="Book Antiqua" w:hAnsi="Book Antiqua"/>
          <w:lang w:val="es-ES"/>
        </w:rPr>
        <w:t xml:space="preserve"> del </w:t>
      </w:r>
      <w:r w:rsidR="00525AC1">
        <w:rPr>
          <w:rFonts w:ascii="Book Antiqua" w:hAnsi="Book Antiqua"/>
          <w:lang w:val="es-ES"/>
        </w:rPr>
        <w:t>Artículo 3.5 de la Ley 54, con el delito de agresión sexual</w:t>
      </w:r>
      <w:r w:rsidR="00EC0901">
        <w:rPr>
          <w:rFonts w:ascii="Book Antiqua" w:hAnsi="Book Antiqua"/>
          <w:lang w:val="es-ES"/>
        </w:rPr>
        <w:t xml:space="preserve"> del Artículo </w:t>
      </w:r>
      <w:r w:rsidR="00E02680">
        <w:rPr>
          <w:rFonts w:ascii="Book Antiqua" w:hAnsi="Book Antiqua"/>
          <w:lang w:val="es-ES"/>
        </w:rPr>
        <w:t xml:space="preserve">130 del Código Penal de Puerto Rico de 2012. </w:t>
      </w:r>
      <w:r w:rsidR="006D1CB1" w:rsidRPr="00F771E0">
        <w:rPr>
          <w:rFonts w:ascii="Book Antiqua" w:hAnsi="Book Antiqua"/>
          <w:lang w:val="es-ES"/>
        </w:rPr>
        <w:t xml:space="preserve">Resulta desproporcional que una misma conducta </w:t>
      </w:r>
      <w:r w:rsidR="00D84C61">
        <w:rPr>
          <w:rFonts w:ascii="Book Antiqua" w:hAnsi="Book Antiqua"/>
          <w:lang w:val="es-ES"/>
        </w:rPr>
        <w:t xml:space="preserve">delictiva </w:t>
      </w:r>
      <w:r w:rsidR="006D1CB1" w:rsidRPr="00F771E0">
        <w:rPr>
          <w:rFonts w:ascii="Book Antiqua" w:hAnsi="Book Antiqua"/>
          <w:lang w:val="es-ES"/>
        </w:rPr>
        <w:t xml:space="preserve">se castigue de forma disímil </w:t>
      </w:r>
      <w:r w:rsidR="00D1483C" w:rsidRPr="00F771E0">
        <w:rPr>
          <w:rFonts w:ascii="Book Antiqua" w:hAnsi="Book Antiqua"/>
          <w:lang w:val="es-ES"/>
        </w:rPr>
        <w:t xml:space="preserve">solo por </w:t>
      </w:r>
      <w:r w:rsidR="00E66AE1" w:rsidRPr="00F771E0">
        <w:rPr>
          <w:rFonts w:ascii="Book Antiqua" w:hAnsi="Book Antiqua"/>
          <w:lang w:val="es-ES"/>
        </w:rPr>
        <w:t>razón del vínculo</w:t>
      </w:r>
      <w:r w:rsidR="00930C45" w:rsidRPr="00F771E0">
        <w:rPr>
          <w:rFonts w:ascii="Book Antiqua" w:hAnsi="Book Antiqua"/>
          <w:lang w:val="es-ES"/>
        </w:rPr>
        <w:t xml:space="preserve">, esto es, </w:t>
      </w:r>
      <w:r w:rsidR="00021E52" w:rsidRPr="00F771E0">
        <w:rPr>
          <w:rFonts w:ascii="Book Antiqua" w:hAnsi="Book Antiqua"/>
          <w:lang w:val="es-ES"/>
        </w:rPr>
        <w:t xml:space="preserve">la pena es menos severa si la </w:t>
      </w:r>
      <w:r w:rsidR="00C152A3" w:rsidRPr="00F771E0">
        <w:rPr>
          <w:rFonts w:ascii="Book Antiqua" w:hAnsi="Book Antiqua"/>
          <w:lang w:val="es-ES"/>
        </w:rPr>
        <w:t>víctima es</w:t>
      </w:r>
      <w:r w:rsidR="00021E52" w:rsidRPr="00F771E0">
        <w:rPr>
          <w:rFonts w:ascii="Book Antiqua" w:hAnsi="Book Antiqua"/>
          <w:lang w:val="es-ES"/>
        </w:rPr>
        <w:t xml:space="preserve"> </w:t>
      </w:r>
      <w:r w:rsidR="00DA72D6" w:rsidRPr="00F771E0">
        <w:rPr>
          <w:rFonts w:ascii="Book Antiqua" w:hAnsi="Book Antiqua"/>
          <w:lang w:val="es-ES"/>
        </w:rPr>
        <w:t xml:space="preserve">su cónyuge o </w:t>
      </w:r>
      <w:proofErr w:type="gramStart"/>
      <w:r w:rsidR="00DA72D6" w:rsidRPr="00F771E0">
        <w:rPr>
          <w:rFonts w:ascii="Book Antiqua" w:hAnsi="Book Antiqua"/>
          <w:lang w:val="es-ES"/>
        </w:rPr>
        <w:t>ex cónyuge</w:t>
      </w:r>
      <w:proofErr w:type="gramEnd"/>
      <w:r w:rsidR="00DA72D6" w:rsidRPr="00F771E0">
        <w:rPr>
          <w:rFonts w:ascii="Book Antiqua" w:hAnsi="Book Antiqua"/>
          <w:lang w:val="es-ES"/>
        </w:rPr>
        <w:t>, o con la persona con quien cohabite o haya cohabitado, o con quien sostuviere o haya sostenido una relación consensual, o la persona con quien haya procreado un hijo o hija</w:t>
      </w:r>
      <w:r w:rsidR="00F771E0" w:rsidRPr="00F771E0">
        <w:rPr>
          <w:rFonts w:ascii="Book Antiqua" w:hAnsi="Book Antiqua"/>
          <w:noProof/>
          <w:lang w:val="es-ES"/>
        </w:rPr>
        <w:t>.</w:t>
      </w:r>
      <w:r w:rsidR="00E52541">
        <w:rPr>
          <w:rFonts w:ascii="Book Antiqua" w:hAnsi="Book Antiqua"/>
          <w:noProof/>
          <w:lang w:val="es-ES"/>
        </w:rPr>
        <w:t xml:space="preserve"> </w:t>
      </w:r>
      <w:r w:rsidR="00F75820">
        <w:rPr>
          <w:rFonts w:ascii="Book Antiqua" w:hAnsi="Book Antiqua"/>
          <w:noProof/>
          <w:lang w:val="es-ES"/>
        </w:rPr>
        <w:t xml:space="preserve">Esto es contrario al </w:t>
      </w:r>
      <w:r w:rsidR="00F75820">
        <w:rPr>
          <w:rFonts w:ascii="Book Antiqua" w:hAnsi="Book Antiqua"/>
          <w:noProof/>
          <w:lang w:val="es-ES"/>
        </w:rPr>
        <w:lastRenderedPageBreak/>
        <w:t xml:space="preserve">principio de la propocionalidad de la pena. </w:t>
      </w:r>
      <w:r w:rsidR="00F75820">
        <w:rPr>
          <w:rFonts w:ascii="Book Antiqua" w:hAnsi="Book Antiqua"/>
          <w:lang w:val="es-ES"/>
        </w:rPr>
        <w:t xml:space="preserve">La Constitución de Puerto Rico, en su </w:t>
      </w:r>
      <w:r w:rsidR="00F75820" w:rsidRPr="00F8713B">
        <w:rPr>
          <w:rFonts w:ascii="Book Antiqua" w:hAnsi="Book Antiqua"/>
          <w:lang w:val="es-ES"/>
        </w:rPr>
        <w:t>Art. II, Sec. 12</w:t>
      </w:r>
      <w:r w:rsidR="00F75820">
        <w:rPr>
          <w:rFonts w:ascii="Book Antiqua" w:hAnsi="Book Antiqua"/>
          <w:lang w:val="es-ES"/>
        </w:rPr>
        <w:t>, “</w:t>
      </w:r>
      <w:r w:rsidR="00F75820" w:rsidRPr="00620F1F">
        <w:rPr>
          <w:rFonts w:ascii="Book Antiqua" w:hAnsi="Book Antiqua"/>
          <w:lang w:val="es-ES"/>
        </w:rPr>
        <w:t>requiere penas proporcionales a la severidad de la conducta delictiva, penas no arbitrarias</w:t>
      </w:r>
      <w:r w:rsidR="00F75820">
        <w:rPr>
          <w:rFonts w:ascii="Book Antiqua" w:hAnsi="Book Antiqua"/>
          <w:lang w:val="es-ES"/>
        </w:rPr>
        <w:t>”.</w:t>
      </w:r>
      <w:r w:rsidR="00072A60">
        <w:rPr>
          <w:rStyle w:val="FootnoteReference"/>
          <w:rFonts w:ascii="Book Antiqua" w:hAnsi="Book Antiqua"/>
          <w:lang w:val="es-ES"/>
        </w:rPr>
        <w:footnoteReference w:id="3"/>
      </w:r>
      <w:r w:rsidR="00F75820">
        <w:rPr>
          <w:rFonts w:ascii="Book Antiqua" w:hAnsi="Book Antiqua"/>
          <w:lang w:val="es-ES"/>
        </w:rPr>
        <w:t xml:space="preserve"> Conviene recordar que, en virtud del Código Penal de Puerto Rico de 2012, la</w:t>
      </w:r>
      <w:r w:rsidR="00F75820" w:rsidRPr="00D51CF7">
        <w:rPr>
          <w:rFonts w:ascii="Book Antiqua" w:hAnsi="Book Antiqua"/>
          <w:lang w:val="es-ES"/>
        </w:rPr>
        <w:t xml:space="preserve"> imposición de las penas tendrá como objetivos generales:</w:t>
      </w:r>
      <w:r w:rsidR="00F75820">
        <w:rPr>
          <w:rFonts w:ascii="Book Antiqua" w:hAnsi="Book Antiqua"/>
          <w:lang w:val="es-ES"/>
        </w:rPr>
        <w:t xml:space="preserve"> </w:t>
      </w:r>
      <w:r w:rsidR="00F75820" w:rsidRPr="00D51CF7">
        <w:rPr>
          <w:rFonts w:ascii="Book Antiqua" w:hAnsi="Book Antiqua"/>
          <w:lang w:val="es-ES"/>
        </w:rPr>
        <w:t>(a) La protección de la sociedad</w:t>
      </w:r>
      <w:r w:rsidR="00F75820">
        <w:rPr>
          <w:rFonts w:ascii="Book Antiqua" w:hAnsi="Book Antiqua"/>
          <w:lang w:val="es-ES"/>
        </w:rPr>
        <w:t xml:space="preserve">, </w:t>
      </w:r>
      <w:r w:rsidR="00F75820" w:rsidRPr="00D51CF7">
        <w:rPr>
          <w:rFonts w:ascii="Book Antiqua" w:hAnsi="Book Antiqua"/>
          <w:lang w:val="es-ES"/>
        </w:rPr>
        <w:t>(b) La justicia a las víctimas de delito</w:t>
      </w:r>
      <w:r w:rsidR="00F75820">
        <w:rPr>
          <w:rFonts w:ascii="Book Antiqua" w:hAnsi="Book Antiqua"/>
          <w:lang w:val="es-ES"/>
        </w:rPr>
        <w:t xml:space="preserve">, </w:t>
      </w:r>
      <w:r w:rsidR="00F75820" w:rsidRPr="00D51CF7">
        <w:rPr>
          <w:rFonts w:ascii="Book Antiqua" w:hAnsi="Book Antiqua"/>
          <w:lang w:val="es-ES"/>
        </w:rPr>
        <w:t>(c) La prevención de delitos</w:t>
      </w:r>
      <w:r w:rsidR="00F75820">
        <w:rPr>
          <w:rFonts w:ascii="Book Antiqua" w:hAnsi="Book Antiqua"/>
          <w:lang w:val="es-ES"/>
        </w:rPr>
        <w:t xml:space="preserve">, </w:t>
      </w:r>
      <w:r w:rsidR="00F75820" w:rsidRPr="00D51CF7">
        <w:rPr>
          <w:rFonts w:ascii="Book Antiqua" w:hAnsi="Book Antiqua"/>
          <w:lang w:val="es-ES"/>
        </w:rPr>
        <w:t xml:space="preserve">(d) </w:t>
      </w:r>
      <w:r w:rsidR="00F75820" w:rsidRPr="00FC1F0C">
        <w:rPr>
          <w:rFonts w:ascii="Book Antiqua" w:hAnsi="Book Antiqua"/>
          <w:b/>
          <w:bCs/>
          <w:lang w:val="es-ES"/>
        </w:rPr>
        <w:t>El castigo justo al autor del delito en proporción a la gravedad del delito y a su responsabilidad</w:t>
      </w:r>
      <w:r w:rsidR="00F75820">
        <w:rPr>
          <w:rFonts w:ascii="Book Antiqua" w:hAnsi="Book Antiqua"/>
          <w:lang w:val="es-ES"/>
        </w:rPr>
        <w:t xml:space="preserve"> y </w:t>
      </w:r>
      <w:r w:rsidR="00F75820" w:rsidRPr="00D51CF7">
        <w:rPr>
          <w:rFonts w:ascii="Book Antiqua" w:hAnsi="Book Antiqua"/>
          <w:lang w:val="es-ES"/>
        </w:rPr>
        <w:t>(e) La rehabilitación social y moral del convicto.</w:t>
      </w:r>
      <w:r w:rsidR="00072A60">
        <w:rPr>
          <w:rStyle w:val="FootnoteReference"/>
          <w:rFonts w:ascii="Book Antiqua" w:hAnsi="Book Antiqua"/>
          <w:lang w:val="es-ES"/>
        </w:rPr>
        <w:footnoteReference w:id="4"/>
      </w:r>
      <w:r w:rsidR="00F75820">
        <w:rPr>
          <w:rFonts w:ascii="Book Antiqua" w:hAnsi="Book Antiqua"/>
          <w:lang w:val="es-ES"/>
        </w:rPr>
        <w:t xml:space="preserve"> El precepto de la proporcionalidad de la pena “</w:t>
      </w:r>
      <w:r w:rsidR="00F75820" w:rsidRPr="004C4F96">
        <w:rPr>
          <w:rFonts w:ascii="Book Antiqua" w:hAnsi="Book Antiqua"/>
          <w:lang w:val="es-ES"/>
        </w:rPr>
        <w:t>es medular en nuestro derecho penal ya que exige que la pena a imponerse se ajuste al delito cometido de forma tal que la sanción no sea desequilibrada a la luz del delito cometido</w:t>
      </w:r>
      <w:r w:rsidR="00F75820">
        <w:rPr>
          <w:rFonts w:ascii="Book Antiqua" w:hAnsi="Book Antiqua"/>
          <w:lang w:val="es-ES"/>
        </w:rPr>
        <w:t>”</w:t>
      </w:r>
      <w:r w:rsidR="00F75820" w:rsidRPr="004C4F96">
        <w:rPr>
          <w:rFonts w:ascii="Book Antiqua" w:hAnsi="Book Antiqua"/>
          <w:lang w:val="es-ES"/>
        </w:rPr>
        <w:t>.</w:t>
      </w:r>
      <w:r w:rsidR="00072A60">
        <w:rPr>
          <w:rStyle w:val="FootnoteReference"/>
          <w:rFonts w:ascii="Book Antiqua" w:hAnsi="Book Antiqua"/>
          <w:lang w:val="es-ES"/>
        </w:rPr>
        <w:footnoteReference w:id="5"/>
      </w:r>
      <w:r w:rsidR="00F75820">
        <w:rPr>
          <w:rFonts w:ascii="Book Antiqua" w:hAnsi="Book Antiqua"/>
          <w:lang w:val="es-ES"/>
        </w:rPr>
        <w:t xml:space="preserve"> </w:t>
      </w:r>
      <w:r w:rsidR="00E52541">
        <w:rPr>
          <w:rFonts w:ascii="Book Antiqua" w:hAnsi="Book Antiqua"/>
          <w:noProof/>
          <w:lang w:val="es-ES"/>
        </w:rPr>
        <w:t>Coincidimos</w:t>
      </w:r>
      <w:r w:rsidR="00F771E0" w:rsidRPr="00F771E0">
        <w:rPr>
          <w:rFonts w:ascii="Book Antiqua" w:hAnsi="Book Antiqua"/>
          <w:noProof/>
          <w:lang w:val="es-ES"/>
        </w:rPr>
        <w:t xml:space="preserve"> con la OPM </w:t>
      </w:r>
      <w:r w:rsidR="00F771E0" w:rsidRPr="00F771E0">
        <w:rPr>
          <w:rFonts w:ascii="Book Antiqua" w:hAnsi="Book Antiqua"/>
          <w:lang w:val="es-ES"/>
        </w:rPr>
        <w:t>en que las víctimas sobrevivientes de violencia doméstica y sus familias merecen sentir que el Estado ha respondido con seriedad proporcional al daño infligido</w:t>
      </w:r>
      <w:r w:rsidR="00C51E81">
        <w:rPr>
          <w:rFonts w:ascii="Book Antiqua" w:hAnsi="Book Antiqua"/>
          <w:lang w:val="es-ES"/>
        </w:rPr>
        <w:t>.</w:t>
      </w:r>
      <w:r w:rsidR="00F771E0">
        <w:rPr>
          <w:rFonts w:ascii="Book Antiqua" w:hAnsi="Book Antiqua"/>
          <w:lang w:val="es-ES"/>
        </w:rPr>
        <w:t xml:space="preserve"> </w:t>
      </w:r>
      <w:r w:rsidR="009D0468">
        <w:rPr>
          <w:rFonts w:ascii="Book Antiqua" w:hAnsi="Book Antiqua"/>
          <w:szCs w:val="24"/>
          <w:lang w:val="es-PR"/>
        </w:rPr>
        <w:t>Conviene recordar que l</w:t>
      </w:r>
      <w:r w:rsidR="009D0468" w:rsidRPr="00825E79">
        <w:rPr>
          <w:rFonts w:ascii="Book Antiqua" w:hAnsi="Book Antiqua"/>
          <w:szCs w:val="24"/>
          <w:lang w:val="es-PR"/>
        </w:rPr>
        <w:t>as penas presuponen una valoración social de la conducta que se pretende sancionar, por lo que su severidad está relacionada a la noción general de lo dañoso del delito cometido, y los fines y propósitos que se procuran alcanzar con su imposición, tales como prevención y rehabilitación.</w:t>
      </w:r>
      <w:r w:rsidR="009D0468">
        <w:rPr>
          <w:rStyle w:val="FootnoteReference"/>
          <w:rFonts w:ascii="Book Antiqua" w:hAnsi="Book Antiqua"/>
          <w:szCs w:val="24"/>
          <w:lang w:val="es-PR"/>
        </w:rPr>
        <w:footnoteReference w:id="6"/>
      </w:r>
      <w:r w:rsidR="009D0468" w:rsidRPr="00825E79">
        <w:rPr>
          <w:rFonts w:ascii="Book Antiqua" w:hAnsi="Book Antiqua"/>
          <w:szCs w:val="24"/>
          <w:lang w:val="es-PR"/>
        </w:rPr>
        <w:t xml:space="preserve"> En </w:t>
      </w:r>
      <w:r w:rsidR="009D0468">
        <w:rPr>
          <w:rFonts w:ascii="Book Antiqua" w:hAnsi="Book Antiqua"/>
          <w:szCs w:val="24"/>
          <w:lang w:val="es-PR"/>
        </w:rPr>
        <w:t>esencia</w:t>
      </w:r>
      <w:r w:rsidR="009D0468" w:rsidRPr="00825E79">
        <w:rPr>
          <w:rFonts w:ascii="Book Antiqua" w:hAnsi="Book Antiqua"/>
          <w:szCs w:val="24"/>
          <w:lang w:val="es-PR"/>
        </w:rPr>
        <w:t>, las penas no pueden ser arbitrarias ni caprichosas, porque de serlo, se estaría violando la garantía constitucional contra delitos crueles e inusitados.</w:t>
      </w:r>
      <w:r w:rsidR="009D0468">
        <w:rPr>
          <w:rStyle w:val="FootnoteReference"/>
          <w:rFonts w:ascii="Book Antiqua" w:hAnsi="Book Antiqua"/>
          <w:szCs w:val="24"/>
          <w:lang w:val="es-PR"/>
        </w:rPr>
        <w:footnoteReference w:id="7"/>
      </w:r>
      <w:r w:rsidR="009D0468">
        <w:rPr>
          <w:rFonts w:ascii="Book Antiqua" w:hAnsi="Book Antiqua"/>
          <w:szCs w:val="24"/>
          <w:lang w:val="es-PR"/>
        </w:rPr>
        <w:t xml:space="preserve"> </w:t>
      </w:r>
      <w:r w:rsidR="00C51E81">
        <w:rPr>
          <w:rFonts w:ascii="Book Antiqua" w:hAnsi="Book Antiqua"/>
          <w:lang w:val="es-ES"/>
        </w:rPr>
        <w:t>P</w:t>
      </w:r>
      <w:r w:rsidR="00F771E0">
        <w:rPr>
          <w:rFonts w:ascii="Book Antiqua" w:hAnsi="Book Antiqua"/>
          <w:lang w:val="es-ES"/>
        </w:rPr>
        <w:t xml:space="preserve">or lo </w:t>
      </w:r>
      <w:r w:rsidR="00F75820">
        <w:rPr>
          <w:rFonts w:ascii="Book Antiqua" w:hAnsi="Book Antiqua"/>
          <w:lang w:val="es-ES"/>
        </w:rPr>
        <w:t>tanto,</w:t>
      </w:r>
      <w:r w:rsidR="00F771E0">
        <w:rPr>
          <w:rFonts w:ascii="Book Antiqua" w:hAnsi="Book Antiqua"/>
          <w:lang w:val="es-ES"/>
        </w:rPr>
        <w:t xml:space="preserve"> corresponde equiparar la </w:t>
      </w:r>
      <w:r w:rsidR="008A1FA4">
        <w:rPr>
          <w:rFonts w:ascii="Book Antiqua" w:hAnsi="Book Antiqua"/>
          <w:lang w:val="es-ES"/>
        </w:rPr>
        <w:t xml:space="preserve">pena </w:t>
      </w:r>
      <w:r w:rsidR="002F6CF2">
        <w:rPr>
          <w:rFonts w:ascii="Book Antiqua" w:hAnsi="Book Antiqua"/>
          <w:lang w:val="es-ES"/>
        </w:rPr>
        <w:t>d</w:t>
      </w:r>
      <w:r w:rsidR="008A1FA4">
        <w:rPr>
          <w:rFonts w:ascii="Book Antiqua" w:hAnsi="Book Antiqua"/>
          <w:lang w:val="es-ES"/>
        </w:rPr>
        <w:t xml:space="preserve">el delito </w:t>
      </w:r>
      <w:r w:rsidR="002F6CF2">
        <w:rPr>
          <w:rFonts w:ascii="Book Antiqua" w:hAnsi="Book Antiqua"/>
          <w:lang w:val="es-ES"/>
        </w:rPr>
        <w:t xml:space="preserve">de </w:t>
      </w:r>
      <w:r w:rsidR="00F771E0">
        <w:rPr>
          <w:rFonts w:ascii="Book Antiqua" w:hAnsi="Book Antiqua"/>
          <w:lang w:val="es-ES"/>
        </w:rPr>
        <w:t xml:space="preserve">agresión sexual conyugal </w:t>
      </w:r>
      <w:r w:rsidR="008A1FA4">
        <w:rPr>
          <w:rFonts w:ascii="Book Antiqua" w:hAnsi="Book Antiqua"/>
          <w:lang w:val="es-ES"/>
        </w:rPr>
        <w:t>a cincuenta (50) años de reclusión</w:t>
      </w:r>
      <w:r w:rsidR="00F771E0" w:rsidRPr="00F771E0">
        <w:rPr>
          <w:rFonts w:ascii="Book Antiqua" w:hAnsi="Book Antiqua"/>
          <w:lang w:val="es-ES"/>
        </w:rPr>
        <w:t>.</w:t>
      </w:r>
      <w:r w:rsidR="002D70CC">
        <w:rPr>
          <w:rFonts w:ascii="Book Antiqua" w:hAnsi="Book Antiqua"/>
          <w:lang w:val="es-ES"/>
        </w:rPr>
        <w:t xml:space="preserve"> Esta enmienda es </w:t>
      </w:r>
      <w:r w:rsidR="005C7CBA">
        <w:rPr>
          <w:rFonts w:ascii="Book Antiqua" w:hAnsi="Book Antiqua"/>
          <w:lang w:val="es-ES"/>
        </w:rPr>
        <w:t xml:space="preserve">necesaria </w:t>
      </w:r>
      <w:r w:rsidR="002D70CC" w:rsidRPr="001D7EA7">
        <w:rPr>
          <w:rFonts w:ascii="Book Antiqua" w:hAnsi="Book Antiqua"/>
          <w:szCs w:val="24"/>
          <w:lang w:val="es-PR"/>
        </w:rPr>
        <w:t>para que la aplicación de las penas sea uniforme, clara y consecuente, libre de ambiguedades o vacíos legales. La seguridad jurídica que brinda la uniformidad “es eje de la ley”.</w:t>
      </w:r>
      <w:r w:rsidR="00072A60">
        <w:rPr>
          <w:rStyle w:val="FootnoteReference"/>
          <w:rFonts w:ascii="Book Antiqua" w:hAnsi="Book Antiqua"/>
          <w:szCs w:val="24"/>
          <w:lang w:val="es-PR"/>
        </w:rPr>
        <w:footnoteReference w:id="8"/>
      </w:r>
      <w:r w:rsidR="002D70CC" w:rsidRPr="001D7EA7">
        <w:rPr>
          <w:rFonts w:ascii="Book Antiqua" w:hAnsi="Book Antiqua"/>
          <w:szCs w:val="24"/>
          <w:lang w:val="es-PR"/>
        </w:rPr>
        <w:t xml:space="preserve"> </w:t>
      </w:r>
    </w:p>
    <w:p w14:paraId="0775D31F" w14:textId="77777777" w:rsidR="005968F0" w:rsidRPr="00422F87" w:rsidRDefault="005968F0" w:rsidP="00C10ADB">
      <w:pPr>
        <w:tabs>
          <w:tab w:val="left" w:pos="-720"/>
        </w:tabs>
        <w:suppressAutoHyphens/>
        <w:spacing w:line="276" w:lineRule="auto"/>
        <w:jc w:val="both"/>
        <w:rPr>
          <w:rFonts w:ascii="Book Antiqua" w:hAnsi="Book Antiqua"/>
          <w:lang w:val="es-ES"/>
        </w:rPr>
      </w:pPr>
    </w:p>
    <w:p w14:paraId="7885E90D" w14:textId="3112411B" w:rsidR="00DF45DC" w:rsidRPr="00422F87" w:rsidRDefault="0096171F" w:rsidP="0028310F">
      <w:pPr>
        <w:tabs>
          <w:tab w:val="left" w:pos="-720"/>
        </w:tabs>
        <w:suppressAutoHyphens/>
        <w:spacing w:line="276" w:lineRule="auto"/>
        <w:ind w:firstLine="360"/>
        <w:jc w:val="both"/>
        <w:rPr>
          <w:rFonts w:ascii="Book Antiqua" w:hAnsi="Book Antiqua"/>
          <w:lang w:val="es-ES"/>
        </w:rPr>
      </w:pPr>
      <w:r w:rsidRPr="00422F87">
        <w:rPr>
          <w:rFonts w:ascii="Book Antiqua" w:hAnsi="Book Antiqua"/>
          <w:b/>
          <w:bCs/>
          <w:lang w:val="es-ES"/>
        </w:rPr>
        <w:t>POR TODO LO ANTES EXPUESTO</w:t>
      </w:r>
      <w:r w:rsidRPr="00422F87">
        <w:rPr>
          <w:rFonts w:ascii="Book Antiqua" w:hAnsi="Book Antiqua"/>
          <w:lang w:val="es-ES"/>
        </w:rPr>
        <w:t xml:space="preserve">, la </w:t>
      </w:r>
      <w:r w:rsidR="001D12A7" w:rsidRPr="00422F87">
        <w:rPr>
          <w:rFonts w:ascii="Book Antiqua" w:hAnsi="Book Antiqua"/>
          <w:spacing w:val="-3"/>
          <w:lang w:val="es-ES"/>
        </w:rPr>
        <w:t>Comisión de lo Jurídico del Senado de Puerto Rico</w:t>
      </w:r>
      <w:r w:rsidR="001D12A7" w:rsidRPr="00422F87">
        <w:rPr>
          <w:rFonts w:ascii="Book Antiqua" w:hAnsi="Book Antiqua"/>
          <w:lang w:val="es-ES"/>
        </w:rPr>
        <w:t xml:space="preserve"> </w:t>
      </w:r>
      <w:r w:rsidR="00006DDC" w:rsidRPr="00422F87">
        <w:rPr>
          <w:rFonts w:ascii="Book Antiqua" w:hAnsi="Book Antiqua"/>
          <w:lang w:val="es-ES"/>
        </w:rPr>
        <w:t xml:space="preserve">tiene a bien presentar ante este Alto Cuerpo el Informe Positivo sobre el </w:t>
      </w:r>
      <w:r w:rsidR="00766267">
        <w:rPr>
          <w:rFonts w:ascii="Book Antiqua" w:hAnsi="Book Antiqua"/>
          <w:b/>
          <w:bCs/>
          <w:lang w:val="es-ES"/>
        </w:rPr>
        <w:t>Proyecto del Senado 84</w:t>
      </w:r>
      <w:r w:rsidR="00006DDC" w:rsidRPr="00422F87">
        <w:rPr>
          <w:rFonts w:ascii="Book Antiqua" w:hAnsi="Book Antiqua"/>
          <w:lang w:val="es-ES"/>
        </w:rPr>
        <w:t xml:space="preserve"> recomendando su aprobación con las enmiendas contenidas en el </w:t>
      </w:r>
      <w:proofErr w:type="spellStart"/>
      <w:r w:rsidR="00006DDC" w:rsidRPr="00422F87">
        <w:rPr>
          <w:rFonts w:ascii="Book Antiqua" w:hAnsi="Book Antiqua"/>
          <w:lang w:val="es-ES"/>
        </w:rPr>
        <w:t>entirillado</w:t>
      </w:r>
      <w:proofErr w:type="spellEnd"/>
      <w:r w:rsidR="00006DDC" w:rsidRPr="00422F87">
        <w:rPr>
          <w:rFonts w:ascii="Book Antiqua" w:hAnsi="Book Antiqua"/>
          <w:lang w:val="es-ES"/>
        </w:rPr>
        <w:t xml:space="preserve"> electrónico que se acompaña. </w:t>
      </w:r>
    </w:p>
    <w:p w14:paraId="02F3C812" w14:textId="77777777" w:rsidR="006861CE" w:rsidRPr="00422F87" w:rsidRDefault="006861CE" w:rsidP="00337BB7">
      <w:pPr>
        <w:tabs>
          <w:tab w:val="left" w:pos="-720"/>
        </w:tabs>
        <w:suppressAutoHyphens/>
        <w:spacing w:line="360" w:lineRule="auto"/>
        <w:rPr>
          <w:rFonts w:ascii="Book Antiqua" w:hAnsi="Book Antiqua"/>
          <w:lang w:val="es-ES"/>
        </w:rPr>
      </w:pPr>
    </w:p>
    <w:p w14:paraId="10325F5D" w14:textId="2225106C" w:rsidR="00006DDC" w:rsidRPr="00422F87" w:rsidRDefault="002C402D" w:rsidP="00337BB7">
      <w:pPr>
        <w:tabs>
          <w:tab w:val="left" w:pos="-720"/>
        </w:tabs>
        <w:suppressAutoHyphens/>
        <w:spacing w:line="360" w:lineRule="auto"/>
        <w:rPr>
          <w:rFonts w:ascii="Book Antiqua" w:hAnsi="Book Antiqua"/>
          <w:lang w:val="es-ES"/>
        </w:rPr>
      </w:pPr>
      <w:r w:rsidRPr="00422F87">
        <w:rPr>
          <w:rFonts w:ascii="Book Antiqua" w:hAnsi="Book Antiqua"/>
          <w:lang w:val="es-ES"/>
        </w:rPr>
        <w:t xml:space="preserve">Respetuosamente sometido, </w:t>
      </w:r>
    </w:p>
    <w:p w14:paraId="2444C5B2" w14:textId="77777777" w:rsidR="00552B8A" w:rsidRPr="00422F87"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422F87" w:rsidRDefault="00242E80" w:rsidP="00EE4536">
      <w:pPr>
        <w:tabs>
          <w:tab w:val="left" w:pos="-720"/>
        </w:tabs>
        <w:suppressAutoHyphens/>
        <w:rPr>
          <w:rFonts w:ascii="Book Antiqua" w:hAnsi="Book Antiqua"/>
          <w:b/>
          <w:bCs/>
          <w:lang w:val="es-ES"/>
        </w:rPr>
      </w:pPr>
    </w:p>
    <w:p w14:paraId="6AE93B69" w14:textId="6641F2FE" w:rsidR="00AB2E69" w:rsidRPr="00422F87" w:rsidRDefault="00D8699D" w:rsidP="00EE4536">
      <w:pPr>
        <w:tabs>
          <w:tab w:val="left" w:pos="-720"/>
        </w:tabs>
        <w:suppressAutoHyphens/>
        <w:rPr>
          <w:rFonts w:ascii="Book Antiqua" w:hAnsi="Book Antiqua"/>
          <w:b/>
          <w:bCs/>
          <w:lang w:val="es-ES"/>
        </w:rPr>
      </w:pPr>
      <w:proofErr w:type="spellStart"/>
      <w:r w:rsidRPr="00422F87">
        <w:rPr>
          <w:rFonts w:ascii="Book Antiqua" w:hAnsi="Book Antiqua"/>
          <w:b/>
          <w:bCs/>
          <w:lang w:val="es-ES"/>
        </w:rPr>
        <w:lastRenderedPageBreak/>
        <w:t>Hon</w:t>
      </w:r>
      <w:proofErr w:type="spellEnd"/>
      <w:r w:rsidRPr="00422F87">
        <w:rPr>
          <w:rFonts w:ascii="Book Antiqua" w:hAnsi="Book Antiqua"/>
          <w:b/>
          <w:bCs/>
          <w:lang w:val="es-ES"/>
        </w:rPr>
        <w:t xml:space="preserve">. </w:t>
      </w:r>
      <w:r w:rsidR="001D12A7" w:rsidRPr="00422F87">
        <w:rPr>
          <w:rFonts w:ascii="Book Antiqua" w:hAnsi="Book Antiqua"/>
          <w:b/>
          <w:bCs/>
          <w:lang w:val="es-ES"/>
        </w:rPr>
        <w:t>Ángel A. Toledo López</w:t>
      </w:r>
    </w:p>
    <w:p w14:paraId="1665555A" w14:textId="77777777" w:rsidR="004F6E72" w:rsidRPr="00422F87" w:rsidRDefault="00AB2E69" w:rsidP="00EE4536">
      <w:pPr>
        <w:tabs>
          <w:tab w:val="left" w:pos="-720"/>
        </w:tabs>
        <w:suppressAutoHyphens/>
        <w:rPr>
          <w:rFonts w:ascii="Book Antiqua" w:hAnsi="Book Antiqua"/>
          <w:lang w:val="es-ES"/>
        </w:rPr>
      </w:pPr>
      <w:r w:rsidRPr="00422F87">
        <w:rPr>
          <w:rFonts w:ascii="Book Antiqua" w:hAnsi="Book Antiqua"/>
          <w:lang w:val="es-ES"/>
        </w:rPr>
        <w:t>Presidente</w:t>
      </w:r>
    </w:p>
    <w:p w14:paraId="3FF3D27A" w14:textId="77777777" w:rsidR="001D12A7" w:rsidRPr="00422F87" w:rsidRDefault="001D12A7" w:rsidP="001D12A7">
      <w:pPr>
        <w:tabs>
          <w:tab w:val="left" w:pos="-720"/>
        </w:tabs>
        <w:suppressAutoHyphens/>
        <w:rPr>
          <w:rFonts w:ascii="Book Antiqua" w:hAnsi="Book Antiqua"/>
          <w:spacing w:val="-3"/>
          <w:lang w:val="es-ES"/>
        </w:rPr>
      </w:pPr>
      <w:r w:rsidRPr="00422F87">
        <w:rPr>
          <w:rFonts w:ascii="Book Antiqua" w:hAnsi="Book Antiqua"/>
          <w:spacing w:val="-3"/>
          <w:lang w:val="es-ES"/>
        </w:rPr>
        <w:t xml:space="preserve">Comisión de lo Jurídico </w:t>
      </w:r>
    </w:p>
    <w:p w14:paraId="7849A958" w14:textId="07DE7A1A" w:rsidR="000B3411" w:rsidRPr="00422F87" w:rsidRDefault="001D12A7" w:rsidP="001D12A7">
      <w:pPr>
        <w:tabs>
          <w:tab w:val="left" w:pos="-720"/>
        </w:tabs>
        <w:suppressAutoHyphens/>
        <w:rPr>
          <w:rFonts w:ascii="Book Antiqua" w:hAnsi="Book Antiqua"/>
          <w:lang w:val="es-ES"/>
        </w:rPr>
      </w:pPr>
      <w:r w:rsidRPr="00422F87">
        <w:rPr>
          <w:rFonts w:ascii="Book Antiqua" w:hAnsi="Book Antiqua"/>
          <w:spacing w:val="-3"/>
          <w:lang w:val="es-ES"/>
        </w:rPr>
        <w:t>Senado de Puerto Rico</w:t>
      </w:r>
    </w:p>
    <w:sectPr w:rsidR="000B3411" w:rsidRPr="00422F8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7F306" w14:textId="77777777" w:rsidR="0080254C" w:rsidRDefault="0080254C">
      <w:r>
        <w:separator/>
      </w:r>
    </w:p>
  </w:endnote>
  <w:endnote w:type="continuationSeparator" w:id="0">
    <w:p w14:paraId="59616D5B" w14:textId="77777777" w:rsidR="0080254C" w:rsidRDefault="00802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2ABC7" w14:textId="77777777" w:rsidR="0080254C" w:rsidRDefault="0080254C">
      <w:r>
        <w:separator/>
      </w:r>
    </w:p>
  </w:footnote>
  <w:footnote w:type="continuationSeparator" w:id="0">
    <w:p w14:paraId="1EF89D97" w14:textId="77777777" w:rsidR="0080254C" w:rsidRDefault="0080254C">
      <w:r>
        <w:continuationSeparator/>
      </w:r>
    </w:p>
  </w:footnote>
  <w:footnote w:id="1">
    <w:p w14:paraId="5BEBC60D" w14:textId="77777777" w:rsidR="00A33C73" w:rsidRDefault="00D47749" w:rsidP="00A33C73">
      <w:pPr>
        <w:pStyle w:val="FootnoteText"/>
        <w:rPr>
          <w:lang w:val="es-ES"/>
        </w:rPr>
      </w:pPr>
      <w:r>
        <w:rPr>
          <w:rStyle w:val="FootnoteReference"/>
        </w:rPr>
        <w:footnoteRef/>
      </w:r>
      <w:r w:rsidRPr="00D47749">
        <w:rPr>
          <w:lang w:val="es-ES"/>
        </w:rPr>
        <w:t xml:space="preserve"> </w:t>
      </w:r>
      <w:r w:rsidR="00A33C73">
        <w:rPr>
          <w:lang w:val="es-ES"/>
        </w:rPr>
        <w:t xml:space="preserve">El Artículo 156 del Código Penal de Puerto Rico de 2012 dispone lo siguiente: </w:t>
      </w:r>
      <w:r w:rsidR="00A33C73" w:rsidRPr="00A33C73">
        <w:rPr>
          <w:lang w:val="es-ES"/>
        </w:rPr>
        <w:t xml:space="preserve">Se impondrá pena de reclusión por un término fijo de </w:t>
      </w:r>
      <w:r w:rsidR="00A33C73" w:rsidRPr="000C182A">
        <w:rPr>
          <w:b/>
          <w:bCs/>
          <w:lang w:val="es-ES"/>
        </w:rPr>
        <w:t>tres (3) años</w:t>
      </w:r>
      <w:r w:rsidR="00A33C73" w:rsidRPr="00A33C73">
        <w:rPr>
          <w:lang w:val="es-ES"/>
        </w:rPr>
        <w:t>, si el delito de restricción</w:t>
      </w:r>
      <w:r w:rsidR="00A33C73">
        <w:rPr>
          <w:lang w:val="es-ES"/>
        </w:rPr>
        <w:t xml:space="preserve"> </w:t>
      </w:r>
      <w:r w:rsidR="00A33C73" w:rsidRPr="00A33C73">
        <w:rPr>
          <w:lang w:val="es-ES"/>
        </w:rPr>
        <w:t>de libertad se comete con la concurrencia de cualquiera de las siguientes circunstancias:</w:t>
      </w:r>
    </w:p>
    <w:p w14:paraId="06E45DDB" w14:textId="77777777" w:rsidR="00A33C73" w:rsidRDefault="00A33C73" w:rsidP="00B10608">
      <w:pPr>
        <w:pStyle w:val="FootnoteText"/>
        <w:ind w:left="720"/>
        <w:rPr>
          <w:lang w:val="es-ES"/>
        </w:rPr>
      </w:pPr>
      <w:r w:rsidRPr="00A33C73">
        <w:rPr>
          <w:lang w:val="es-ES"/>
        </w:rPr>
        <w:t>(a) Mediante violencia, intimidación, fraude o engaño.</w:t>
      </w:r>
    </w:p>
    <w:p w14:paraId="37A062F5" w14:textId="4FC6562A" w:rsidR="00A33C73" w:rsidRPr="00A33C73" w:rsidRDefault="00A33C73" w:rsidP="00B10608">
      <w:pPr>
        <w:pStyle w:val="FootnoteText"/>
        <w:ind w:left="720"/>
        <w:rPr>
          <w:lang w:val="es-ES"/>
        </w:rPr>
      </w:pPr>
      <w:r w:rsidRPr="00A33C73">
        <w:rPr>
          <w:lang w:val="es-ES"/>
        </w:rPr>
        <w:t>(b) Simulando ser autoridad pública.</w:t>
      </w:r>
    </w:p>
    <w:p w14:paraId="1F011378" w14:textId="77777777" w:rsidR="00A33C73" w:rsidRPr="00A33C73" w:rsidRDefault="00A33C73" w:rsidP="00B10608">
      <w:pPr>
        <w:pStyle w:val="FootnoteText"/>
        <w:ind w:left="720"/>
        <w:rPr>
          <w:lang w:val="es-ES"/>
        </w:rPr>
      </w:pPr>
      <w:r w:rsidRPr="00A33C73">
        <w:rPr>
          <w:lang w:val="es-ES"/>
        </w:rPr>
        <w:t>(c) Por funcionario o empleado público con abuso de los poderes inherentes a su autoridad o</w:t>
      </w:r>
    </w:p>
    <w:p w14:paraId="07549A7E" w14:textId="77777777" w:rsidR="00A33C73" w:rsidRPr="00A33C73" w:rsidRDefault="00A33C73" w:rsidP="00B10608">
      <w:pPr>
        <w:pStyle w:val="FootnoteText"/>
        <w:ind w:left="720"/>
        <w:rPr>
          <w:lang w:val="es-ES"/>
        </w:rPr>
      </w:pPr>
      <w:r w:rsidRPr="00A33C73">
        <w:rPr>
          <w:lang w:val="es-ES"/>
        </w:rPr>
        <w:t>funciones.</w:t>
      </w:r>
    </w:p>
    <w:p w14:paraId="53B79A94" w14:textId="77777777" w:rsidR="00A33C73" w:rsidRPr="00A33C73" w:rsidRDefault="00A33C73" w:rsidP="00B10608">
      <w:pPr>
        <w:pStyle w:val="FootnoteText"/>
        <w:ind w:left="720"/>
        <w:rPr>
          <w:lang w:val="es-ES"/>
        </w:rPr>
      </w:pPr>
      <w:r w:rsidRPr="00A33C73">
        <w:rPr>
          <w:lang w:val="es-ES"/>
        </w:rPr>
        <w:t>(d) Con el pretexto de que el restringido padece de enfermedad o defecto mental.</w:t>
      </w:r>
    </w:p>
    <w:p w14:paraId="45B2128E" w14:textId="77777777" w:rsidR="00A33C73" w:rsidRPr="00A33C73" w:rsidRDefault="00A33C73" w:rsidP="00B10608">
      <w:pPr>
        <w:pStyle w:val="FootnoteText"/>
        <w:ind w:left="720"/>
        <w:rPr>
          <w:lang w:val="es-ES"/>
        </w:rPr>
      </w:pPr>
      <w:r w:rsidRPr="00A33C73">
        <w:rPr>
          <w:lang w:val="es-ES"/>
        </w:rPr>
        <w:t>(e) En persona que no ha cumplido dieciocho (18) años de edad, discapacitado o persona que no</w:t>
      </w:r>
    </w:p>
    <w:p w14:paraId="5B7EB5EA" w14:textId="77777777" w:rsidR="00A33C73" w:rsidRPr="00A33C73" w:rsidRDefault="00A33C73" w:rsidP="00B10608">
      <w:pPr>
        <w:pStyle w:val="FootnoteText"/>
        <w:ind w:left="720"/>
        <w:rPr>
          <w:lang w:val="es-ES"/>
        </w:rPr>
      </w:pPr>
      <w:r w:rsidRPr="00A33C73">
        <w:rPr>
          <w:lang w:val="es-ES"/>
        </w:rPr>
        <w:t>pueda valerse por sí mismo o enfermo mental.</w:t>
      </w:r>
    </w:p>
    <w:p w14:paraId="64782C51" w14:textId="1A64D6D9" w:rsidR="00E67BF1" w:rsidRPr="00A33C73" w:rsidRDefault="00A33C73" w:rsidP="00B10608">
      <w:pPr>
        <w:pStyle w:val="FootnoteText"/>
        <w:ind w:left="720"/>
        <w:rPr>
          <w:b/>
          <w:bCs/>
          <w:lang w:val="es-ES"/>
        </w:rPr>
      </w:pPr>
      <w:r w:rsidRPr="00A33C73">
        <w:rPr>
          <w:b/>
          <w:bCs/>
          <w:lang w:val="es-ES"/>
        </w:rPr>
        <w:t>(f) En la persona de quien el autor o la autora es o ha sido cónyuge o conviviente, o ha tenido o tiene relaciones de intimidad o noviazgo, o con la que tiene un hijo en común.</w:t>
      </w:r>
    </w:p>
  </w:footnote>
  <w:footnote w:id="2">
    <w:p w14:paraId="559A8E64" w14:textId="7E7454E3" w:rsidR="00AD6F46" w:rsidRPr="00AD6F46" w:rsidRDefault="00AD6F46">
      <w:pPr>
        <w:pStyle w:val="FootnoteText"/>
        <w:rPr>
          <w:lang w:val="es-ES"/>
        </w:rPr>
      </w:pPr>
      <w:r>
        <w:rPr>
          <w:rStyle w:val="FootnoteReference"/>
        </w:rPr>
        <w:footnoteRef/>
      </w:r>
      <w:r w:rsidRPr="00AD6F46">
        <w:rPr>
          <w:lang w:val="es-ES"/>
        </w:rPr>
        <w:t xml:space="preserve"> El </w:t>
      </w:r>
      <w:r>
        <w:rPr>
          <w:lang w:val="es-ES"/>
        </w:rPr>
        <w:t>“</w:t>
      </w:r>
      <w:r w:rsidRPr="00AD6F46">
        <w:rPr>
          <w:lang w:val="es-ES"/>
        </w:rPr>
        <w:t>delito grave de cuarto grado en su mitad superior</w:t>
      </w:r>
      <w:r>
        <w:rPr>
          <w:lang w:val="es-ES"/>
        </w:rPr>
        <w:t>”</w:t>
      </w:r>
      <w:r w:rsidRPr="00AD6F46">
        <w:rPr>
          <w:lang w:val="es-ES"/>
        </w:rPr>
        <w:t xml:space="preserve"> equiv</w:t>
      </w:r>
      <w:r>
        <w:rPr>
          <w:lang w:val="es-ES"/>
        </w:rPr>
        <w:t xml:space="preserve">ale a tres (3) años de prisión según el pasado sistema de penas dispuesto en el </w:t>
      </w:r>
      <w:r w:rsidRPr="00AD6F46">
        <w:rPr>
          <w:lang w:val="es-ES"/>
        </w:rPr>
        <w:t>Código Penal del Estado Libre Asociado de Puerto Rico de 2004</w:t>
      </w:r>
      <w:r>
        <w:rPr>
          <w:lang w:val="es-ES"/>
        </w:rPr>
        <w:t>.</w:t>
      </w:r>
    </w:p>
  </w:footnote>
  <w:footnote w:id="3">
    <w:p w14:paraId="3E3A1EAA" w14:textId="2982D948" w:rsidR="00072A60" w:rsidRPr="00072A60" w:rsidRDefault="00072A60">
      <w:pPr>
        <w:pStyle w:val="FootnoteText"/>
        <w:rPr>
          <w:lang w:val="es-ES"/>
        </w:rPr>
      </w:pPr>
      <w:r>
        <w:rPr>
          <w:rStyle w:val="FootnoteReference"/>
        </w:rPr>
        <w:footnoteRef/>
      </w:r>
      <w:r w:rsidRPr="00072A60">
        <w:rPr>
          <w:lang w:val="es-ES"/>
        </w:rPr>
        <w:t xml:space="preserve"> </w:t>
      </w:r>
      <w:r w:rsidRPr="00620F1F">
        <w:rPr>
          <w:rFonts w:ascii="Book Antiqua" w:hAnsi="Book Antiqua"/>
          <w:lang w:val="es-ES"/>
        </w:rPr>
        <w:t xml:space="preserve">Pueblo v. Pérez </w:t>
      </w:r>
      <w:r>
        <w:rPr>
          <w:rFonts w:ascii="Book Antiqua" w:hAnsi="Book Antiqua"/>
          <w:lang w:val="es-ES"/>
        </w:rPr>
        <w:t>Z</w:t>
      </w:r>
      <w:r w:rsidRPr="00620F1F">
        <w:rPr>
          <w:rFonts w:ascii="Book Antiqua" w:hAnsi="Book Antiqua"/>
          <w:lang w:val="es-ES"/>
        </w:rPr>
        <w:t>ayas</w:t>
      </w:r>
      <w:r>
        <w:rPr>
          <w:rFonts w:ascii="Book Antiqua" w:hAnsi="Book Antiqua"/>
          <w:lang w:val="es-ES"/>
        </w:rPr>
        <w:t xml:space="preserve">, </w:t>
      </w:r>
      <w:r w:rsidRPr="00620F1F">
        <w:rPr>
          <w:rFonts w:ascii="Book Antiqua" w:hAnsi="Book Antiqua"/>
          <w:lang w:val="es-ES"/>
        </w:rPr>
        <w:t xml:space="preserve">116 </w:t>
      </w:r>
      <w:r>
        <w:rPr>
          <w:rFonts w:ascii="Book Antiqua" w:hAnsi="Book Antiqua"/>
          <w:lang w:val="es-ES"/>
        </w:rPr>
        <w:t>DPR</w:t>
      </w:r>
      <w:r w:rsidRPr="00620F1F">
        <w:rPr>
          <w:rFonts w:ascii="Book Antiqua" w:hAnsi="Book Antiqua"/>
          <w:lang w:val="es-ES"/>
        </w:rPr>
        <w:t xml:space="preserve"> 197, 201</w:t>
      </w:r>
      <w:r>
        <w:rPr>
          <w:rFonts w:ascii="Book Antiqua" w:hAnsi="Book Antiqua"/>
          <w:lang w:val="es-ES"/>
        </w:rPr>
        <w:t xml:space="preserve"> (1985).</w:t>
      </w:r>
    </w:p>
  </w:footnote>
  <w:footnote w:id="4">
    <w:p w14:paraId="0D0E9271" w14:textId="5A931EC9" w:rsidR="00072A60" w:rsidRPr="00072A60" w:rsidRDefault="00072A60">
      <w:pPr>
        <w:pStyle w:val="FootnoteText"/>
      </w:pPr>
      <w:r>
        <w:rPr>
          <w:rStyle w:val="FootnoteReference"/>
        </w:rPr>
        <w:footnoteRef/>
      </w:r>
      <w:r>
        <w:t xml:space="preserve"> </w:t>
      </w:r>
      <w:r w:rsidRPr="00072A60">
        <w:rPr>
          <w:rFonts w:ascii="Book Antiqua" w:hAnsi="Book Antiqua"/>
        </w:rPr>
        <w:t xml:space="preserve">Art. 11 </w:t>
      </w:r>
      <w:r w:rsidRPr="00072A60">
        <w:rPr>
          <w:rFonts w:ascii="Book Antiqua" w:hAnsi="Book Antiqua"/>
          <w:smallCaps/>
        </w:rPr>
        <w:t>Cód. Pen. PR</w:t>
      </w:r>
      <w:r w:rsidRPr="00072A60">
        <w:rPr>
          <w:rFonts w:ascii="Book Antiqua" w:hAnsi="Book Antiqua"/>
        </w:rPr>
        <w:t xml:space="preserve"> (33 L.P.R.A. § 5011).</w:t>
      </w:r>
    </w:p>
  </w:footnote>
  <w:footnote w:id="5">
    <w:p w14:paraId="108BF018" w14:textId="0CC50A6B" w:rsidR="00072A60" w:rsidRPr="00F1052D" w:rsidRDefault="00072A60">
      <w:pPr>
        <w:pStyle w:val="FootnoteText"/>
        <w:rPr>
          <w:lang w:val="es-PR"/>
        </w:rPr>
      </w:pPr>
      <w:r>
        <w:rPr>
          <w:rStyle w:val="FootnoteReference"/>
        </w:rPr>
        <w:footnoteRef/>
      </w:r>
      <w:r w:rsidRPr="00072A60">
        <w:rPr>
          <w:lang w:val="es-ES"/>
        </w:rPr>
        <w:t xml:space="preserve"> </w:t>
      </w:r>
      <w:r w:rsidRPr="004C4F96">
        <w:rPr>
          <w:rFonts w:ascii="Book Antiqua" w:hAnsi="Book Antiqua"/>
          <w:lang w:val="es-ES"/>
        </w:rPr>
        <w:t>Pueblo v. Garrastazu, 2011 PR App. LEXIS 2864, *11</w:t>
      </w:r>
      <w:r>
        <w:rPr>
          <w:rFonts w:ascii="Book Antiqua" w:hAnsi="Book Antiqua"/>
          <w:lang w:val="es-ES"/>
        </w:rPr>
        <w:t>.</w:t>
      </w:r>
    </w:p>
  </w:footnote>
  <w:footnote w:id="6">
    <w:p w14:paraId="75544418" w14:textId="77777777" w:rsidR="009D0468" w:rsidRPr="00433924" w:rsidRDefault="009D0468" w:rsidP="009D0468">
      <w:pPr>
        <w:pStyle w:val="FootnoteText"/>
        <w:rPr>
          <w:lang w:val="es-ES"/>
        </w:rPr>
      </w:pPr>
      <w:r>
        <w:rPr>
          <w:rStyle w:val="FootnoteReference"/>
        </w:rPr>
        <w:footnoteRef/>
      </w:r>
      <w:r w:rsidRPr="00433924">
        <w:rPr>
          <w:lang w:val="es-ES"/>
        </w:rPr>
        <w:t xml:space="preserve"> </w:t>
      </w:r>
      <w:r w:rsidRPr="0068426D">
        <w:rPr>
          <w:i/>
          <w:iCs/>
          <w:lang w:val="es-ES"/>
        </w:rPr>
        <w:t>Véase</w:t>
      </w:r>
      <w:r>
        <w:rPr>
          <w:lang w:val="es-ES"/>
        </w:rPr>
        <w:t xml:space="preserve"> Pueblo v. González Cotto, </w:t>
      </w:r>
      <w:r w:rsidRPr="00433924">
        <w:rPr>
          <w:lang w:val="es-ES"/>
        </w:rPr>
        <w:t>KLCE201701152</w:t>
      </w:r>
      <w:r>
        <w:rPr>
          <w:lang w:val="es-ES"/>
        </w:rPr>
        <w:t>, en la pág. 1 (30 de agosto de 2017).</w:t>
      </w:r>
    </w:p>
  </w:footnote>
  <w:footnote w:id="7">
    <w:p w14:paraId="3CC5473A" w14:textId="77777777" w:rsidR="009D0468" w:rsidRPr="0068426D" w:rsidRDefault="009D0468" w:rsidP="009D0468">
      <w:pPr>
        <w:pStyle w:val="FootnoteText"/>
        <w:rPr>
          <w:lang w:val="es-ES"/>
        </w:rPr>
      </w:pPr>
      <w:r>
        <w:rPr>
          <w:rStyle w:val="FootnoteReference"/>
        </w:rPr>
        <w:footnoteRef/>
      </w:r>
      <w:r w:rsidRPr="0068426D">
        <w:rPr>
          <w:lang w:val="es-ES"/>
        </w:rPr>
        <w:t xml:space="preserve"> </w:t>
      </w:r>
      <w:r w:rsidRPr="0068426D">
        <w:rPr>
          <w:i/>
          <w:iCs/>
          <w:lang w:val="es-ES"/>
        </w:rPr>
        <w:t>Véase</w:t>
      </w:r>
      <w:r>
        <w:rPr>
          <w:lang w:val="es-ES"/>
        </w:rPr>
        <w:t xml:space="preserve"> </w:t>
      </w:r>
      <w:r w:rsidRPr="0068426D">
        <w:rPr>
          <w:lang w:val="es-ES"/>
        </w:rPr>
        <w:t>Pueblo v. Pérez Zayas, 116 DPR</w:t>
      </w:r>
      <w:r>
        <w:rPr>
          <w:lang w:val="es-ES"/>
        </w:rPr>
        <w:t xml:space="preserve"> </w:t>
      </w:r>
      <w:r w:rsidRPr="0068426D">
        <w:rPr>
          <w:lang w:val="es-ES"/>
        </w:rPr>
        <w:t>197, 201 (1985)</w:t>
      </w:r>
      <w:r>
        <w:rPr>
          <w:lang w:val="es-ES"/>
        </w:rPr>
        <w:t>.</w:t>
      </w:r>
    </w:p>
  </w:footnote>
  <w:footnote w:id="8">
    <w:p w14:paraId="1108C5A9" w14:textId="17CB5A2C" w:rsidR="00072A60" w:rsidRPr="00072A60" w:rsidRDefault="00072A60">
      <w:pPr>
        <w:pStyle w:val="FootnoteText"/>
        <w:rPr>
          <w:lang w:val="es-ES"/>
        </w:rPr>
      </w:pPr>
      <w:r>
        <w:rPr>
          <w:rStyle w:val="FootnoteReference"/>
        </w:rPr>
        <w:footnoteRef/>
      </w:r>
      <w:r w:rsidRPr="00072A60">
        <w:rPr>
          <w:lang w:val="es-ES"/>
        </w:rPr>
        <w:t xml:space="preserve"> </w:t>
      </w:r>
      <w:r w:rsidRPr="001D7EA7">
        <w:rPr>
          <w:rFonts w:ascii="Book Antiqua" w:hAnsi="Book Antiqua"/>
          <w:szCs w:val="24"/>
          <w:lang w:val="es-PR"/>
        </w:rPr>
        <w:t>Jack's Beach Resort, Inc., v. Compañía de Turismo de Puerto Rico, 112 DPR 344, 350 (1982).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1E070DC7"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28310F">
      <w:rPr>
        <w:rFonts w:ascii="Book Antiqua" w:hAnsi="Book Antiqua"/>
        <w:i/>
        <w:iCs/>
        <w:sz w:val="20"/>
        <w:lang w:val="es-PR"/>
      </w:rPr>
      <w:t xml:space="preserve">P. del S. </w:t>
    </w:r>
    <w:r w:rsidR="00FA220E">
      <w:rPr>
        <w:rFonts w:ascii="Book Antiqua" w:hAnsi="Book Antiqua"/>
        <w:i/>
        <w:iCs/>
        <w:sz w:val="20"/>
        <w:lang w:val="es-PR"/>
      </w:rPr>
      <w:t>84</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FDC92" w14:textId="77777777" w:rsidR="00FA220E" w:rsidRPr="007B4C52" w:rsidRDefault="00FA220E" w:rsidP="00FA220E">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del S. 84</w:t>
    </w:r>
  </w:p>
  <w:p w14:paraId="33736C91" w14:textId="606E355A" w:rsidR="00A11ED0" w:rsidRDefault="00FA220E" w:rsidP="00FA220E">
    <w:pPr>
      <w:pStyle w:val="Header"/>
      <w:jc w:val="right"/>
      <w:rPr>
        <w:rFonts w:ascii="Book Antiqua" w:hAnsi="Book Antiqua"/>
        <w:i/>
        <w:iCs/>
        <w:sz w:val="20"/>
        <w:lang w:val="es-PR"/>
      </w:rPr>
    </w:pPr>
    <w:r>
      <w:rPr>
        <w:rFonts w:ascii="Book Antiqua" w:hAnsi="Book Antiqua"/>
        <w:i/>
        <w:iCs/>
        <w:sz w:val="20"/>
        <w:lang w:val="es-PR"/>
      </w:rPr>
      <w:t>Comisión de lo Jurídico</w:t>
    </w:r>
  </w:p>
  <w:p w14:paraId="58E13037" w14:textId="22973916" w:rsidR="00242E80" w:rsidRPr="00242E80" w:rsidRDefault="00242E80" w:rsidP="00A11ED0">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0F043C"/>
    <w:multiLevelType w:val="hybridMultilevel"/>
    <w:tmpl w:val="2F5424A0"/>
    <w:lvl w:ilvl="0" w:tplc="71D8D2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9E1D2F"/>
    <w:multiLevelType w:val="hybridMultilevel"/>
    <w:tmpl w:val="8B246DCC"/>
    <w:lvl w:ilvl="0" w:tplc="14CE6F6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354505664">
    <w:abstractNumId w:val="7"/>
  </w:num>
  <w:num w:numId="8" w16cid:durableId="1298874605">
    <w:abstractNumId w:val="8"/>
  </w:num>
  <w:num w:numId="9" w16cid:durableId="15105619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1E52"/>
    <w:rsid w:val="000230E7"/>
    <w:rsid w:val="00036674"/>
    <w:rsid w:val="00043B59"/>
    <w:rsid w:val="00045442"/>
    <w:rsid w:val="00046DD2"/>
    <w:rsid w:val="0005095C"/>
    <w:rsid w:val="000533CB"/>
    <w:rsid w:val="0005560C"/>
    <w:rsid w:val="0006165F"/>
    <w:rsid w:val="00066916"/>
    <w:rsid w:val="00072A60"/>
    <w:rsid w:val="00076FE8"/>
    <w:rsid w:val="000774D6"/>
    <w:rsid w:val="00084BC5"/>
    <w:rsid w:val="000879BC"/>
    <w:rsid w:val="000902F9"/>
    <w:rsid w:val="000945D3"/>
    <w:rsid w:val="000A0CEF"/>
    <w:rsid w:val="000A135C"/>
    <w:rsid w:val="000B3411"/>
    <w:rsid w:val="000B39C5"/>
    <w:rsid w:val="000C182A"/>
    <w:rsid w:val="000C18B9"/>
    <w:rsid w:val="000C52A1"/>
    <w:rsid w:val="000C5B91"/>
    <w:rsid w:val="000C630C"/>
    <w:rsid w:val="000D3899"/>
    <w:rsid w:val="000E0D6C"/>
    <w:rsid w:val="000E4A6D"/>
    <w:rsid w:val="000E6B35"/>
    <w:rsid w:val="000F7663"/>
    <w:rsid w:val="0010073E"/>
    <w:rsid w:val="00104CF6"/>
    <w:rsid w:val="00107712"/>
    <w:rsid w:val="00111E71"/>
    <w:rsid w:val="00114F93"/>
    <w:rsid w:val="00126F68"/>
    <w:rsid w:val="001312DC"/>
    <w:rsid w:val="001322A0"/>
    <w:rsid w:val="00132631"/>
    <w:rsid w:val="00143308"/>
    <w:rsid w:val="00150A73"/>
    <w:rsid w:val="00152956"/>
    <w:rsid w:val="00152AEE"/>
    <w:rsid w:val="00157BC8"/>
    <w:rsid w:val="00172EE0"/>
    <w:rsid w:val="00186AB6"/>
    <w:rsid w:val="001A4A02"/>
    <w:rsid w:val="001A7434"/>
    <w:rsid w:val="001B5218"/>
    <w:rsid w:val="001B77D6"/>
    <w:rsid w:val="001C0F9B"/>
    <w:rsid w:val="001C2FA8"/>
    <w:rsid w:val="001C31BA"/>
    <w:rsid w:val="001C4D61"/>
    <w:rsid w:val="001C5DEB"/>
    <w:rsid w:val="001D12A7"/>
    <w:rsid w:val="001D2FF9"/>
    <w:rsid w:val="001D3C1D"/>
    <w:rsid w:val="001D4DBD"/>
    <w:rsid w:val="001D70F5"/>
    <w:rsid w:val="001D796F"/>
    <w:rsid w:val="001D79E5"/>
    <w:rsid w:val="001E78B4"/>
    <w:rsid w:val="001F7ABB"/>
    <w:rsid w:val="00200B6F"/>
    <w:rsid w:val="00201B8C"/>
    <w:rsid w:val="00213CAD"/>
    <w:rsid w:val="0021538F"/>
    <w:rsid w:val="002214F8"/>
    <w:rsid w:val="0022642B"/>
    <w:rsid w:val="0024131E"/>
    <w:rsid w:val="00242E80"/>
    <w:rsid w:val="00243FD8"/>
    <w:rsid w:val="0024587F"/>
    <w:rsid w:val="00246C97"/>
    <w:rsid w:val="0025270C"/>
    <w:rsid w:val="00254B92"/>
    <w:rsid w:val="002651FE"/>
    <w:rsid w:val="002663EA"/>
    <w:rsid w:val="00266EEC"/>
    <w:rsid w:val="002671BE"/>
    <w:rsid w:val="0027212A"/>
    <w:rsid w:val="002779B7"/>
    <w:rsid w:val="0028310F"/>
    <w:rsid w:val="002B0B9E"/>
    <w:rsid w:val="002B62DE"/>
    <w:rsid w:val="002C18ED"/>
    <w:rsid w:val="002C402D"/>
    <w:rsid w:val="002D185B"/>
    <w:rsid w:val="002D4AC8"/>
    <w:rsid w:val="002D4E50"/>
    <w:rsid w:val="002D70CC"/>
    <w:rsid w:val="002E3F48"/>
    <w:rsid w:val="002E4A52"/>
    <w:rsid w:val="002E66F9"/>
    <w:rsid w:val="002F0440"/>
    <w:rsid w:val="002F6CF2"/>
    <w:rsid w:val="002F79D4"/>
    <w:rsid w:val="00303FA5"/>
    <w:rsid w:val="003059D5"/>
    <w:rsid w:val="00305D5B"/>
    <w:rsid w:val="00311782"/>
    <w:rsid w:val="003131E4"/>
    <w:rsid w:val="00316786"/>
    <w:rsid w:val="003239C5"/>
    <w:rsid w:val="00330372"/>
    <w:rsid w:val="00334935"/>
    <w:rsid w:val="003366C5"/>
    <w:rsid w:val="00337BB7"/>
    <w:rsid w:val="0034055D"/>
    <w:rsid w:val="003465C8"/>
    <w:rsid w:val="00352C78"/>
    <w:rsid w:val="00381F18"/>
    <w:rsid w:val="0038390D"/>
    <w:rsid w:val="003857EC"/>
    <w:rsid w:val="00385836"/>
    <w:rsid w:val="00386D32"/>
    <w:rsid w:val="0039037B"/>
    <w:rsid w:val="003906D8"/>
    <w:rsid w:val="00393CA6"/>
    <w:rsid w:val="003A201A"/>
    <w:rsid w:val="003B0348"/>
    <w:rsid w:val="003C421D"/>
    <w:rsid w:val="003D7045"/>
    <w:rsid w:val="003F6904"/>
    <w:rsid w:val="00402413"/>
    <w:rsid w:val="004076B9"/>
    <w:rsid w:val="00412A61"/>
    <w:rsid w:val="00412FCD"/>
    <w:rsid w:val="004227D1"/>
    <w:rsid w:val="00422F87"/>
    <w:rsid w:val="00424144"/>
    <w:rsid w:val="004278D1"/>
    <w:rsid w:val="004408DF"/>
    <w:rsid w:val="00440935"/>
    <w:rsid w:val="004440CB"/>
    <w:rsid w:val="00444489"/>
    <w:rsid w:val="00444FD2"/>
    <w:rsid w:val="00445E69"/>
    <w:rsid w:val="00464911"/>
    <w:rsid w:val="004664CE"/>
    <w:rsid w:val="00470BF0"/>
    <w:rsid w:val="004713D2"/>
    <w:rsid w:val="004817F3"/>
    <w:rsid w:val="00481C39"/>
    <w:rsid w:val="00487AC3"/>
    <w:rsid w:val="004918F1"/>
    <w:rsid w:val="004A05FC"/>
    <w:rsid w:val="004A0FD4"/>
    <w:rsid w:val="004A18C6"/>
    <w:rsid w:val="004A54FE"/>
    <w:rsid w:val="004B0082"/>
    <w:rsid w:val="004C2DA4"/>
    <w:rsid w:val="004C370E"/>
    <w:rsid w:val="004C4F96"/>
    <w:rsid w:val="004D2BC7"/>
    <w:rsid w:val="004D4E14"/>
    <w:rsid w:val="004E7F65"/>
    <w:rsid w:val="004F6E72"/>
    <w:rsid w:val="004F7173"/>
    <w:rsid w:val="0051050B"/>
    <w:rsid w:val="00514AD2"/>
    <w:rsid w:val="00525AC1"/>
    <w:rsid w:val="00530395"/>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968F0"/>
    <w:rsid w:val="00597FA7"/>
    <w:rsid w:val="005A24EF"/>
    <w:rsid w:val="005A4787"/>
    <w:rsid w:val="005A57A8"/>
    <w:rsid w:val="005B2884"/>
    <w:rsid w:val="005C5E81"/>
    <w:rsid w:val="005C7CBA"/>
    <w:rsid w:val="005D2E57"/>
    <w:rsid w:val="005D4AA7"/>
    <w:rsid w:val="005E150B"/>
    <w:rsid w:val="005E1ED1"/>
    <w:rsid w:val="005E7E85"/>
    <w:rsid w:val="006043F3"/>
    <w:rsid w:val="0061550A"/>
    <w:rsid w:val="00615AB1"/>
    <w:rsid w:val="00615E64"/>
    <w:rsid w:val="00620F1F"/>
    <w:rsid w:val="00622333"/>
    <w:rsid w:val="00642E4C"/>
    <w:rsid w:val="00643EA9"/>
    <w:rsid w:val="00650D8E"/>
    <w:rsid w:val="0066129F"/>
    <w:rsid w:val="00662809"/>
    <w:rsid w:val="00667423"/>
    <w:rsid w:val="0067083D"/>
    <w:rsid w:val="00670DF4"/>
    <w:rsid w:val="006807C0"/>
    <w:rsid w:val="006861CE"/>
    <w:rsid w:val="006954AA"/>
    <w:rsid w:val="006A0CA2"/>
    <w:rsid w:val="006A24A9"/>
    <w:rsid w:val="006A6910"/>
    <w:rsid w:val="006B3D07"/>
    <w:rsid w:val="006B6346"/>
    <w:rsid w:val="006B7E26"/>
    <w:rsid w:val="006D01F6"/>
    <w:rsid w:val="006D1CB1"/>
    <w:rsid w:val="006D26FE"/>
    <w:rsid w:val="006D49D8"/>
    <w:rsid w:val="006D5838"/>
    <w:rsid w:val="006D6359"/>
    <w:rsid w:val="006E0821"/>
    <w:rsid w:val="006E2891"/>
    <w:rsid w:val="006E5B7A"/>
    <w:rsid w:val="006F226E"/>
    <w:rsid w:val="006F51A8"/>
    <w:rsid w:val="00713499"/>
    <w:rsid w:val="00714102"/>
    <w:rsid w:val="007163D8"/>
    <w:rsid w:val="007167F5"/>
    <w:rsid w:val="00720552"/>
    <w:rsid w:val="00720B6F"/>
    <w:rsid w:val="007229E9"/>
    <w:rsid w:val="00722EE4"/>
    <w:rsid w:val="00725174"/>
    <w:rsid w:val="0073675F"/>
    <w:rsid w:val="007472C1"/>
    <w:rsid w:val="007535BB"/>
    <w:rsid w:val="007611FE"/>
    <w:rsid w:val="00766267"/>
    <w:rsid w:val="0077735E"/>
    <w:rsid w:val="00777E1D"/>
    <w:rsid w:val="00785050"/>
    <w:rsid w:val="00792B6F"/>
    <w:rsid w:val="00793E19"/>
    <w:rsid w:val="007B4C52"/>
    <w:rsid w:val="007C04E5"/>
    <w:rsid w:val="007C156B"/>
    <w:rsid w:val="007C592E"/>
    <w:rsid w:val="007D5A59"/>
    <w:rsid w:val="007E17BE"/>
    <w:rsid w:val="007E3B6D"/>
    <w:rsid w:val="007F0829"/>
    <w:rsid w:val="007F62AB"/>
    <w:rsid w:val="0080254C"/>
    <w:rsid w:val="00803A23"/>
    <w:rsid w:val="008061C2"/>
    <w:rsid w:val="00815BF2"/>
    <w:rsid w:val="00820C41"/>
    <w:rsid w:val="008235BE"/>
    <w:rsid w:val="00825070"/>
    <w:rsid w:val="00837344"/>
    <w:rsid w:val="00855CD6"/>
    <w:rsid w:val="0086515A"/>
    <w:rsid w:val="00865634"/>
    <w:rsid w:val="008A154B"/>
    <w:rsid w:val="008A1FA4"/>
    <w:rsid w:val="008A40E0"/>
    <w:rsid w:val="008C18B2"/>
    <w:rsid w:val="008C331F"/>
    <w:rsid w:val="008C39D5"/>
    <w:rsid w:val="008C6CB7"/>
    <w:rsid w:val="008E051A"/>
    <w:rsid w:val="008E596F"/>
    <w:rsid w:val="008E6EBC"/>
    <w:rsid w:val="008F4172"/>
    <w:rsid w:val="008F717C"/>
    <w:rsid w:val="008F720C"/>
    <w:rsid w:val="00902D8C"/>
    <w:rsid w:val="00904165"/>
    <w:rsid w:val="00905655"/>
    <w:rsid w:val="00907E93"/>
    <w:rsid w:val="009133CF"/>
    <w:rsid w:val="009154BD"/>
    <w:rsid w:val="0092080B"/>
    <w:rsid w:val="009208F4"/>
    <w:rsid w:val="00925492"/>
    <w:rsid w:val="00930C45"/>
    <w:rsid w:val="009313EE"/>
    <w:rsid w:val="009374E4"/>
    <w:rsid w:val="00940E84"/>
    <w:rsid w:val="0094289B"/>
    <w:rsid w:val="00942D49"/>
    <w:rsid w:val="00946BB4"/>
    <w:rsid w:val="00946E55"/>
    <w:rsid w:val="0096171F"/>
    <w:rsid w:val="009645CD"/>
    <w:rsid w:val="009667D9"/>
    <w:rsid w:val="00970DEB"/>
    <w:rsid w:val="00981A1F"/>
    <w:rsid w:val="00984F56"/>
    <w:rsid w:val="009A08E8"/>
    <w:rsid w:val="009A0B8B"/>
    <w:rsid w:val="009A4A2C"/>
    <w:rsid w:val="009A4FB3"/>
    <w:rsid w:val="009B5669"/>
    <w:rsid w:val="009B619C"/>
    <w:rsid w:val="009C455C"/>
    <w:rsid w:val="009D0468"/>
    <w:rsid w:val="009D722F"/>
    <w:rsid w:val="009E20DD"/>
    <w:rsid w:val="009E7941"/>
    <w:rsid w:val="009F427F"/>
    <w:rsid w:val="009F68F4"/>
    <w:rsid w:val="00A049B0"/>
    <w:rsid w:val="00A05EDB"/>
    <w:rsid w:val="00A06A16"/>
    <w:rsid w:val="00A11BDC"/>
    <w:rsid w:val="00A11ED0"/>
    <w:rsid w:val="00A12823"/>
    <w:rsid w:val="00A13CBC"/>
    <w:rsid w:val="00A15144"/>
    <w:rsid w:val="00A30115"/>
    <w:rsid w:val="00A303ED"/>
    <w:rsid w:val="00A30959"/>
    <w:rsid w:val="00A3182D"/>
    <w:rsid w:val="00A33C73"/>
    <w:rsid w:val="00A35101"/>
    <w:rsid w:val="00A501D7"/>
    <w:rsid w:val="00A52A66"/>
    <w:rsid w:val="00A52CD9"/>
    <w:rsid w:val="00A6445C"/>
    <w:rsid w:val="00A74F7B"/>
    <w:rsid w:val="00A83C12"/>
    <w:rsid w:val="00A870EF"/>
    <w:rsid w:val="00A90DAD"/>
    <w:rsid w:val="00A93C47"/>
    <w:rsid w:val="00AA0006"/>
    <w:rsid w:val="00AB2E69"/>
    <w:rsid w:val="00AC2B3C"/>
    <w:rsid w:val="00AC3813"/>
    <w:rsid w:val="00AD076F"/>
    <w:rsid w:val="00AD4B71"/>
    <w:rsid w:val="00AD6F46"/>
    <w:rsid w:val="00AE555C"/>
    <w:rsid w:val="00AF12FB"/>
    <w:rsid w:val="00AF56F5"/>
    <w:rsid w:val="00B03E1C"/>
    <w:rsid w:val="00B10608"/>
    <w:rsid w:val="00B216D4"/>
    <w:rsid w:val="00B24B05"/>
    <w:rsid w:val="00B25721"/>
    <w:rsid w:val="00B3093E"/>
    <w:rsid w:val="00B316DC"/>
    <w:rsid w:val="00B36F9D"/>
    <w:rsid w:val="00B37EF9"/>
    <w:rsid w:val="00B46464"/>
    <w:rsid w:val="00B47BDF"/>
    <w:rsid w:val="00B571D9"/>
    <w:rsid w:val="00B57451"/>
    <w:rsid w:val="00B6135D"/>
    <w:rsid w:val="00B70EB9"/>
    <w:rsid w:val="00B807DC"/>
    <w:rsid w:val="00B81249"/>
    <w:rsid w:val="00B82515"/>
    <w:rsid w:val="00B8514B"/>
    <w:rsid w:val="00B8540B"/>
    <w:rsid w:val="00B9103D"/>
    <w:rsid w:val="00BA0F95"/>
    <w:rsid w:val="00BA43F4"/>
    <w:rsid w:val="00BB20A7"/>
    <w:rsid w:val="00BB6946"/>
    <w:rsid w:val="00BB7826"/>
    <w:rsid w:val="00BC5726"/>
    <w:rsid w:val="00BC7625"/>
    <w:rsid w:val="00BD3BEF"/>
    <w:rsid w:val="00BE1535"/>
    <w:rsid w:val="00BE6740"/>
    <w:rsid w:val="00BF3337"/>
    <w:rsid w:val="00BF358A"/>
    <w:rsid w:val="00C0210B"/>
    <w:rsid w:val="00C041C2"/>
    <w:rsid w:val="00C10ADB"/>
    <w:rsid w:val="00C152A3"/>
    <w:rsid w:val="00C20997"/>
    <w:rsid w:val="00C21A5A"/>
    <w:rsid w:val="00C22AFC"/>
    <w:rsid w:val="00C32ECE"/>
    <w:rsid w:val="00C41CC9"/>
    <w:rsid w:val="00C4275E"/>
    <w:rsid w:val="00C51E81"/>
    <w:rsid w:val="00C6071A"/>
    <w:rsid w:val="00C65A5F"/>
    <w:rsid w:val="00C7303D"/>
    <w:rsid w:val="00C760D6"/>
    <w:rsid w:val="00C869B3"/>
    <w:rsid w:val="00C9772C"/>
    <w:rsid w:val="00CA1098"/>
    <w:rsid w:val="00CA559C"/>
    <w:rsid w:val="00CA5E1E"/>
    <w:rsid w:val="00CA6DDD"/>
    <w:rsid w:val="00CB5806"/>
    <w:rsid w:val="00CC29A3"/>
    <w:rsid w:val="00CC4859"/>
    <w:rsid w:val="00CD5A7F"/>
    <w:rsid w:val="00CE532D"/>
    <w:rsid w:val="00CE7DA0"/>
    <w:rsid w:val="00CF32AA"/>
    <w:rsid w:val="00CF4C00"/>
    <w:rsid w:val="00D0004D"/>
    <w:rsid w:val="00D01A55"/>
    <w:rsid w:val="00D04960"/>
    <w:rsid w:val="00D13D23"/>
    <w:rsid w:val="00D1483C"/>
    <w:rsid w:val="00D16947"/>
    <w:rsid w:val="00D41F58"/>
    <w:rsid w:val="00D46299"/>
    <w:rsid w:val="00D47749"/>
    <w:rsid w:val="00D51CF7"/>
    <w:rsid w:val="00D5351E"/>
    <w:rsid w:val="00D53C42"/>
    <w:rsid w:val="00D61B6F"/>
    <w:rsid w:val="00D759DB"/>
    <w:rsid w:val="00D84C61"/>
    <w:rsid w:val="00D8699D"/>
    <w:rsid w:val="00D9263A"/>
    <w:rsid w:val="00D93BA6"/>
    <w:rsid w:val="00D94369"/>
    <w:rsid w:val="00D95836"/>
    <w:rsid w:val="00D969E3"/>
    <w:rsid w:val="00D96D40"/>
    <w:rsid w:val="00DA0051"/>
    <w:rsid w:val="00DA1E64"/>
    <w:rsid w:val="00DA594A"/>
    <w:rsid w:val="00DA72D6"/>
    <w:rsid w:val="00DB25BF"/>
    <w:rsid w:val="00DB3451"/>
    <w:rsid w:val="00DB4C88"/>
    <w:rsid w:val="00DB5279"/>
    <w:rsid w:val="00DC2909"/>
    <w:rsid w:val="00DC7D84"/>
    <w:rsid w:val="00DD122E"/>
    <w:rsid w:val="00DD48C9"/>
    <w:rsid w:val="00DD58BD"/>
    <w:rsid w:val="00DE189A"/>
    <w:rsid w:val="00DE6362"/>
    <w:rsid w:val="00DF0352"/>
    <w:rsid w:val="00DF45DC"/>
    <w:rsid w:val="00E02680"/>
    <w:rsid w:val="00E14B9C"/>
    <w:rsid w:val="00E17E3B"/>
    <w:rsid w:val="00E251EA"/>
    <w:rsid w:val="00E35157"/>
    <w:rsid w:val="00E35171"/>
    <w:rsid w:val="00E36FA6"/>
    <w:rsid w:val="00E40CB9"/>
    <w:rsid w:val="00E503BB"/>
    <w:rsid w:val="00E52541"/>
    <w:rsid w:val="00E57F60"/>
    <w:rsid w:val="00E63FA4"/>
    <w:rsid w:val="00E66AE1"/>
    <w:rsid w:val="00E67BF1"/>
    <w:rsid w:val="00E722CA"/>
    <w:rsid w:val="00E73DB1"/>
    <w:rsid w:val="00E930DD"/>
    <w:rsid w:val="00E94C74"/>
    <w:rsid w:val="00E9570B"/>
    <w:rsid w:val="00EA2F5A"/>
    <w:rsid w:val="00EA477A"/>
    <w:rsid w:val="00EA5757"/>
    <w:rsid w:val="00EB0B16"/>
    <w:rsid w:val="00EB1664"/>
    <w:rsid w:val="00EB5031"/>
    <w:rsid w:val="00EC0901"/>
    <w:rsid w:val="00EC5454"/>
    <w:rsid w:val="00EC56E8"/>
    <w:rsid w:val="00EE4536"/>
    <w:rsid w:val="00EF237A"/>
    <w:rsid w:val="00EF4088"/>
    <w:rsid w:val="00EF62F7"/>
    <w:rsid w:val="00F02F4A"/>
    <w:rsid w:val="00F03BFB"/>
    <w:rsid w:val="00F042CB"/>
    <w:rsid w:val="00F1052D"/>
    <w:rsid w:val="00F242AB"/>
    <w:rsid w:val="00F3003D"/>
    <w:rsid w:val="00F41961"/>
    <w:rsid w:val="00F44E24"/>
    <w:rsid w:val="00F4686E"/>
    <w:rsid w:val="00F566F4"/>
    <w:rsid w:val="00F65FAA"/>
    <w:rsid w:val="00F75820"/>
    <w:rsid w:val="00F771E0"/>
    <w:rsid w:val="00F816B8"/>
    <w:rsid w:val="00F82673"/>
    <w:rsid w:val="00F85B37"/>
    <w:rsid w:val="00F86C0C"/>
    <w:rsid w:val="00F8713B"/>
    <w:rsid w:val="00F87169"/>
    <w:rsid w:val="00F90AAD"/>
    <w:rsid w:val="00F969D4"/>
    <w:rsid w:val="00F974FC"/>
    <w:rsid w:val="00FA153B"/>
    <w:rsid w:val="00FA220E"/>
    <w:rsid w:val="00FB10AE"/>
    <w:rsid w:val="00FC1F0C"/>
    <w:rsid w:val="00FC5FDD"/>
    <w:rsid w:val="00FD19DB"/>
    <w:rsid w:val="00FD4E9F"/>
    <w:rsid w:val="00FE0D1C"/>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table" w:styleId="TableGrid">
    <w:name w:val="Table Grid"/>
    <w:basedOn w:val="TableNormal"/>
    <w:uiPriority w:val="59"/>
    <w:rsid w:val="00DA5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49118">
      <w:bodyDiv w:val="1"/>
      <w:marLeft w:val="0"/>
      <w:marRight w:val="0"/>
      <w:marTop w:val="0"/>
      <w:marBottom w:val="0"/>
      <w:divBdr>
        <w:top w:val="none" w:sz="0" w:space="0" w:color="auto"/>
        <w:left w:val="none" w:sz="0" w:space="0" w:color="auto"/>
        <w:bottom w:val="none" w:sz="0" w:space="0" w:color="auto"/>
        <w:right w:val="none" w:sz="0" w:space="0" w:color="auto"/>
      </w:divBdr>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065614">
      <w:bodyDiv w:val="1"/>
      <w:marLeft w:val="0"/>
      <w:marRight w:val="0"/>
      <w:marTop w:val="0"/>
      <w:marBottom w:val="0"/>
      <w:divBdr>
        <w:top w:val="none" w:sz="0" w:space="0" w:color="auto"/>
        <w:left w:val="none" w:sz="0" w:space="0" w:color="auto"/>
        <w:bottom w:val="none" w:sz="0" w:space="0" w:color="auto"/>
        <w:right w:val="none" w:sz="0" w:space="0" w:color="auto"/>
      </w:divBdr>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4SQX5P7U7WPY-958212181-817332</_dlc_DocId>
    <_dlc_DocIdUrl xmlns="c890fddd-4e87-4e08-8b51-545f2a3f7b06">
      <Url>https://senpr.sharepoint.com/sites/obralegislativa/_layouts/15/DocIdRedir.aspx?ID=4SQX5P7U7WPY-958212181-817332</Url>
      <Description>4SQX5P7U7WPY-958212181-817332</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97743159-458F-4C6C-8B16-3DD110EB2AB8}"/>
</file>

<file path=customXml/itemProps5.xml><?xml version="1.0" encoding="utf-8"?>
<ds:datastoreItem xmlns:ds="http://schemas.openxmlformats.org/officeDocument/2006/customXml" ds:itemID="{96DC92DD-20E5-4CB5-B19A-CCFA0451528C}"/>
</file>

<file path=docProps/app.xml><?xml version="1.0" encoding="utf-8"?>
<Properties xmlns="http://schemas.openxmlformats.org/officeDocument/2006/extended-properties" xmlns:vt="http://schemas.openxmlformats.org/officeDocument/2006/docPropsVTypes">
  <Template>Medida-V2009</Template>
  <TotalTime>1</TotalTime>
  <Pages>13</Pages>
  <Words>4375</Words>
  <Characters>21972</Characters>
  <Application>Microsoft Office Word</Application>
  <DocSecurity>0</DocSecurity>
  <Lines>183</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2025-08-14T13:10:00Z</dcterms:created>
  <dcterms:modified xsi:type="dcterms:W3CDTF">2025-08-14T13:10:00Z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b5b43d16-325b-476f-8f58-d151928b4e57</vt:lpwstr>
  </property>
  <property fmtid="{D5CDD505-2E9C-101B-9397-08002B2CF9AE}" pid="4" name="MediaServiceImageTags">
    <vt:lpwstr/>
  </property>
</Properties>
</file>