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5E150B" w:rsidRDefault="007535BB" w:rsidP="007535BB">
      <w:pPr>
        <w:tabs>
          <w:tab w:val="center" w:pos="4680"/>
          <w:tab w:val="left" w:pos="7920"/>
        </w:tabs>
        <w:jc w:val="center"/>
        <w:rPr>
          <w:rFonts w:ascii="Book Antiqua" w:hAnsi="Book Antiqua"/>
          <w:sz w:val="28"/>
          <w:szCs w:val="28"/>
          <w:lang w:val="es-ES_tradnl"/>
        </w:rPr>
      </w:pPr>
      <w:bookmarkStart w:id="0" w:name="_Hlk183042642"/>
      <w:bookmarkStart w:id="1" w:name="_Hlk183037667"/>
      <w:bookmarkStart w:id="2" w:name="_Hlk183038391"/>
      <w:r w:rsidRPr="005E150B">
        <w:rPr>
          <w:rFonts w:ascii="Book Antiqua" w:hAnsi="Book Antiqua"/>
          <w:sz w:val="28"/>
          <w:szCs w:val="28"/>
          <w:lang w:val="es-ES_tradnl"/>
        </w:rPr>
        <w:t>GOBIERNO DE PUERTO RICO</w:t>
      </w:r>
    </w:p>
    <w:p w14:paraId="24353140" w14:textId="77777777" w:rsidR="007535BB" w:rsidRPr="00B35ECA" w:rsidRDefault="007535BB" w:rsidP="007535BB">
      <w:pPr>
        <w:jc w:val="center"/>
        <w:rPr>
          <w:rFonts w:ascii="Book Antiqua" w:hAnsi="Book Antiqua"/>
          <w:sz w:val="36"/>
          <w:lang w:val="es-ES_tradnl"/>
        </w:rPr>
      </w:pPr>
    </w:p>
    <w:tbl>
      <w:tblPr>
        <w:tblW w:w="9609" w:type="dxa"/>
        <w:tblLook w:val="04A0" w:firstRow="1" w:lastRow="0" w:firstColumn="1" w:lastColumn="0" w:noHBand="0" w:noVBand="1"/>
      </w:tblPr>
      <w:tblGrid>
        <w:gridCol w:w="3170"/>
        <w:gridCol w:w="3171"/>
        <w:gridCol w:w="3268"/>
      </w:tblGrid>
      <w:tr w:rsidR="007535BB" w:rsidRPr="00B35ECA" w14:paraId="4DE77E24" w14:textId="77777777" w:rsidTr="00D95836">
        <w:trPr>
          <w:trHeight w:val="900"/>
        </w:trPr>
        <w:tc>
          <w:tcPr>
            <w:tcW w:w="3170" w:type="dxa"/>
          </w:tcPr>
          <w:p w14:paraId="27AF3912" w14:textId="77777777" w:rsidR="007535BB" w:rsidRPr="00B35ECA" w:rsidRDefault="007535BB" w:rsidP="00D95836">
            <w:pPr>
              <w:rPr>
                <w:rFonts w:ascii="Book Antiqua" w:hAnsi="Book Antiqua"/>
                <w:lang w:val="es-ES_tradnl"/>
              </w:rPr>
            </w:pPr>
            <w:r w:rsidRPr="00B35ECA">
              <w:rPr>
                <w:rFonts w:ascii="Book Antiqua" w:hAnsi="Book Antiqua"/>
                <w:lang w:val="es-ES_tradnl"/>
              </w:rPr>
              <w:t>20</w:t>
            </w:r>
            <w:r w:rsidRPr="00B35ECA">
              <w:rPr>
                <w:rFonts w:ascii="Book Antiqua" w:hAnsi="Book Antiqua"/>
                <w:vertAlign w:val="superscript"/>
                <w:lang w:val="es-ES_tradnl"/>
              </w:rPr>
              <w:t>ma.</w:t>
            </w:r>
            <w:r w:rsidRPr="00B35ECA">
              <w:rPr>
                <w:rFonts w:ascii="Book Antiqua" w:hAnsi="Book Antiqua"/>
                <w:lang w:val="es-ES_tradnl"/>
              </w:rPr>
              <w:tab/>
              <w:t>Asamblea</w:t>
            </w:r>
          </w:p>
          <w:p w14:paraId="082D32B2" w14:textId="77777777" w:rsidR="007535BB" w:rsidRPr="00B35ECA" w:rsidRDefault="007535BB" w:rsidP="00D95836">
            <w:pPr>
              <w:rPr>
                <w:rFonts w:ascii="Book Antiqua" w:hAnsi="Book Antiqua"/>
                <w:sz w:val="36"/>
                <w:lang w:val="es-ES_tradnl"/>
              </w:rPr>
            </w:pPr>
            <w:r w:rsidRPr="00B35ECA">
              <w:rPr>
                <w:rFonts w:ascii="Book Antiqua" w:hAnsi="Book Antiqua"/>
                <w:lang w:val="es-ES_tradnl"/>
              </w:rPr>
              <w:t xml:space="preserve">         </w:t>
            </w:r>
            <w:r w:rsidRPr="00B35ECA">
              <w:rPr>
                <w:rFonts w:ascii="Book Antiqua" w:hAnsi="Book Antiqua"/>
                <w:lang w:val="es-ES_tradnl"/>
              </w:rPr>
              <w:tab/>
              <w:t xml:space="preserve">Legislativa                                                                                                          </w:t>
            </w:r>
          </w:p>
        </w:tc>
        <w:tc>
          <w:tcPr>
            <w:tcW w:w="3171" w:type="dxa"/>
          </w:tcPr>
          <w:p w14:paraId="48FE9142" w14:textId="77777777" w:rsidR="007535BB" w:rsidRPr="00B35ECA" w:rsidRDefault="007535BB" w:rsidP="00D95836">
            <w:pPr>
              <w:jc w:val="center"/>
              <w:rPr>
                <w:rFonts w:ascii="Book Antiqua" w:hAnsi="Book Antiqua"/>
                <w:sz w:val="36"/>
                <w:lang w:val="es-ES_tradnl"/>
              </w:rPr>
            </w:pPr>
          </w:p>
        </w:tc>
        <w:tc>
          <w:tcPr>
            <w:tcW w:w="3268" w:type="dxa"/>
          </w:tcPr>
          <w:p w14:paraId="69176C76" w14:textId="2F06252B" w:rsidR="007535BB" w:rsidRPr="00B35ECA" w:rsidRDefault="007535BB" w:rsidP="00D95836">
            <w:pPr>
              <w:rPr>
                <w:rFonts w:ascii="Book Antiqua" w:hAnsi="Book Antiqua"/>
                <w:lang w:val="es-ES_tradnl"/>
              </w:rPr>
            </w:pPr>
            <w:r w:rsidRPr="00B35ECA">
              <w:rPr>
                <w:rFonts w:ascii="Book Antiqua" w:hAnsi="Book Antiqua"/>
                <w:lang w:val="es-ES_tradnl"/>
              </w:rPr>
              <w:tab/>
            </w:r>
            <w:r w:rsidR="00E17E3B">
              <w:rPr>
                <w:rFonts w:ascii="Book Antiqua" w:hAnsi="Book Antiqua"/>
                <w:lang w:val="es-ES_tradnl"/>
              </w:rPr>
              <w:t>2</w:t>
            </w:r>
            <w:r w:rsidR="00E17E3B" w:rsidRPr="00E17E3B">
              <w:rPr>
                <w:rFonts w:ascii="Book Antiqua" w:hAnsi="Book Antiqua"/>
                <w:vertAlign w:val="superscript"/>
                <w:lang w:val="es-ES_tradnl"/>
              </w:rPr>
              <w:t>d</w:t>
            </w:r>
            <w:r w:rsidRPr="00B35ECA">
              <w:rPr>
                <w:rFonts w:ascii="Book Antiqua" w:hAnsi="Book Antiqua"/>
                <w:vertAlign w:val="superscript"/>
                <w:lang w:val="es-ES_tradnl"/>
              </w:rPr>
              <w:t>a.</w:t>
            </w:r>
            <w:r w:rsidRPr="00B35ECA">
              <w:rPr>
                <w:rFonts w:ascii="Book Antiqua" w:hAnsi="Book Antiqua"/>
                <w:lang w:val="es-ES_tradnl"/>
              </w:rPr>
              <w:t xml:space="preserve"> Sesión</w:t>
            </w:r>
          </w:p>
          <w:p w14:paraId="42A8E2C1" w14:textId="6033C9E1" w:rsidR="007535BB" w:rsidRPr="00B35ECA" w:rsidRDefault="007535BB" w:rsidP="00D95836">
            <w:pPr>
              <w:rPr>
                <w:rFonts w:ascii="Book Antiqua" w:hAnsi="Book Antiqua"/>
                <w:lang w:val="es-ES_tradnl"/>
              </w:rPr>
            </w:pPr>
            <w:r w:rsidRPr="00B35ECA">
              <w:rPr>
                <w:rFonts w:ascii="Book Antiqua" w:hAnsi="Book Antiqua"/>
                <w:lang w:val="es-ES_tradnl"/>
              </w:rPr>
              <w:tab/>
              <w:t xml:space="preserve">      Ordinaria</w:t>
            </w:r>
          </w:p>
          <w:p w14:paraId="640FD190" w14:textId="77777777" w:rsidR="007535BB" w:rsidRPr="00B35ECA" w:rsidRDefault="007535BB" w:rsidP="00D95836">
            <w:pPr>
              <w:jc w:val="center"/>
              <w:rPr>
                <w:rFonts w:ascii="Book Antiqua" w:hAnsi="Book Antiqua"/>
                <w:sz w:val="36"/>
                <w:lang w:val="es-ES_tradnl"/>
              </w:rPr>
            </w:pPr>
          </w:p>
        </w:tc>
      </w:tr>
    </w:tbl>
    <w:bookmarkEnd w:id="0"/>
    <w:p w14:paraId="44DF1C72" w14:textId="77777777" w:rsidR="007535BB" w:rsidRPr="00B35ECA" w:rsidRDefault="007535BB" w:rsidP="0027212A">
      <w:pPr>
        <w:spacing w:line="360" w:lineRule="auto"/>
        <w:jc w:val="center"/>
        <w:rPr>
          <w:rFonts w:ascii="Book Antiqua" w:hAnsi="Book Antiqua"/>
          <w:b/>
          <w:sz w:val="36"/>
          <w:lang w:val="es-ES_tradnl"/>
        </w:rPr>
      </w:pPr>
      <w:r w:rsidRPr="00B35ECA">
        <w:rPr>
          <w:rFonts w:ascii="Book Antiqua" w:hAnsi="Book Antiqua"/>
          <w:b/>
          <w:sz w:val="36"/>
          <w:lang w:val="es-ES_tradnl"/>
        </w:rPr>
        <w:t>SENADO DE PUERTO RICO</w:t>
      </w:r>
      <w:bookmarkEnd w:id="1"/>
    </w:p>
    <w:p w14:paraId="3E53146F" w14:textId="4F066361" w:rsidR="007535BB" w:rsidRPr="00B35ECA" w:rsidRDefault="007535BB" w:rsidP="0027212A">
      <w:pPr>
        <w:spacing w:line="360" w:lineRule="auto"/>
        <w:jc w:val="center"/>
        <w:rPr>
          <w:rFonts w:ascii="Book Antiqua" w:hAnsi="Book Antiqua"/>
          <w:b/>
          <w:sz w:val="52"/>
          <w:lang w:val="es-ES_tradnl"/>
        </w:rPr>
      </w:pPr>
      <w:r w:rsidRPr="00B35ECA">
        <w:rPr>
          <w:rFonts w:ascii="Book Antiqua" w:hAnsi="Book Antiqua"/>
          <w:b/>
          <w:sz w:val="52"/>
          <w:lang w:val="es-ES_tradnl"/>
        </w:rPr>
        <w:t xml:space="preserve">P. del S. </w:t>
      </w:r>
      <w:r w:rsidR="008E1878">
        <w:rPr>
          <w:rFonts w:ascii="Book Antiqua" w:hAnsi="Book Antiqua"/>
          <w:b/>
          <w:sz w:val="52"/>
          <w:lang w:val="es-ES_tradnl"/>
        </w:rPr>
        <w:t>86</w:t>
      </w:r>
    </w:p>
    <w:p w14:paraId="1443CA0F" w14:textId="77777777" w:rsidR="007535BB" w:rsidRPr="001B5218" w:rsidRDefault="007535BB" w:rsidP="0027212A">
      <w:pPr>
        <w:spacing w:line="360" w:lineRule="auto"/>
        <w:jc w:val="center"/>
        <w:rPr>
          <w:rFonts w:ascii="Book Antiqua" w:hAnsi="Book Antiqua"/>
          <w:b/>
          <w:bCs/>
          <w:lang w:val="es-ES_tradnl"/>
        </w:rPr>
      </w:pPr>
      <w:r w:rsidRPr="001B5218">
        <w:rPr>
          <w:rFonts w:ascii="Book Antiqua" w:hAnsi="Book Antiqua"/>
          <w:b/>
          <w:bCs/>
          <w:lang w:val="es-ES_tradnl"/>
        </w:rPr>
        <w:t xml:space="preserve"> </w:t>
      </w:r>
      <w:bookmarkStart w:id="3" w:name="_Hlk183037684"/>
      <w:r w:rsidR="001B5218" w:rsidRPr="00A52CD9">
        <w:rPr>
          <w:rFonts w:ascii="Book Antiqua" w:hAnsi="Book Antiqua"/>
          <w:b/>
          <w:bCs/>
          <w:sz w:val="28"/>
          <w:szCs w:val="22"/>
          <w:lang w:val="es-ES_tradnl"/>
        </w:rPr>
        <w:t xml:space="preserve">INFORME POSITIVO </w:t>
      </w:r>
    </w:p>
    <w:p w14:paraId="07AB4BDD" w14:textId="4AA8C823" w:rsidR="001B5218" w:rsidRPr="005E150B" w:rsidRDefault="00BD5306" w:rsidP="0027212A">
      <w:pPr>
        <w:spacing w:line="360" w:lineRule="auto"/>
        <w:jc w:val="center"/>
        <w:rPr>
          <w:rFonts w:ascii="Book Antiqua" w:hAnsi="Book Antiqua"/>
          <w:lang w:val="es-ES_tradnl"/>
        </w:rPr>
      </w:pPr>
      <w:r>
        <w:rPr>
          <w:rFonts w:ascii="Book Antiqua" w:hAnsi="Book Antiqua"/>
          <w:lang w:val="es-ES_tradnl"/>
        </w:rPr>
        <w:t>1</w:t>
      </w:r>
      <w:r w:rsidR="0053397E">
        <w:rPr>
          <w:rFonts w:ascii="Book Antiqua" w:hAnsi="Book Antiqua"/>
          <w:lang w:val="es-ES_tradnl"/>
        </w:rPr>
        <w:t>4</w:t>
      </w:r>
      <w:r>
        <w:rPr>
          <w:rFonts w:ascii="Book Antiqua" w:hAnsi="Book Antiqua"/>
          <w:lang w:val="es-ES_tradnl"/>
        </w:rPr>
        <w:t xml:space="preserve"> </w:t>
      </w:r>
      <w:r w:rsidR="006239E8">
        <w:rPr>
          <w:rFonts w:ascii="Book Antiqua" w:hAnsi="Book Antiqua"/>
          <w:lang w:val="es-ES_tradnl"/>
        </w:rPr>
        <w:t xml:space="preserve">de agosto </w:t>
      </w:r>
      <w:r w:rsidR="00D13D23" w:rsidRPr="005E150B">
        <w:rPr>
          <w:rFonts w:ascii="Book Antiqua" w:hAnsi="Book Antiqua"/>
          <w:lang w:val="es-ES_tradnl"/>
        </w:rPr>
        <w:t>de 2025</w:t>
      </w:r>
    </w:p>
    <w:bookmarkEnd w:id="2"/>
    <w:bookmarkEnd w:id="3"/>
    <w:p w14:paraId="518A096B" w14:textId="07DCC0DC" w:rsidR="005B2884" w:rsidRPr="00E14B9C" w:rsidRDefault="001B5218" w:rsidP="00FE6D61">
      <w:pPr>
        <w:tabs>
          <w:tab w:val="left" w:pos="-720"/>
        </w:tabs>
        <w:suppressAutoHyphens/>
        <w:spacing w:before="240" w:after="240" w:line="276" w:lineRule="auto"/>
        <w:rPr>
          <w:rFonts w:ascii="Book Antiqua" w:hAnsi="Book Antiqua"/>
          <w:szCs w:val="24"/>
          <w:lang w:val="es-ES_tradnl"/>
        </w:rPr>
      </w:pPr>
      <w:r>
        <w:rPr>
          <w:rFonts w:ascii="Book Antiqua" w:hAnsi="Book Antiqua"/>
          <w:b/>
          <w:szCs w:val="24"/>
          <w:lang w:val="es-ES_tradnl"/>
        </w:rPr>
        <w:t xml:space="preserve">AL SENADO DE PUERTO RICO: </w:t>
      </w:r>
    </w:p>
    <w:p w14:paraId="37982730" w14:textId="12238D44" w:rsidR="005B2884" w:rsidRPr="00A11ED0" w:rsidRDefault="00A52CD9" w:rsidP="00FE6D61">
      <w:pPr>
        <w:suppressAutoHyphens/>
        <w:spacing w:line="276" w:lineRule="auto"/>
        <w:jc w:val="both"/>
        <w:rPr>
          <w:rFonts w:ascii="Book Antiqua" w:hAnsi="Book Antiqua"/>
          <w:spacing w:val="-3"/>
          <w:lang w:val="es-ES_tradnl"/>
        </w:rPr>
      </w:pPr>
      <w:r w:rsidRPr="00A11ED0">
        <w:rPr>
          <w:rFonts w:ascii="Book Antiqua" w:hAnsi="Book Antiqua"/>
          <w:spacing w:val="-3"/>
          <w:lang w:val="es-ES_tradnl"/>
        </w:rPr>
        <w:t xml:space="preserve">      </w:t>
      </w:r>
      <w:r w:rsidR="009F427F" w:rsidRPr="00A11ED0">
        <w:rPr>
          <w:rFonts w:ascii="Book Antiqua" w:hAnsi="Book Antiqua"/>
          <w:spacing w:val="-3"/>
          <w:lang w:val="es-ES_tradnl"/>
        </w:rPr>
        <w:tab/>
      </w:r>
      <w:r w:rsidR="001B5218" w:rsidRPr="00A11ED0">
        <w:rPr>
          <w:rFonts w:ascii="Book Antiqua" w:hAnsi="Book Antiqua"/>
          <w:spacing w:val="-3"/>
          <w:lang w:val="es-ES_tradnl"/>
        </w:rPr>
        <w:t xml:space="preserve">La </w:t>
      </w:r>
      <w:r w:rsidR="00E17E3B">
        <w:rPr>
          <w:rFonts w:ascii="Book Antiqua" w:hAnsi="Book Antiqua"/>
          <w:spacing w:val="-3"/>
          <w:lang w:val="es-ES_tradnl"/>
        </w:rPr>
        <w:t>Comisión de lo Jurídico del Senado de Puerto Rico</w:t>
      </w:r>
      <w:r w:rsidR="001B5218" w:rsidRPr="00A11ED0">
        <w:rPr>
          <w:rFonts w:ascii="Book Antiqua" w:hAnsi="Book Antiqua"/>
          <w:spacing w:val="-3"/>
          <w:lang w:val="es-ES_tradnl"/>
        </w:rPr>
        <w:t>, previo estudio y consideración</w:t>
      </w:r>
      <w:r w:rsidR="009F427F" w:rsidRPr="00A11ED0">
        <w:rPr>
          <w:rFonts w:ascii="Book Antiqua" w:hAnsi="Book Antiqua"/>
          <w:spacing w:val="-3"/>
          <w:lang w:val="es-ES_tradnl"/>
        </w:rPr>
        <w:t xml:space="preserve"> </w:t>
      </w:r>
      <w:r w:rsidR="009F427F" w:rsidRPr="00337BB7">
        <w:rPr>
          <w:rFonts w:ascii="Book Antiqua" w:hAnsi="Book Antiqua"/>
          <w:spacing w:val="-3"/>
          <w:lang w:val="es-ES_tradnl"/>
        </w:rPr>
        <w:t xml:space="preserve">del </w:t>
      </w:r>
      <w:r w:rsidR="008E1878">
        <w:rPr>
          <w:rFonts w:ascii="Book Antiqua" w:hAnsi="Book Antiqua"/>
          <w:spacing w:val="-3"/>
          <w:lang w:val="es-ES_tradnl"/>
        </w:rPr>
        <w:t>Proyecto del Senado 86,</w:t>
      </w:r>
      <w:r w:rsidR="001B5218" w:rsidRPr="00A11ED0">
        <w:rPr>
          <w:rFonts w:ascii="Book Antiqua" w:hAnsi="Book Antiqua"/>
          <w:spacing w:val="-3"/>
          <w:lang w:val="es-ES_tradnl"/>
        </w:rPr>
        <w:t xml:space="preserve"> </w:t>
      </w:r>
      <w:r w:rsidR="009F427F" w:rsidRPr="00337BB7">
        <w:rPr>
          <w:rFonts w:ascii="Book Antiqua" w:hAnsi="Book Antiqua"/>
          <w:spacing w:val="-3"/>
          <w:lang w:val="es-ES_tradnl"/>
        </w:rPr>
        <w:t>recomienda a este Alto Cuerpo su</w:t>
      </w:r>
      <w:r w:rsidR="008E051A" w:rsidRPr="00B8540B">
        <w:rPr>
          <w:rFonts w:ascii="Book Antiqua" w:hAnsi="Book Antiqua"/>
          <w:spacing w:val="-3"/>
          <w:lang w:val="es-ES_tradnl"/>
        </w:rPr>
        <w:t xml:space="preserve"> </w:t>
      </w:r>
      <w:r w:rsidR="001B5218" w:rsidRPr="00337BB7">
        <w:rPr>
          <w:rFonts w:ascii="Book Antiqua" w:hAnsi="Book Antiqua"/>
          <w:spacing w:val="-3"/>
          <w:lang w:val="es-ES_tradnl"/>
        </w:rPr>
        <w:t>aprobación</w:t>
      </w:r>
      <w:r w:rsidR="001B5218" w:rsidRPr="00A11ED0">
        <w:rPr>
          <w:rFonts w:ascii="Book Antiqua" w:hAnsi="Book Antiqua"/>
          <w:spacing w:val="-3"/>
          <w:lang w:val="es-ES_tradnl"/>
        </w:rPr>
        <w:t xml:space="preserve">, </w:t>
      </w:r>
      <w:r w:rsidR="001B5218" w:rsidRPr="008E1878">
        <w:rPr>
          <w:rFonts w:ascii="Book Antiqua" w:hAnsi="Book Antiqua"/>
          <w:spacing w:val="-3"/>
          <w:lang w:val="es-ES_tradnl"/>
        </w:rPr>
        <w:t>con las enmiendas contenidas en el entirillado electrónico que se acompaña</w:t>
      </w:r>
      <w:r w:rsidR="008E1878" w:rsidRPr="008E1878">
        <w:rPr>
          <w:rFonts w:ascii="Book Antiqua" w:hAnsi="Book Antiqua"/>
          <w:spacing w:val="-3"/>
          <w:lang w:val="es-ES_tradnl"/>
        </w:rPr>
        <w:t>.</w:t>
      </w:r>
      <w:r w:rsidR="002C402D" w:rsidRPr="00A11ED0">
        <w:rPr>
          <w:rFonts w:ascii="Book Antiqua" w:hAnsi="Book Antiqua"/>
          <w:spacing w:val="-3"/>
          <w:lang w:val="es-ES_tradnl"/>
        </w:rPr>
        <w:t xml:space="preserve"> </w:t>
      </w:r>
    </w:p>
    <w:p w14:paraId="1C36686D" w14:textId="77777777" w:rsidR="000C52A1" w:rsidRPr="00A11ED0" w:rsidRDefault="000C52A1" w:rsidP="00FE6D61">
      <w:pPr>
        <w:suppressAutoHyphens/>
        <w:spacing w:line="276" w:lineRule="auto"/>
        <w:jc w:val="both"/>
        <w:rPr>
          <w:rFonts w:ascii="Book Antiqua" w:hAnsi="Book Antiqua"/>
          <w:spacing w:val="-3"/>
          <w:lang w:val="es-ES_tradnl"/>
        </w:rPr>
      </w:pPr>
    </w:p>
    <w:p w14:paraId="632423B1" w14:textId="77777777" w:rsidR="0024131E" w:rsidRPr="00A11ED0" w:rsidRDefault="001B5218" w:rsidP="00FE6D61">
      <w:pPr>
        <w:tabs>
          <w:tab w:val="left" w:pos="-720"/>
        </w:tabs>
        <w:suppressAutoHyphens/>
        <w:spacing w:line="276" w:lineRule="auto"/>
        <w:jc w:val="center"/>
        <w:rPr>
          <w:rFonts w:ascii="Book Antiqua" w:hAnsi="Book Antiqua"/>
          <w:b/>
          <w:bCs/>
          <w:szCs w:val="24"/>
          <w:lang w:val="es-ES_tradnl"/>
        </w:rPr>
      </w:pPr>
      <w:r w:rsidRPr="00A11ED0">
        <w:rPr>
          <w:rFonts w:ascii="Book Antiqua" w:hAnsi="Book Antiqua"/>
          <w:b/>
          <w:bCs/>
          <w:szCs w:val="24"/>
          <w:lang w:val="es-ES_tradnl"/>
        </w:rPr>
        <w:t xml:space="preserve">ALCANCE DE LA MEDIDA </w:t>
      </w:r>
    </w:p>
    <w:p w14:paraId="5B5C79B2" w14:textId="77777777" w:rsidR="000C52A1" w:rsidRPr="00A11ED0" w:rsidRDefault="000C52A1" w:rsidP="00FE6D61">
      <w:pPr>
        <w:tabs>
          <w:tab w:val="left" w:pos="-720"/>
        </w:tabs>
        <w:suppressAutoHyphens/>
        <w:spacing w:line="276" w:lineRule="auto"/>
        <w:rPr>
          <w:rFonts w:ascii="Book Antiqua" w:hAnsi="Book Antiqua"/>
          <w:b/>
          <w:bCs/>
          <w:szCs w:val="24"/>
          <w:lang w:val="es-ES_tradnl"/>
        </w:rPr>
      </w:pPr>
    </w:p>
    <w:p w14:paraId="7C7A3389" w14:textId="3C0F0131" w:rsidR="006F51A8" w:rsidRPr="00A11ED0" w:rsidRDefault="009F427F" w:rsidP="00FE6D61">
      <w:pPr>
        <w:tabs>
          <w:tab w:val="left" w:pos="-720"/>
        </w:tabs>
        <w:suppressAutoHyphens/>
        <w:spacing w:line="276" w:lineRule="auto"/>
        <w:ind w:firstLine="360"/>
        <w:jc w:val="both"/>
        <w:rPr>
          <w:rFonts w:ascii="Book Antiqua" w:hAnsi="Book Antiqua"/>
          <w:lang w:val="es-PR"/>
        </w:rPr>
      </w:pPr>
      <w:r w:rsidRPr="00A11ED0">
        <w:rPr>
          <w:rFonts w:ascii="Book Antiqua" w:hAnsi="Book Antiqua"/>
          <w:lang w:val="es-PR"/>
        </w:rPr>
        <w:tab/>
      </w:r>
      <w:r w:rsidR="001B5218" w:rsidRPr="00A11ED0">
        <w:rPr>
          <w:rFonts w:ascii="Book Antiqua" w:hAnsi="Book Antiqua"/>
          <w:lang w:val="es-PR"/>
        </w:rPr>
        <w:t xml:space="preserve">El Proyecto del Senado </w:t>
      </w:r>
      <w:r w:rsidR="008E1878">
        <w:rPr>
          <w:rFonts w:ascii="Book Antiqua" w:hAnsi="Book Antiqua"/>
          <w:lang w:val="es-PR"/>
        </w:rPr>
        <w:t>86</w:t>
      </w:r>
      <w:r w:rsidRPr="00A11ED0">
        <w:rPr>
          <w:rFonts w:ascii="Book Antiqua" w:hAnsi="Book Antiqua"/>
          <w:lang w:val="es-PR"/>
        </w:rPr>
        <w:t xml:space="preserve"> </w:t>
      </w:r>
      <w:r w:rsidRPr="00337BB7">
        <w:rPr>
          <w:rFonts w:ascii="Book Antiqua" w:hAnsi="Book Antiqua"/>
          <w:lang w:val="es-PR"/>
        </w:rPr>
        <w:t xml:space="preserve">(en adelante, P. del S. </w:t>
      </w:r>
      <w:r w:rsidR="008E1878">
        <w:rPr>
          <w:rFonts w:ascii="Book Antiqua" w:hAnsi="Book Antiqua"/>
          <w:lang w:val="es-PR"/>
        </w:rPr>
        <w:t>86</w:t>
      </w:r>
      <w:r w:rsidR="005354C6" w:rsidRPr="00337BB7">
        <w:rPr>
          <w:rFonts w:ascii="Book Antiqua" w:hAnsi="Book Antiqua"/>
          <w:lang w:val="es-PR"/>
        </w:rPr>
        <w:t>)</w:t>
      </w:r>
      <w:r w:rsidR="005354C6" w:rsidRPr="00B8540B">
        <w:rPr>
          <w:rFonts w:ascii="Book Antiqua" w:hAnsi="Book Antiqua"/>
          <w:i/>
          <w:iCs/>
          <w:lang w:val="es-PR"/>
        </w:rPr>
        <w:t>,</w:t>
      </w:r>
      <w:r w:rsidR="001B5218" w:rsidRPr="00A11ED0">
        <w:rPr>
          <w:rFonts w:ascii="Book Antiqua" w:hAnsi="Book Antiqua"/>
          <w:lang w:val="es-PR"/>
        </w:rPr>
        <w:t xml:space="preserve"> según </w:t>
      </w:r>
      <w:r w:rsidR="005354C6">
        <w:rPr>
          <w:rFonts w:ascii="Book Antiqua" w:hAnsi="Book Antiqua"/>
          <w:lang w:val="es-PR"/>
        </w:rPr>
        <w:t>presentado</w:t>
      </w:r>
      <w:r w:rsidR="001B5218" w:rsidRPr="00A11ED0">
        <w:rPr>
          <w:rFonts w:ascii="Book Antiqua" w:hAnsi="Book Antiqua"/>
          <w:lang w:val="es-PR"/>
        </w:rPr>
        <w:t xml:space="preserve">, tiene como propósito </w:t>
      </w:r>
      <w:r w:rsidR="008E051A" w:rsidRPr="00337BB7">
        <w:rPr>
          <w:rFonts w:ascii="Book Antiqua" w:hAnsi="Book Antiqua"/>
          <w:lang w:val="es-PR"/>
        </w:rPr>
        <w:t>“</w:t>
      </w:r>
      <w:r w:rsidR="00993C8E" w:rsidRPr="003B0328">
        <w:rPr>
          <w:rFonts w:ascii="Book Antiqua" w:hAnsi="Book Antiqua"/>
          <w:color w:val="000000"/>
          <w:szCs w:val="24"/>
          <w:shd w:val="clear" w:color="auto" w:fill="FFFFFF"/>
          <w:lang w:val="es-PR"/>
        </w:rPr>
        <w:t xml:space="preserve">enmendar los Artículos 2.4, 2.5 y 2.7 de la Ley Núm. 54 de 15 de agosto de 1989, según enmendada, conocida como “Ley de Prevención e Intervención con la Violencia Doméstica”, </w:t>
      </w:r>
      <w:r w:rsidR="00993C8E">
        <w:rPr>
          <w:rFonts w:ascii="Book Antiqua" w:hAnsi="Book Antiqua"/>
          <w:color w:val="000000"/>
          <w:szCs w:val="24"/>
          <w:shd w:val="clear" w:color="auto" w:fill="FFFFFF"/>
          <w:lang w:val="es-PR"/>
        </w:rPr>
        <w:t xml:space="preserve">a </w:t>
      </w:r>
      <w:r w:rsidR="00993C8E" w:rsidRPr="001F4532">
        <w:rPr>
          <w:rFonts w:ascii="Book Antiqua" w:hAnsi="Book Antiqua"/>
          <w:color w:val="000000"/>
          <w:szCs w:val="24"/>
          <w:shd w:val="clear" w:color="auto" w:fill="FFFFFF"/>
          <w:lang w:val="es-PR"/>
        </w:rPr>
        <w:t>los fines de permitir la aceptación de una copia electrónica de la certificación de</w:t>
      </w:r>
      <w:r w:rsidR="00993C8E">
        <w:rPr>
          <w:rFonts w:ascii="Book Antiqua" w:hAnsi="Book Antiqua"/>
          <w:color w:val="000000"/>
          <w:szCs w:val="24"/>
          <w:shd w:val="clear" w:color="auto" w:fill="FFFFFF"/>
          <w:lang w:val="es-PR"/>
        </w:rPr>
        <w:t>l</w:t>
      </w:r>
      <w:r w:rsidR="00993C8E" w:rsidRPr="001F4532">
        <w:rPr>
          <w:rFonts w:ascii="Book Antiqua" w:hAnsi="Book Antiqua"/>
          <w:color w:val="000000"/>
          <w:szCs w:val="24"/>
          <w:shd w:val="clear" w:color="auto" w:fill="FFFFFF"/>
          <w:lang w:val="es-PR"/>
        </w:rPr>
        <w:t xml:space="preserve"> diligenciamiento emitida por un agente del orden público o un alguacil; para requerir que la persona citada a comparecer a una vista proporcione su información de contacto; para establecer que la extensión de una orden de protección no se considerará como una nueva expedición de la </w:t>
      </w:r>
      <w:r w:rsidR="00993C8E">
        <w:rPr>
          <w:rFonts w:ascii="Book Antiqua" w:hAnsi="Book Antiqua"/>
          <w:color w:val="000000"/>
          <w:szCs w:val="24"/>
          <w:shd w:val="clear" w:color="auto" w:fill="FFFFFF"/>
          <w:lang w:val="es-PR"/>
        </w:rPr>
        <w:t>orden</w:t>
      </w:r>
      <w:r w:rsidR="00993C8E" w:rsidRPr="001F4532">
        <w:rPr>
          <w:rFonts w:ascii="Book Antiqua" w:hAnsi="Book Antiqua"/>
          <w:color w:val="000000"/>
          <w:szCs w:val="24"/>
          <w:shd w:val="clear" w:color="auto" w:fill="FFFFFF"/>
          <w:lang w:val="es-PR"/>
        </w:rPr>
        <w:t>; y para otros fines relacionados.</w:t>
      </w:r>
      <w:r w:rsidR="00A11ED0" w:rsidRPr="00A11ED0">
        <w:rPr>
          <w:rFonts w:ascii="Book Antiqua" w:hAnsi="Book Antiqua"/>
          <w:lang w:val="es-PR"/>
        </w:rPr>
        <w:t>”</w:t>
      </w:r>
      <w:bookmarkStart w:id="4" w:name="_Hlk194438498"/>
    </w:p>
    <w:bookmarkEnd w:id="4"/>
    <w:p w14:paraId="771800BC" w14:textId="77777777" w:rsidR="00A06A16" w:rsidRPr="00A11ED0" w:rsidRDefault="00A06A16" w:rsidP="00FE6D61">
      <w:pPr>
        <w:tabs>
          <w:tab w:val="left" w:pos="-720"/>
        </w:tabs>
        <w:suppressAutoHyphens/>
        <w:spacing w:line="276" w:lineRule="auto"/>
        <w:ind w:firstLine="360"/>
        <w:jc w:val="center"/>
        <w:rPr>
          <w:rFonts w:ascii="Book Antiqua" w:hAnsi="Book Antiqua"/>
          <w:b/>
          <w:bCs/>
          <w:lang w:val="es-PR"/>
        </w:rPr>
      </w:pPr>
    </w:p>
    <w:p w14:paraId="6EE110C6" w14:textId="695AAC9E" w:rsidR="006F51A8" w:rsidRPr="00337BB7" w:rsidRDefault="009F427F" w:rsidP="00FE6D61">
      <w:pPr>
        <w:tabs>
          <w:tab w:val="left" w:pos="-720"/>
        </w:tabs>
        <w:suppressAutoHyphens/>
        <w:spacing w:line="276" w:lineRule="auto"/>
        <w:ind w:firstLine="360"/>
        <w:jc w:val="center"/>
        <w:rPr>
          <w:rFonts w:ascii="Book Antiqua" w:hAnsi="Book Antiqua"/>
          <w:b/>
          <w:bCs/>
          <w:lang w:val="es-PR"/>
        </w:rPr>
      </w:pPr>
      <w:r w:rsidRPr="00337BB7">
        <w:rPr>
          <w:rFonts w:ascii="Book Antiqua" w:hAnsi="Book Antiqua"/>
          <w:b/>
          <w:bCs/>
          <w:lang w:val="es-PR"/>
        </w:rPr>
        <w:t>ANÁLISIS DE LA MEDIDA</w:t>
      </w:r>
    </w:p>
    <w:p w14:paraId="6FD2A601" w14:textId="77777777" w:rsidR="000C52A1" w:rsidRPr="00A11ED0" w:rsidRDefault="000C52A1" w:rsidP="00FE6D61">
      <w:pPr>
        <w:tabs>
          <w:tab w:val="left" w:pos="-720"/>
        </w:tabs>
        <w:suppressAutoHyphens/>
        <w:spacing w:line="276" w:lineRule="auto"/>
        <w:ind w:firstLine="360"/>
        <w:jc w:val="center"/>
        <w:rPr>
          <w:rFonts w:ascii="Book Antiqua" w:hAnsi="Book Antiqua"/>
          <w:b/>
          <w:bCs/>
          <w:lang w:val="es-PR"/>
        </w:rPr>
      </w:pPr>
    </w:p>
    <w:p w14:paraId="74524C5C" w14:textId="56F236DF" w:rsidR="00983178" w:rsidRDefault="009F524F" w:rsidP="00FE6D61">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447A62" w:rsidRPr="00447A62">
        <w:rPr>
          <w:rFonts w:ascii="Book Antiqua" w:hAnsi="Book Antiqua"/>
          <w:lang w:val="es-PR"/>
        </w:rPr>
        <w:t>La Exposición de Motivos del P. del S. 86 articula</w:t>
      </w:r>
      <w:r w:rsidR="005D6FCF">
        <w:rPr>
          <w:rFonts w:ascii="Book Antiqua" w:hAnsi="Book Antiqua"/>
          <w:lang w:val="es-PR"/>
        </w:rPr>
        <w:t>, en esencia,</w:t>
      </w:r>
      <w:r w:rsidR="00447A62" w:rsidRPr="00447A62">
        <w:rPr>
          <w:rFonts w:ascii="Book Antiqua" w:hAnsi="Book Antiqua"/>
          <w:lang w:val="es-PR"/>
        </w:rPr>
        <w:t xml:space="preserve"> que el propósito principal de la medida es optimizar el proceso de notificación y diligenciamiento de las órdenes de protección expedidas al amparo de la </w:t>
      </w:r>
      <w:r w:rsidR="00983178" w:rsidRPr="003B0328">
        <w:rPr>
          <w:rFonts w:ascii="Book Antiqua" w:hAnsi="Book Antiqua"/>
          <w:color w:val="000000"/>
          <w:szCs w:val="24"/>
          <w:shd w:val="clear" w:color="auto" w:fill="FFFFFF"/>
          <w:lang w:val="es-PR"/>
        </w:rPr>
        <w:t xml:space="preserve">Ley Núm. 54 de 15 de agosto de 1989, según enmendada, conocida como “Ley de Prevención e Intervención con la </w:t>
      </w:r>
      <w:r w:rsidR="00983178" w:rsidRPr="003B0328">
        <w:rPr>
          <w:rFonts w:ascii="Book Antiqua" w:hAnsi="Book Antiqua"/>
          <w:color w:val="000000"/>
          <w:szCs w:val="24"/>
          <w:shd w:val="clear" w:color="auto" w:fill="FFFFFF"/>
          <w:lang w:val="es-PR"/>
        </w:rPr>
        <w:lastRenderedPageBreak/>
        <w:t>Violencia Doméstica”</w:t>
      </w:r>
      <w:r w:rsidR="00983178">
        <w:rPr>
          <w:rFonts w:ascii="Book Antiqua" w:hAnsi="Book Antiqua"/>
          <w:color w:val="000000"/>
          <w:szCs w:val="24"/>
          <w:shd w:val="clear" w:color="auto" w:fill="FFFFFF"/>
          <w:lang w:val="es-PR"/>
        </w:rPr>
        <w:t xml:space="preserve"> (en adelante, la “Ley 54)</w:t>
      </w:r>
      <w:r w:rsidR="00447A62" w:rsidRPr="00447A62">
        <w:rPr>
          <w:rFonts w:ascii="Book Antiqua" w:hAnsi="Book Antiqua"/>
          <w:lang w:val="es-PR"/>
        </w:rPr>
        <w:t xml:space="preserve">, integrando el uso de la tecnología para agilizar los trámites y, consecuentemente, reforzar la seguridad de las víctimas de violencia doméstica. </w:t>
      </w:r>
      <w:r w:rsidR="00983178">
        <w:rPr>
          <w:rFonts w:ascii="Book Antiqua" w:hAnsi="Book Antiqua"/>
          <w:lang w:val="es-PR"/>
        </w:rPr>
        <w:t>La medida</w:t>
      </w:r>
      <w:r w:rsidR="00447A62" w:rsidRPr="00447A62">
        <w:rPr>
          <w:rFonts w:ascii="Book Antiqua" w:hAnsi="Book Antiqua"/>
          <w:lang w:val="es-PR"/>
        </w:rPr>
        <w:t xml:space="preserve"> argumenta que el procedimiento vigente genera un </w:t>
      </w:r>
      <w:r w:rsidR="00983178">
        <w:rPr>
          <w:rFonts w:ascii="Book Antiqua" w:hAnsi="Book Antiqua"/>
          <w:lang w:val="es-PR"/>
        </w:rPr>
        <w:t>“</w:t>
      </w:r>
      <w:r w:rsidR="00447A62" w:rsidRPr="00447A62">
        <w:rPr>
          <w:rFonts w:ascii="Book Antiqua" w:hAnsi="Book Antiqua"/>
          <w:lang w:val="es-PR"/>
        </w:rPr>
        <w:t>doble esfuerzo que agota los escasos recursos públicos y que no es necesario para cumplir con los estándares del debido proceso de ley</w:t>
      </w:r>
      <w:r w:rsidR="00983178">
        <w:rPr>
          <w:rFonts w:ascii="Book Antiqua" w:hAnsi="Book Antiqua"/>
          <w:lang w:val="es-PR"/>
        </w:rPr>
        <w:t>”</w:t>
      </w:r>
      <w:r w:rsidR="00447A62" w:rsidRPr="00447A62">
        <w:rPr>
          <w:rFonts w:ascii="Book Antiqua" w:hAnsi="Book Antiqua"/>
          <w:lang w:val="es-PR"/>
        </w:rPr>
        <w:t xml:space="preserve"> y que esta situación podría </w:t>
      </w:r>
      <w:r w:rsidR="00983178">
        <w:rPr>
          <w:rFonts w:ascii="Book Antiqua" w:hAnsi="Book Antiqua"/>
          <w:lang w:val="es-PR"/>
        </w:rPr>
        <w:t>“</w:t>
      </w:r>
      <w:r w:rsidR="00447A62" w:rsidRPr="00447A62">
        <w:rPr>
          <w:rFonts w:ascii="Book Antiqua" w:hAnsi="Book Antiqua"/>
          <w:lang w:val="es-PR"/>
        </w:rPr>
        <w:t>representar un obstáculo adicional para la persona que solicitó la Orden de Protección, cuya seguridad debe ser el interés público</w:t>
      </w:r>
      <w:r w:rsidR="00983178">
        <w:rPr>
          <w:rFonts w:ascii="Book Antiqua" w:hAnsi="Book Antiqua"/>
          <w:lang w:val="es-PR"/>
        </w:rPr>
        <w:t>”</w:t>
      </w:r>
      <w:r w:rsidR="00447A62" w:rsidRPr="00447A62">
        <w:rPr>
          <w:rFonts w:ascii="Book Antiqua" w:hAnsi="Book Antiqua"/>
          <w:lang w:val="es-PR"/>
        </w:rPr>
        <w:t>.  </w:t>
      </w:r>
    </w:p>
    <w:p w14:paraId="0D52552C" w14:textId="77777777" w:rsidR="005B32F8" w:rsidRDefault="00983178" w:rsidP="00FE6D61">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447A62" w:rsidRPr="00447A62">
        <w:rPr>
          <w:rFonts w:ascii="Book Antiqua" w:hAnsi="Book Antiqua"/>
          <w:lang w:val="es-PR"/>
        </w:rPr>
        <w:t xml:space="preserve">La </w:t>
      </w:r>
      <w:r>
        <w:rPr>
          <w:rFonts w:ascii="Book Antiqua" w:hAnsi="Book Antiqua"/>
          <w:lang w:val="es-PR"/>
        </w:rPr>
        <w:t xml:space="preserve">Ley 54 </w:t>
      </w:r>
      <w:r w:rsidR="00447A62" w:rsidRPr="00447A62">
        <w:rPr>
          <w:rFonts w:ascii="Book Antiqua" w:hAnsi="Book Antiqua"/>
          <w:lang w:val="es-PR"/>
        </w:rPr>
        <w:t xml:space="preserve">constituye </w:t>
      </w:r>
      <w:r w:rsidR="002145B0">
        <w:rPr>
          <w:rFonts w:ascii="Book Antiqua" w:hAnsi="Book Antiqua"/>
          <w:lang w:val="es-PR"/>
        </w:rPr>
        <w:t>un</w:t>
      </w:r>
      <w:r w:rsidR="00447A62" w:rsidRPr="00447A62">
        <w:rPr>
          <w:rFonts w:ascii="Book Antiqua" w:hAnsi="Book Antiqua"/>
          <w:lang w:val="es-PR"/>
        </w:rPr>
        <w:t xml:space="preserve"> pilar en Puerto Rico para abordar la violencia doméstica. Su política pública reconoce este fenómeno como </w:t>
      </w:r>
      <w:r w:rsidR="002145B0">
        <w:rPr>
          <w:rFonts w:ascii="Book Antiqua" w:hAnsi="Book Antiqua"/>
          <w:lang w:val="es-PR"/>
        </w:rPr>
        <w:t>“</w:t>
      </w:r>
      <w:r w:rsidR="00447A62" w:rsidRPr="00447A62">
        <w:rPr>
          <w:rFonts w:ascii="Book Antiqua" w:hAnsi="Book Antiqua"/>
          <w:lang w:val="es-PR"/>
        </w:rPr>
        <w:t>uno de los problemas más graves y complejos que confronta nuestra sociedad</w:t>
      </w:r>
      <w:r w:rsidR="002145B0">
        <w:rPr>
          <w:rFonts w:ascii="Book Antiqua" w:hAnsi="Book Antiqua"/>
          <w:lang w:val="es-PR"/>
        </w:rPr>
        <w:t>”</w:t>
      </w:r>
      <w:r w:rsidR="00447A62" w:rsidRPr="00447A62">
        <w:rPr>
          <w:rFonts w:ascii="Book Antiqua" w:hAnsi="Book Antiqua"/>
          <w:lang w:val="es-PR"/>
        </w:rPr>
        <w:t xml:space="preserve"> que </w:t>
      </w:r>
      <w:r w:rsidR="002145B0">
        <w:rPr>
          <w:rFonts w:ascii="Book Antiqua" w:hAnsi="Book Antiqua"/>
          <w:lang w:val="es-PR"/>
        </w:rPr>
        <w:t>“</w:t>
      </w:r>
      <w:r w:rsidR="00447A62" w:rsidRPr="00447A62">
        <w:rPr>
          <w:rFonts w:ascii="Book Antiqua" w:hAnsi="Book Antiqua"/>
          <w:lang w:val="es-PR"/>
        </w:rPr>
        <w:t>lacera la integridad y dignidad de toda víctima</w:t>
      </w:r>
      <w:r w:rsidR="002145B0">
        <w:rPr>
          <w:rFonts w:ascii="Book Antiqua" w:hAnsi="Book Antiqua"/>
          <w:lang w:val="es-PR"/>
        </w:rPr>
        <w:t>”</w:t>
      </w:r>
      <w:r w:rsidR="00447A62" w:rsidRPr="00447A62">
        <w:rPr>
          <w:rFonts w:ascii="Book Antiqua" w:hAnsi="Book Antiqua"/>
          <w:lang w:val="es-PR"/>
        </w:rPr>
        <w:t xml:space="preserve">. La </w:t>
      </w:r>
      <w:r w:rsidR="002145B0">
        <w:rPr>
          <w:rFonts w:ascii="Book Antiqua" w:hAnsi="Book Antiqua"/>
          <w:lang w:val="es-PR"/>
        </w:rPr>
        <w:t>Ley 54</w:t>
      </w:r>
      <w:r w:rsidR="00447A62" w:rsidRPr="00447A62">
        <w:rPr>
          <w:rFonts w:ascii="Book Antiqua" w:hAnsi="Book Antiqua"/>
          <w:lang w:val="es-PR"/>
        </w:rPr>
        <w:t xml:space="preserve"> tiene como objetivo principal establecer </w:t>
      </w:r>
      <w:r w:rsidR="002145B0">
        <w:rPr>
          <w:rFonts w:ascii="Book Antiqua" w:hAnsi="Book Antiqua"/>
          <w:lang w:val="es-PR"/>
        </w:rPr>
        <w:t>“r</w:t>
      </w:r>
      <w:r w:rsidR="00447A62" w:rsidRPr="00447A62">
        <w:rPr>
          <w:rFonts w:ascii="Book Antiqua" w:hAnsi="Book Antiqua"/>
          <w:lang w:val="es-PR"/>
        </w:rPr>
        <w:t>emedios eficaces para ofrecer protección y ayuda a las víctimas, alternativas para la rehabilitación de los ofensores y estrategias para la prevención de la violencia doméstica</w:t>
      </w:r>
      <w:r w:rsidR="002145B0">
        <w:rPr>
          <w:rFonts w:ascii="Book Antiqua" w:hAnsi="Book Antiqua"/>
          <w:lang w:val="es-PR"/>
        </w:rPr>
        <w:t>”</w:t>
      </w:r>
      <w:r w:rsidR="00447A62" w:rsidRPr="00447A62">
        <w:rPr>
          <w:rFonts w:ascii="Book Antiqua" w:hAnsi="Book Antiqua"/>
          <w:lang w:val="es-PR"/>
        </w:rPr>
        <w:t xml:space="preserve">. Dentro de este marco, las órdenes de protección se erigen como un remedio civil fundamental, diseñado para disuadir al agresor de futuras conductas violentas y para proveer medidas provisionales que salvaguarden a la víctima.   </w:t>
      </w:r>
    </w:p>
    <w:p w14:paraId="1AD997BC" w14:textId="77777777" w:rsidR="00E0091F" w:rsidRDefault="005B32F8" w:rsidP="00FE6D61">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447A62" w:rsidRPr="00447A62">
        <w:rPr>
          <w:rFonts w:ascii="Book Antiqua" w:hAnsi="Book Antiqua"/>
          <w:lang w:val="es-PR"/>
        </w:rPr>
        <w:t xml:space="preserve">El Artículo 2.4(b) de la Ley 54 establece que la notificación de citaciones y copias de peticiones se realizará conforme a las Reglas de Procedimiento Civil de Puerto Rico. En nuestro ordenamiento jurídico, el emplazamiento es el </w:t>
      </w:r>
      <w:r>
        <w:rPr>
          <w:rFonts w:ascii="Book Antiqua" w:hAnsi="Book Antiqua"/>
          <w:lang w:val="es-PR"/>
        </w:rPr>
        <w:t>“</w:t>
      </w:r>
      <w:r w:rsidR="00D720F2" w:rsidRPr="00D720F2">
        <w:rPr>
          <w:rFonts w:ascii="Book Antiqua" w:hAnsi="Book Antiqua"/>
          <w:lang w:val="es-PR"/>
        </w:rPr>
        <w:t>paso inaugural del debido proceso de ley que viabiliza el ejercicio de la jurisdicción judicial</w:t>
      </w:r>
      <w:r w:rsidR="00D720F2">
        <w:rPr>
          <w:rFonts w:ascii="Book Antiqua" w:hAnsi="Book Antiqua"/>
          <w:lang w:val="es-PR"/>
        </w:rPr>
        <w:t>”</w:t>
      </w:r>
      <w:r w:rsidR="00D71CF9">
        <w:rPr>
          <w:rFonts w:ascii="Book Antiqua" w:hAnsi="Book Antiqua"/>
          <w:lang w:val="es-PR"/>
        </w:rPr>
        <w:t>,</w:t>
      </w:r>
      <w:r w:rsidR="00D71CF9">
        <w:rPr>
          <w:rStyle w:val="FootnoteReference"/>
          <w:rFonts w:ascii="Book Antiqua" w:hAnsi="Book Antiqua"/>
          <w:lang w:val="es-PR"/>
        </w:rPr>
        <w:footnoteReference w:id="1"/>
      </w:r>
      <w:r w:rsidR="00D71CF9">
        <w:rPr>
          <w:rFonts w:ascii="Book Antiqua" w:hAnsi="Book Antiqua"/>
          <w:lang w:val="es-PR"/>
        </w:rPr>
        <w:t xml:space="preserve"> </w:t>
      </w:r>
      <w:r w:rsidR="00447A62" w:rsidRPr="00447A62">
        <w:rPr>
          <w:rFonts w:ascii="Book Antiqua" w:hAnsi="Book Antiqua"/>
          <w:lang w:val="es-PR"/>
        </w:rPr>
        <w:t xml:space="preserve">garantizando a la parte demandada su derecho a ser oída y a defenderse.   </w:t>
      </w:r>
    </w:p>
    <w:p w14:paraId="4B3FA399" w14:textId="77777777" w:rsidR="0015664F" w:rsidRDefault="00E0091F" w:rsidP="00FE6D61">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447A62" w:rsidRPr="00447A62">
        <w:rPr>
          <w:rFonts w:ascii="Book Antiqua" w:hAnsi="Book Antiqua"/>
          <w:lang w:val="es-PR"/>
        </w:rPr>
        <w:t xml:space="preserve">Complementando este marco, la Ley 420-2000, conocida como </w:t>
      </w:r>
      <w:r>
        <w:rPr>
          <w:rFonts w:ascii="Book Antiqua" w:hAnsi="Book Antiqua"/>
          <w:lang w:val="es-PR"/>
        </w:rPr>
        <w:t>“</w:t>
      </w:r>
      <w:r w:rsidR="00447A62" w:rsidRPr="00447A62">
        <w:rPr>
          <w:rFonts w:ascii="Book Antiqua" w:hAnsi="Book Antiqua"/>
          <w:lang w:val="es-PR"/>
        </w:rPr>
        <w:t>Ley de Archivo Electrónico de Órdenes de Protección</w:t>
      </w:r>
      <w:r>
        <w:rPr>
          <w:rFonts w:ascii="Book Antiqua" w:hAnsi="Book Antiqua"/>
          <w:lang w:val="es-PR"/>
        </w:rPr>
        <w:t>”</w:t>
      </w:r>
      <w:r w:rsidR="00447A62" w:rsidRPr="00447A62">
        <w:rPr>
          <w:rFonts w:ascii="Book Antiqua" w:hAnsi="Book Antiqua"/>
          <w:lang w:val="es-PR"/>
        </w:rPr>
        <w:t xml:space="preserve"> mandató la creación de un Archivo Electrónico de Órdenes de Protección de Violencia Doméstica y Acecho bajo la custodia del Negociado de la Policía de Puerto Rico (NPPR).</w:t>
      </w:r>
      <w:r w:rsidR="0015664F">
        <w:rPr>
          <w:rStyle w:val="FootnoteReference"/>
          <w:rFonts w:ascii="Book Antiqua" w:hAnsi="Book Antiqua"/>
          <w:lang w:val="es-PR"/>
        </w:rPr>
        <w:footnoteReference w:id="2"/>
      </w:r>
      <w:r w:rsidR="00447A62" w:rsidRPr="00447A62">
        <w:rPr>
          <w:rFonts w:ascii="Book Antiqua" w:hAnsi="Book Antiqua"/>
          <w:lang w:val="es-PR"/>
        </w:rPr>
        <w:t xml:space="preserve"> Este archivo tiene como fin mantener un registro completo y sistematizado de todas las órdenes emitidas, tanto temporales como permanentes.   </w:t>
      </w:r>
    </w:p>
    <w:p w14:paraId="17BCB6DB" w14:textId="77777777" w:rsidR="008E088D" w:rsidRDefault="00A65AB2" w:rsidP="00FE6D61">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Pr="00447A62">
        <w:rPr>
          <w:rFonts w:ascii="Book Antiqua" w:hAnsi="Book Antiqua"/>
          <w:lang w:val="es-PR"/>
        </w:rPr>
        <w:t xml:space="preserve">El </w:t>
      </w:r>
      <w:r>
        <w:rPr>
          <w:rFonts w:ascii="Book Antiqua" w:hAnsi="Book Antiqua"/>
          <w:lang w:val="es-PR"/>
        </w:rPr>
        <w:t>P. del S.</w:t>
      </w:r>
      <w:r w:rsidRPr="00447A62">
        <w:rPr>
          <w:rFonts w:ascii="Book Antiqua" w:hAnsi="Book Antiqua"/>
          <w:lang w:val="es-PR"/>
        </w:rPr>
        <w:t xml:space="preserve"> 86 propone que la citación incluya un apercibimiento a las partes para que provean </w:t>
      </w:r>
      <w:r>
        <w:rPr>
          <w:rFonts w:ascii="Book Antiqua" w:hAnsi="Book Antiqua"/>
          <w:lang w:val="es-PR"/>
        </w:rPr>
        <w:t>“</w:t>
      </w:r>
      <w:r w:rsidRPr="00447A62">
        <w:rPr>
          <w:rFonts w:ascii="Book Antiqua" w:hAnsi="Book Antiqua"/>
          <w:lang w:val="es-PR"/>
        </w:rPr>
        <w:t>de forma inmediata</w:t>
      </w:r>
      <w:r>
        <w:rPr>
          <w:rFonts w:ascii="Book Antiqua" w:hAnsi="Book Antiqua"/>
          <w:lang w:val="es-PR"/>
        </w:rPr>
        <w:t>”</w:t>
      </w:r>
      <w:r w:rsidRPr="00447A62">
        <w:rPr>
          <w:rFonts w:ascii="Book Antiqua" w:hAnsi="Book Antiqua"/>
          <w:lang w:val="es-PR"/>
        </w:rPr>
        <w:t xml:space="preserve"> su correo electrónico, dirección física y postal, y número telefónico, bajo pena de desacato. Además, el Poder Judicial tendría el deber de mantener esta información actualizada y notificarla al COPOP electrónicamente. Asimismo, se propone que el diligenciamiento de la citación, copia de la petición y el formulario de información personal se realice conforme a las Reglas de Procedimiento Civil, y que la prueba del diligenciamiento (físico o electrónico) sea una certificación </w:t>
      </w:r>
      <w:r w:rsidRPr="00447A62">
        <w:rPr>
          <w:rFonts w:ascii="Book Antiqua" w:hAnsi="Book Antiqua"/>
          <w:lang w:val="es-PR"/>
        </w:rPr>
        <w:lastRenderedPageBreak/>
        <w:t xml:space="preserve">del alguacil o agente del orden público, incluyendo detalles como el número de registro electrónico o de control del COPOP. Se añade que la omisión de presentar prueba no afectará la validez del diligenciamiento.   </w:t>
      </w:r>
    </w:p>
    <w:p w14:paraId="258E461F" w14:textId="77777777" w:rsidR="00FF21EF" w:rsidRDefault="008E088D" w:rsidP="00FE6D61">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A65AB2" w:rsidRPr="00447A62">
        <w:rPr>
          <w:rFonts w:ascii="Book Antiqua" w:hAnsi="Book Antiqua"/>
          <w:lang w:val="es-PR"/>
        </w:rPr>
        <w:t xml:space="preserve">El P. del S. 86 </w:t>
      </w:r>
      <w:r>
        <w:rPr>
          <w:rFonts w:ascii="Book Antiqua" w:hAnsi="Book Antiqua"/>
          <w:lang w:val="es-PR"/>
        </w:rPr>
        <w:t xml:space="preserve">también </w:t>
      </w:r>
      <w:r w:rsidR="00A65AB2" w:rsidRPr="00447A62">
        <w:rPr>
          <w:rFonts w:ascii="Book Antiqua" w:hAnsi="Book Antiqua"/>
          <w:lang w:val="es-PR"/>
        </w:rPr>
        <w:t>propone</w:t>
      </w:r>
      <w:r w:rsidR="00C37A30">
        <w:rPr>
          <w:rFonts w:ascii="Book Antiqua" w:hAnsi="Book Antiqua"/>
          <w:lang w:val="es-PR"/>
        </w:rPr>
        <w:t xml:space="preserve"> enmendar </w:t>
      </w:r>
      <w:r w:rsidR="00873127">
        <w:rPr>
          <w:rFonts w:ascii="Book Antiqua" w:hAnsi="Book Antiqua"/>
          <w:lang w:val="es-PR"/>
        </w:rPr>
        <w:t>los</w:t>
      </w:r>
      <w:r w:rsidR="00C37A30">
        <w:rPr>
          <w:rFonts w:ascii="Book Antiqua" w:hAnsi="Book Antiqua"/>
          <w:lang w:val="es-PR"/>
        </w:rPr>
        <w:t xml:space="preserve"> Artículo</w:t>
      </w:r>
      <w:r w:rsidR="00873127">
        <w:rPr>
          <w:rFonts w:ascii="Book Antiqua" w:hAnsi="Book Antiqua"/>
          <w:lang w:val="es-PR"/>
        </w:rPr>
        <w:t>s</w:t>
      </w:r>
      <w:r w:rsidR="00C37A30">
        <w:rPr>
          <w:rFonts w:ascii="Book Antiqua" w:hAnsi="Book Antiqua"/>
          <w:lang w:val="es-PR"/>
        </w:rPr>
        <w:t xml:space="preserve"> 2.5</w:t>
      </w:r>
      <w:r w:rsidR="00873127">
        <w:rPr>
          <w:rFonts w:ascii="Book Antiqua" w:hAnsi="Book Antiqua"/>
          <w:lang w:val="es-PR"/>
        </w:rPr>
        <w:t xml:space="preserve"> y 2.7</w:t>
      </w:r>
      <w:r w:rsidR="00C37A30">
        <w:rPr>
          <w:rFonts w:ascii="Book Antiqua" w:hAnsi="Book Antiqua"/>
          <w:lang w:val="es-PR"/>
        </w:rPr>
        <w:t xml:space="preserve"> de la Ley 54 para</w:t>
      </w:r>
      <w:r w:rsidR="00A65AB2" w:rsidRPr="00447A62">
        <w:rPr>
          <w:rFonts w:ascii="Book Antiqua" w:hAnsi="Book Antiqua"/>
          <w:lang w:val="es-PR"/>
        </w:rPr>
        <w:t xml:space="preserve"> que la extensión de una orden de protección </w:t>
      </w:r>
      <w:r w:rsidR="00A65AB2" w:rsidRPr="008E088D">
        <w:rPr>
          <w:rFonts w:ascii="Book Antiqua" w:hAnsi="Book Antiqua"/>
          <w:i/>
          <w:iCs/>
          <w:lang w:val="es-PR"/>
        </w:rPr>
        <w:t>ex parte</w:t>
      </w:r>
      <w:r w:rsidR="00A65AB2" w:rsidRPr="00447A62">
        <w:rPr>
          <w:rFonts w:ascii="Book Antiqua" w:hAnsi="Book Antiqua"/>
          <w:lang w:val="es-PR"/>
        </w:rPr>
        <w:t xml:space="preserve"> </w:t>
      </w:r>
      <w:r w:rsidR="00C37A30">
        <w:rPr>
          <w:rFonts w:ascii="Book Antiqua" w:hAnsi="Book Antiqua"/>
          <w:lang w:val="es-PR"/>
        </w:rPr>
        <w:t>no sea “</w:t>
      </w:r>
      <w:r w:rsidR="00A65AB2" w:rsidRPr="00447A62">
        <w:rPr>
          <w:rFonts w:ascii="Book Antiqua" w:hAnsi="Book Antiqua"/>
          <w:lang w:val="es-PR"/>
        </w:rPr>
        <w:t>considerada como una nueva expedición de orden de protección</w:t>
      </w:r>
      <w:r>
        <w:rPr>
          <w:rFonts w:ascii="Book Antiqua" w:hAnsi="Book Antiqua"/>
          <w:lang w:val="es-PR"/>
        </w:rPr>
        <w:t>”,</w:t>
      </w:r>
      <w:r w:rsidR="00A65AB2" w:rsidRPr="00447A62">
        <w:rPr>
          <w:rFonts w:ascii="Book Antiqua" w:hAnsi="Book Antiqua"/>
          <w:lang w:val="es-PR"/>
        </w:rPr>
        <w:t xml:space="preserve"> eliminando así el requisito de notificación personal si la orden </w:t>
      </w:r>
      <w:r w:rsidR="00A65AB2" w:rsidRPr="003C19F2">
        <w:rPr>
          <w:rFonts w:ascii="Book Antiqua" w:hAnsi="Book Antiqua"/>
          <w:i/>
          <w:iCs/>
          <w:lang w:val="es-PR"/>
        </w:rPr>
        <w:t>ex parte</w:t>
      </w:r>
      <w:r w:rsidR="00A65AB2" w:rsidRPr="00447A62">
        <w:rPr>
          <w:rFonts w:ascii="Book Antiqua" w:hAnsi="Book Antiqua"/>
          <w:lang w:val="es-PR"/>
        </w:rPr>
        <w:t xml:space="preserve"> original ya fue notificada personalmente. En estos casos, bastaría con darle conocimiento a la parte peticionada </w:t>
      </w:r>
      <w:r w:rsidR="003C19F2">
        <w:rPr>
          <w:rFonts w:ascii="Book Antiqua" w:hAnsi="Book Antiqua"/>
          <w:lang w:val="es-PR"/>
        </w:rPr>
        <w:t>“</w:t>
      </w:r>
      <w:r w:rsidR="00A65AB2" w:rsidRPr="00447A62">
        <w:rPr>
          <w:rFonts w:ascii="Book Antiqua" w:hAnsi="Book Antiqua"/>
          <w:lang w:val="es-PR"/>
        </w:rPr>
        <w:t>a través de uno de los medios provistos por esta Ley, conforme la información provista en el formulario de información personal</w:t>
      </w:r>
      <w:r w:rsidR="003C19F2">
        <w:rPr>
          <w:rFonts w:ascii="Book Antiqua" w:hAnsi="Book Antiqua"/>
          <w:lang w:val="es-PR"/>
        </w:rPr>
        <w:t>”</w:t>
      </w:r>
      <w:r w:rsidR="00A65AB2" w:rsidRPr="00447A62">
        <w:rPr>
          <w:rFonts w:ascii="Book Antiqua" w:hAnsi="Book Antiqua"/>
          <w:lang w:val="es-PR"/>
        </w:rPr>
        <w:t xml:space="preserve">.   </w:t>
      </w:r>
    </w:p>
    <w:p w14:paraId="59A06C24" w14:textId="5E24EA8D" w:rsidR="0015664F" w:rsidRDefault="00FF21EF" w:rsidP="00FE6D61">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447A62" w:rsidRPr="00447A62">
        <w:rPr>
          <w:rFonts w:ascii="Book Antiqua" w:hAnsi="Book Antiqua"/>
          <w:lang w:val="es-PR"/>
        </w:rPr>
        <w:t>El Centro de Operaciones y Procesamiento de Órdenes de Protección (COPOP) fue implementado como parte de la Orden Ejecutiva 2021-013 y el Boletín Administrativo Núm. OE-2022-035, adscrito a la División de Violencia de Género del NPPR.</w:t>
      </w:r>
      <w:r w:rsidR="0015664F">
        <w:rPr>
          <w:rFonts w:ascii="Book Antiqua" w:hAnsi="Book Antiqua"/>
          <w:lang w:val="es-PR"/>
        </w:rPr>
        <w:t xml:space="preserve"> </w:t>
      </w:r>
      <w:r w:rsidR="00447A62" w:rsidRPr="00447A62">
        <w:rPr>
          <w:rFonts w:ascii="Book Antiqua" w:hAnsi="Book Antiqua"/>
          <w:lang w:val="es-PR"/>
        </w:rPr>
        <w:t>Su función principal es centralizar la operación y el procesamiento de las órdenes de protección expedidas, operando como un Registro Integral Digital. Esto permite proveer acceso a la información a todo el componente de seguridad y mantenerla actualizada y segura.</w:t>
      </w:r>
    </w:p>
    <w:p w14:paraId="7545120C" w14:textId="77777777" w:rsidR="00E31C41" w:rsidRDefault="0015664F" w:rsidP="00FE6D61">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447A62" w:rsidRPr="00447A62">
        <w:rPr>
          <w:rFonts w:ascii="Book Antiqua" w:hAnsi="Book Antiqua"/>
          <w:lang w:val="es-PR"/>
        </w:rPr>
        <w:t xml:space="preserve">Una herramienta complementaria es el COPOP Móvil, desarrollado por el NPPR. Esta plataforma tecnológica permite a los agentes (estatales o municipales) y a otro personal autorizado acceder de forma remota y electrónica a datos relevantes sobre las partes peticionadas, incluyendo índices de peligrosidad, dirección residencial, fotos oficiales, copias de órdenes de protección e información sobre licencias de armas. Además, el COPOP Móvil facilita el registro en tiempo real de las gestiones de diligenciamiento y promueve una comunicación recíproca entre el NPPR, el Poder Judicial y otras entidades.   </w:t>
      </w:r>
    </w:p>
    <w:p w14:paraId="47DE1036" w14:textId="77777777" w:rsidR="00BD0E7C" w:rsidRDefault="00485434" w:rsidP="00FE6D61">
      <w:pPr>
        <w:tabs>
          <w:tab w:val="left" w:pos="-720"/>
        </w:tabs>
        <w:suppressAutoHyphens/>
        <w:spacing w:line="276" w:lineRule="auto"/>
        <w:ind w:firstLine="360"/>
        <w:jc w:val="both"/>
        <w:rPr>
          <w:rFonts w:ascii="Book Antiqua" w:hAnsi="Book Antiqua"/>
          <w:lang w:val="es-PR"/>
        </w:rPr>
      </w:pPr>
      <w:r>
        <w:rPr>
          <w:rFonts w:ascii="Book Antiqua" w:hAnsi="Book Antiqua"/>
          <w:lang w:val="es-PR"/>
        </w:rPr>
        <w:t>Por su parte,</w:t>
      </w:r>
      <w:r w:rsidR="00447A62" w:rsidRPr="00447A62">
        <w:rPr>
          <w:rFonts w:ascii="Book Antiqua" w:hAnsi="Book Antiqua"/>
          <w:lang w:val="es-PR"/>
        </w:rPr>
        <w:t xml:space="preserve"> </w:t>
      </w:r>
      <w:r>
        <w:rPr>
          <w:rFonts w:ascii="Book Antiqua" w:hAnsi="Book Antiqua"/>
          <w:lang w:val="es-PR"/>
        </w:rPr>
        <w:t>el “</w:t>
      </w:r>
      <w:r w:rsidR="00447A62" w:rsidRPr="00447A62">
        <w:rPr>
          <w:rFonts w:ascii="Book Antiqua" w:hAnsi="Book Antiqua"/>
          <w:lang w:val="es-PR"/>
        </w:rPr>
        <w:t>Protocolo intergubernamental para coordinar la respuesta, orientación e intercambio de información para la atención de personas sobrevivientes de violencia de género en situaciones de violencia doméstica</w:t>
      </w:r>
      <w:r>
        <w:rPr>
          <w:rFonts w:ascii="Book Antiqua" w:hAnsi="Book Antiqua"/>
          <w:lang w:val="es-PR"/>
        </w:rPr>
        <w:t>”,</w:t>
      </w:r>
      <w:r w:rsidR="00447A62" w:rsidRPr="00447A62">
        <w:rPr>
          <w:rFonts w:ascii="Book Antiqua" w:hAnsi="Book Antiqua"/>
          <w:lang w:val="es-PR"/>
        </w:rPr>
        <w:t xml:space="preserve"> promulgado en junio de 2022,</w:t>
      </w:r>
      <w:r w:rsidR="00C52668">
        <w:rPr>
          <w:rStyle w:val="FootnoteReference"/>
          <w:rFonts w:ascii="Book Antiqua" w:hAnsi="Book Antiqua"/>
          <w:lang w:val="es-PR"/>
        </w:rPr>
        <w:footnoteReference w:id="3"/>
      </w:r>
      <w:r w:rsidR="00447A62" w:rsidRPr="00447A62">
        <w:rPr>
          <w:rFonts w:ascii="Book Antiqua" w:hAnsi="Book Antiqua"/>
          <w:lang w:val="es-PR"/>
        </w:rPr>
        <w:t xml:space="preserve"> ya integra al COPOP como parte de los procesos judiciales relativos a las peticiones de órdenes de protección. Este protocolo establece que el COPOP recibe las órdenes de protección expedidas por los tribunales bajo la Ley 54 para registrarlas y notificarlas a los centros de mando de las áreas policiacas para su diligenciamiento. </w:t>
      </w:r>
      <w:r w:rsidR="00BD0E7C">
        <w:rPr>
          <w:rFonts w:ascii="Book Antiqua" w:hAnsi="Book Antiqua"/>
          <w:lang w:val="es-PR"/>
        </w:rPr>
        <w:lastRenderedPageBreak/>
        <w:t>Además</w:t>
      </w:r>
      <w:r w:rsidR="00447A62" w:rsidRPr="00447A62">
        <w:rPr>
          <w:rFonts w:ascii="Book Antiqua" w:hAnsi="Book Antiqua"/>
          <w:lang w:val="es-PR"/>
        </w:rPr>
        <w:t>, en abril de 2024, se formalizaron dos acuerdos colaborativos trascendentales entre el Departamento de Seguridad Pública (DSP), el NPPR y el Poder Judicial. Estos acuerdos tienen como objetivo coordinar el intercambio de información y uniformar el diligenciamiento de las órdenes de protección a través del COPOP.</w:t>
      </w:r>
      <w:r w:rsidR="00BD0E7C">
        <w:rPr>
          <w:rFonts w:ascii="Book Antiqua" w:hAnsi="Book Antiqua"/>
          <w:lang w:val="es-PR"/>
        </w:rPr>
        <w:t xml:space="preserve"> </w:t>
      </w:r>
      <w:r w:rsidR="00447A62" w:rsidRPr="00447A62">
        <w:rPr>
          <w:rFonts w:ascii="Book Antiqua" w:hAnsi="Book Antiqua"/>
          <w:lang w:val="es-PR"/>
        </w:rPr>
        <w:t>Específicamente, definen las responsabilidades de diligenciamiento entre el NPPR y el Poder Judicial, aportando certeza al trámite. También abordan la prueba del diligenciamiento, requiriendo el registro en COPOP Móvil y el envío de certificados electrónicos.</w:t>
      </w:r>
    </w:p>
    <w:p w14:paraId="1A93D3A7" w14:textId="6AD8EC4E" w:rsidR="00447A62" w:rsidRPr="00447A62" w:rsidRDefault="00BD0E7C" w:rsidP="00695DFC">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t>El</w:t>
      </w:r>
      <w:r w:rsidR="00447A62" w:rsidRPr="00447A62">
        <w:rPr>
          <w:rFonts w:ascii="Book Antiqua" w:hAnsi="Book Antiqua"/>
          <w:lang w:val="es-PR"/>
        </w:rPr>
        <w:t xml:space="preserve"> P. del S. 86 </w:t>
      </w:r>
      <w:r>
        <w:rPr>
          <w:rFonts w:ascii="Book Antiqua" w:hAnsi="Book Antiqua"/>
          <w:lang w:val="es-PR"/>
        </w:rPr>
        <w:t xml:space="preserve">busca </w:t>
      </w:r>
      <w:r w:rsidR="00447A62" w:rsidRPr="00447A62">
        <w:rPr>
          <w:rFonts w:ascii="Book Antiqua" w:hAnsi="Book Antiqua"/>
          <w:lang w:val="es-PR"/>
        </w:rPr>
        <w:t>complementa</w:t>
      </w:r>
      <w:r>
        <w:rPr>
          <w:rFonts w:ascii="Book Antiqua" w:hAnsi="Book Antiqua"/>
          <w:lang w:val="es-PR"/>
        </w:rPr>
        <w:t>r</w:t>
      </w:r>
      <w:r w:rsidR="00447A62" w:rsidRPr="00447A62">
        <w:rPr>
          <w:rFonts w:ascii="Book Antiqua" w:hAnsi="Book Antiqua"/>
          <w:lang w:val="es-PR"/>
        </w:rPr>
        <w:t xml:space="preserve"> y </w:t>
      </w:r>
      <w:r>
        <w:rPr>
          <w:rFonts w:ascii="Book Antiqua" w:hAnsi="Book Antiqua"/>
          <w:lang w:val="es-PR"/>
        </w:rPr>
        <w:t>reforzar</w:t>
      </w:r>
      <w:r w:rsidR="00447A62" w:rsidRPr="00447A62">
        <w:rPr>
          <w:rFonts w:ascii="Book Antiqua" w:hAnsi="Book Antiqua"/>
          <w:lang w:val="es-PR"/>
        </w:rPr>
        <w:t xml:space="preserve"> estos acuerdos colaborativos y protocolos </w:t>
      </w:r>
      <w:r>
        <w:rPr>
          <w:rFonts w:ascii="Book Antiqua" w:hAnsi="Book Antiqua"/>
          <w:lang w:val="es-PR"/>
        </w:rPr>
        <w:t>interagenciales</w:t>
      </w:r>
      <w:r w:rsidR="00447A62" w:rsidRPr="00447A62">
        <w:rPr>
          <w:rFonts w:ascii="Book Antiqua" w:hAnsi="Book Antiqua"/>
          <w:lang w:val="es-PR"/>
        </w:rPr>
        <w:t xml:space="preserve"> al elevar sus principios a rango de ley, proporcionando un marco legal más sólido y permanente para la coordinación interinstitucional y la agilización de los procesos de diligenciamiento. </w:t>
      </w:r>
    </w:p>
    <w:p w14:paraId="44D862B2" w14:textId="334AFBCF" w:rsidR="00FF21EF" w:rsidRDefault="00FF21EF" w:rsidP="00FE6D61">
      <w:pPr>
        <w:tabs>
          <w:tab w:val="left" w:pos="-720"/>
        </w:tabs>
        <w:suppressAutoHyphens/>
        <w:spacing w:line="276" w:lineRule="auto"/>
        <w:ind w:firstLine="360"/>
        <w:jc w:val="both"/>
        <w:rPr>
          <w:rFonts w:ascii="Book Antiqua" w:hAnsi="Book Antiqua"/>
          <w:lang w:val="es-PR"/>
        </w:rPr>
      </w:pPr>
      <w:r w:rsidRPr="00337BB7">
        <w:rPr>
          <w:rFonts w:ascii="Book Antiqua" w:hAnsi="Book Antiqua"/>
          <w:lang w:val="es-PR"/>
        </w:rPr>
        <w:t xml:space="preserve">La </w:t>
      </w:r>
      <w:r>
        <w:rPr>
          <w:rFonts w:ascii="Book Antiqua" w:hAnsi="Book Antiqua"/>
          <w:spacing w:val="-3"/>
          <w:lang w:val="es-ES_tradnl"/>
        </w:rPr>
        <w:t>Comisión de lo Jurídico del Senado de Puerto Rico</w:t>
      </w:r>
      <w:r w:rsidRPr="00337BB7">
        <w:rPr>
          <w:rFonts w:ascii="Book Antiqua" w:hAnsi="Book Antiqua"/>
          <w:spacing w:val="-3"/>
          <w:lang w:val="es-ES_tradnl"/>
        </w:rPr>
        <w:t xml:space="preserve">, como parte del estudio y evaluación del </w:t>
      </w:r>
      <w:r>
        <w:rPr>
          <w:rFonts w:ascii="Book Antiqua" w:hAnsi="Book Antiqua"/>
          <w:spacing w:val="-3"/>
          <w:lang w:val="es-ES_tradnl"/>
        </w:rPr>
        <w:t>P. del S. 86</w:t>
      </w:r>
      <w:r w:rsidRPr="00A11ED0">
        <w:rPr>
          <w:rFonts w:ascii="Book Antiqua" w:hAnsi="Book Antiqua"/>
          <w:lang w:val="es-PR"/>
        </w:rPr>
        <w:t xml:space="preserve"> </w:t>
      </w:r>
      <w:r>
        <w:rPr>
          <w:rFonts w:ascii="Book Antiqua" w:hAnsi="Book Antiqua"/>
          <w:lang w:val="es-PR"/>
        </w:rPr>
        <w:t>recibió</w:t>
      </w:r>
      <w:r w:rsidRPr="00A11ED0">
        <w:rPr>
          <w:rFonts w:ascii="Book Antiqua" w:hAnsi="Book Antiqua"/>
          <w:lang w:val="es-PR"/>
        </w:rPr>
        <w:t xml:space="preserve"> memoriales explicativos </w:t>
      </w:r>
      <w:r w:rsidRPr="00337BB7">
        <w:rPr>
          <w:rFonts w:ascii="Book Antiqua" w:hAnsi="Book Antiqua"/>
          <w:lang w:val="es-PR"/>
        </w:rPr>
        <w:t>a las siguientes agencias y entidades</w:t>
      </w:r>
      <w:r>
        <w:rPr>
          <w:rFonts w:ascii="Book Antiqua" w:hAnsi="Book Antiqua"/>
          <w:lang w:val="es-PR"/>
        </w:rPr>
        <w:t xml:space="preserve">: </w:t>
      </w:r>
      <w:r w:rsidR="00644253">
        <w:rPr>
          <w:rFonts w:ascii="Book Antiqua" w:hAnsi="Book Antiqua"/>
          <w:lang w:val="es-PR"/>
        </w:rPr>
        <w:t xml:space="preserve">Departamento de Justicia, </w:t>
      </w:r>
      <w:r w:rsidR="00644253" w:rsidRPr="00447A62">
        <w:rPr>
          <w:rFonts w:ascii="Book Antiqua" w:hAnsi="Book Antiqua"/>
          <w:lang w:val="es-PR"/>
        </w:rPr>
        <w:t>Coordinadora Paz para las Mujeres (CPM)</w:t>
      </w:r>
      <w:r w:rsidR="00644253">
        <w:rPr>
          <w:rFonts w:ascii="Book Antiqua" w:hAnsi="Book Antiqua"/>
          <w:lang w:val="es-PR"/>
        </w:rPr>
        <w:t xml:space="preserve">, </w:t>
      </w:r>
      <w:r w:rsidR="00644253" w:rsidRPr="00447A62">
        <w:rPr>
          <w:rFonts w:ascii="Book Antiqua" w:hAnsi="Book Antiqua"/>
          <w:lang w:val="es-PR"/>
        </w:rPr>
        <w:t>Colegio de Profesionales del Trabajo Social de Puerto Rico (CPTSPR)</w:t>
      </w:r>
      <w:r w:rsidR="00644253">
        <w:rPr>
          <w:rFonts w:ascii="Book Antiqua" w:hAnsi="Book Antiqua"/>
          <w:lang w:val="es-PR"/>
        </w:rPr>
        <w:t>,</w:t>
      </w:r>
      <w:r w:rsidR="00644253" w:rsidRPr="00447A62">
        <w:rPr>
          <w:rFonts w:ascii="Book Antiqua" w:hAnsi="Book Antiqua"/>
          <w:lang w:val="es-PR"/>
        </w:rPr>
        <w:t> Departamento de Seguridad Pública (DSP</w:t>
      </w:r>
      <w:r w:rsidR="00644253">
        <w:rPr>
          <w:rFonts w:ascii="Book Antiqua" w:hAnsi="Book Antiqua"/>
          <w:lang w:val="es-PR"/>
        </w:rPr>
        <w:t xml:space="preserve">), </w:t>
      </w:r>
      <w:r w:rsidR="00644253" w:rsidRPr="00447A62">
        <w:rPr>
          <w:rFonts w:ascii="Book Antiqua" w:hAnsi="Book Antiqua"/>
          <w:lang w:val="es-PR"/>
        </w:rPr>
        <w:t>Departamento de la Familia (DF)</w:t>
      </w:r>
      <w:r w:rsidR="00644253">
        <w:rPr>
          <w:rFonts w:ascii="Book Antiqua" w:hAnsi="Book Antiqua"/>
          <w:lang w:val="es-PR"/>
        </w:rPr>
        <w:t xml:space="preserve">, </w:t>
      </w:r>
      <w:r w:rsidR="00644253" w:rsidRPr="00447A62">
        <w:rPr>
          <w:rFonts w:ascii="Book Antiqua" w:hAnsi="Book Antiqua"/>
          <w:lang w:val="es-PR"/>
        </w:rPr>
        <w:t>Oficina de Administración de los Tribunales (OAT)</w:t>
      </w:r>
      <w:r w:rsidR="00644253">
        <w:rPr>
          <w:rFonts w:ascii="Book Antiqua" w:hAnsi="Book Antiqua"/>
          <w:lang w:val="es-PR"/>
        </w:rPr>
        <w:t xml:space="preserve"> y la </w:t>
      </w:r>
      <w:r w:rsidR="00644253" w:rsidRPr="00447A62">
        <w:rPr>
          <w:rFonts w:ascii="Book Antiqua" w:hAnsi="Book Antiqua"/>
          <w:lang w:val="es-PR"/>
        </w:rPr>
        <w:t>Oficina de la Procuradora de las Mujeres (OPM)</w:t>
      </w:r>
      <w:r w:rsidR="00644253">
        <w:rPr>
          <w:rFonts w:ascii="Book Antiqua" w:hAnsi="Book Antiqua"/>
          <w:lang w:val="es-PR"/>
        </w:rPr>
        <w:t>.</w:t>
      </w:r>
    </w:p>
    <w:p w14:paraId="3C4F3303" w14:textId="77777777" w:rsidR="00FF21EF" w:rsidRPr="00337BB7" w:rsidRDefault="00FF21EF" w:rsidP="00FE6D61">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Pr="00337BB7">
        <w:rPr>
          <w:rFonts w:ascii="Book Antiqua" w:hAnsi="Book Antiqua"/>
          <w:lang w:val="es-PR"/>
        </w:rPr>
        <w:t>A continuación, se expone lo expresado por estas</w:t>
      </w:r>
      <w:r>
        <w:rPr>
          <w:rFonts w:ascii="Book Antiqua" w:hAnsi="Book Antiqua"/>
          <w:lang w:val="es-PR"/>
        </w:rPr>
        <w:t xml:space="preserve"> entidades gubernamentales</w:t>
      </w:r>
      <w:r w:rsidRPr="00337BB7">
        <w:rPr>
          <w:rFonts w:ascii="Book Antiqua" w:hAnsi="Book Antiqua"/>
          <w:lang w:val="es-PR"/>
        </w:rPr>
        <w:t>.</w:t>
      </w:r>
    </w:p>
    <w:p w14:paraId="4B078690" w14:textId="77777777" w:rsidR="00447A62" w:rsidRPr="00447A62" w:rsidRDefault="00447A62" w:rsidP="00FE6D61">
      <w:pPr>
        <w:tabs>
          <w:tab w:val="left" w:pos="-720"/>
        </w:tabs>
        <w:suppressAutoHyphens/>
        <w:spacing w:line="276" w:lineRule="auto"/>
        <w:jc w:val="both"/>
        <w:rPr>
          <w:rFonts w:ascii="Book Antiqua" w:hAnsi="Book Antiqua"/>
          <w:lang w:val="es-PR"/>
        </w:rPr>
      </w:pPr>
    </w:p>
    <w:p w14:paraId="01A82DE6" w14:textId="1F456868" w:rsidR="00447A62" w:rsidRPr="00644253" w:rsidRDefault="00644253" w:rsidP="00FE6D61">
      <w:pPr>
        <w:tabs>
          <w:tab w:val="left" w:pos="-720"/>
        </w:tabs>
        <w:suppressAutoHyphens/>
        <w:spacing w:line="276" w:lineRule="auto"/>
        <w:jc w:val="center"/>
        <w:rPr>
          <w:rFonts w:ascii="Book Antiqua" w:hAnsi="Book Antiqua"/>
          <w:b/>
          <w:bCs/>
          <w:lang w:val="es-PR"/>
        </w:rPr>
      </w:pPr>
      <w:r w:rsidRPr="00644253">
        <w:rPr>
          <w:rFonts w:ascii="Book Antiqua" w:hAnsi="Book Antiqua"/>
          <w:b/>
          <w:bCs/>
          <w:lang w:val="es-PR"/>
        </w:rPr>
        <w:t>DEPARTAMENTO DE JUSTICIA</w:t>
      </w:r>
    </w:p>
    <w:p w14:paraId="2BF582D5" w14:textId="77777777" w:rsidR="00447A62" w:rsidRPr="00447A62" w:rsidRDefault="00447A62" w:rsidP="00FE6D61">
      <w:pPr>
        <w:tabs>
          <w:tab w:val="left" w:pos="-720"/>
        </w:tabs>
        <w:suppressAutoHyphens/>
        <w:spacing w:line="276" w:lineRule="auto"/>
        <w:ind w:firstLine="360"/>
        <w:jc w:val="both"/>
        <w:rPr>
          <w:rFonts w:ascii="Book Antiqua" w:hAnsi="Book Antiqua"/>
          <w:lang w:val="es-PR"/>
        </w:rPr>
      </w:pPr>
    </w:p>
    <w:p w14:paraId="04A8FAA7" w14:textId="1EEE638D" w:rsidR="00447A62" w:rsidRPr="00447A62" w:rsidRDefault="00695DFC" w:rsidP="00695DFC">
      <w:pPr>
        <w:tabs>
          <w:tab w:val="left" w:pos="-720"/>
        </w:tabs>
        <w:suppressAutoHyphens/>
        <w:spacing w:line="276" w:lineRule="auto"/>
        <w:jc w:val="both"/>
        <w:rPr>
          <w:rFonts w:ascii="Book Antiqua" w:hAnsi="Book Antiqua"/>
          <w:lang w:val="es-PR"/>
        </w:rPr>
      </w:pPr>
      <w:r>
        <w:rPr>
          <w:rFonts w:ascii="Book Antiqua" w:hAnsi="Book Antiqua"/>
          <w:lang w:val="es-PR"/>
        </w:rPr>
        <w:tab/>
      </w:r>
      <w:r w:rsidR="00447A62" w:rsidRPr="00447A62">
        <w:rPr>
          <w:rFonts w:ascii="Book Antiqua" w:hAnsi="Book Antiqua"/>
          <w:lang w:val="es-PR"/>
        </w:rPr>
        <w:t>El Departamento de Justicia</w:t>
      </w:r>
      <w:r w:rsidR="00644253">
        <w:rPr>
          <w:rFonts w:ascii="Book Antiqua" w:hAnsi="Book Antiqua"/>
          <w:lang w:val="es-PR"/>
        </w:rPr>
        <w:t xml:space="preserve"> (DJ)</w:t>
      </w:r>
      <w:r w:rsidR="00447A62" w:rsidRPr="00447A62">
        <w:rPr>
          <w:rFonts w:ascii="Book Antiqua" w:hAnsi="Book Antiqua"/>
          <w:lang w:val="es-PR"/>
        </w:rPr>
        <w:t xml:space="preserve"> manifestó no tener objeción legal </w:t>
      </w:r>
      <w:r w:rsidR="003D5C06">
        <w:rPr>
          <w:rFonts w:ascii="Book Antiqua" w:hAnsi="Book Antiqua"/>
          <w:lang w:val="es-PR"/>
        </w:rPr>
        <w:t>con</w:t>
      </w:r>
      <w:r w:rsidR="00447A62" w:rsidRPr="00447A62">
        <w:rPr>
          <w:rFonts w:ascii="Book Antiqua" w:hAnsi="Book Antiqua"/>
          <w:lang w:val="es-PR"/>
        </w:rPr>
        <w:t xml:space="preserve"> la </w:t>
      </w:r>
      <w:r w:rsidR="003D5C06">
        <w:rPr>
          <w:rFonts w:ascii="Book Antiqua" w:hAnsi="Book Antiqua"/>
          <w:lang w:val="es-PR"/>
        </w:rPr>
        <w:t>aprobación</w:t>
      </w:r>
      <w:r w:rsidR="00447A62" w:rsidRPr="00447A62">
        <w:rPr>
          <w:rFonts w:ascii="Book Antiqua" w:hAnsi="Book Antiqua"/>
          <w:lang w:val="es-PR"/>
        </w:rPr>
        <w:t xml:space="preserve"> del P. del S. 86, siempre y cuando se atendieran e incorporaran sus sugerencias al texto final. Reconoció que la medida es cónsona con la política pública de la Ley 54 al propiciar remedios eficaces para las víctimas, pero señaló que el COPOP ya realiza procedimientos muy parecidos a los propuestos. Sugirió aclarar el término </w:t>
      </w:r>
      <w:r w:rsidR="001A323B">
        <w:rPr>
          <w:rFonts w:ascii="Book Antiqua" w:hAnsi="Book Antiqua"/>
          <w:lang w:val="es-PR"/>
        </w:rPr>
        <w:t>“</w:t>
      </w:r>
      <w:r w:rsidR="00447A62" w:rsidRPr="00447A62">
        <w:rPr>
          <w:rFonts w:ascii="Book Antiqua" w:hAnsi="Book Antiqua"/>
          <w:lang w:val="es-PR"/>
        </w:rPr>
        <w:t>medidas administrativas</w:t>
      </w:r>
      <w:r w:rsidR="001A323B">
        <w:rPr>
          <w:rFonts w:ascii="Book Antiqua" w:hAnsi="Book Antiqua"/>
          <w:lang w:val="es-PR"/>
        </w:rPr>
        <w:t>”</w:t>
      </w:r>
      <w:r w:rsidR="00447A62" w:rsidRPr="00447A62">
        <w:rPr>
          <w:rFonts w:ascii="Book Antiqua" w:hAnsi="Book Antiqua"/>
          <w:lang w:val="es-PR"/>
        </w:rPr>
        <w:t xml:space="preserve"> o eliminarlo. Propuso reformular el lenguaje sobre la constancia del diligenciamiento en la Sección 1(f) para que se aluda a un término de entre 24 horas y 5 días y que la omisión de presentar prueba no afecte la validez.</w:t>
      </w:r>
      <w:r w:rsidR="00611FA1">
        <w:rPr>
          <w:rStyle w:val="FootnoteReference"/>
          <w:rFonts w:ascii="Book Antiqua" w:hAnsi="Book Antiqua"/>
          <w:lang w:val="es-PR"/>
        </w:rPr>
        <w:footnoteReference w:id="4"/>
      </w:r>
      <w:r w:rsidR="00447A62" w:rsidRPr="00447A62">
        <w:rPr>
          <w:rFonts w:ascii="Book Antiqua" w:hAnsi="Book Antiqua"/>
          <w:lang w:val="es-PR"/>
        </w:rPr>
        <w:t xml:space="preserve"> Asimismo, sugirió variar el lenguaje de la última oración del inciso (f) sobre la renuncia al diligenciamiento del emplazamiento o suprimirla, para que se ajuste a las formas reconocidas de sumisión voluntaria y evitar reclamos constitucionales. Advirtió que la eliminación del diligenciamiento personal para las extensiones de </w:t>
      </w:r>
      <w:r w:rsidR="00447A62" w:rsidRPr="00447A62">
        <w:rPr>
          <w:rFonts w:ascii="Book Antiqua" w:hAnsi="Book Antiqua"/>
          <w:lang w:val="es-PR"/>
        </w:rPr>
        <w:lastRenderedPageBreak/>
        <w:t>órdenes de protección podría afectar a personas sin acceso a medios electrónicos, ya sea por su situación económica, falta de hogar, edad avanzada o nivel de escolaridad, recomendando que el diligenciamiento personal permanezca como una alternativa. Finalmente, en casos con correo electrónico, sugirió añadir una disposición que imponga al tribunal o NPPR el deber de informar telefónicamente el envío de la notificación electrónica, dada la gravedad de las consecuencias criminales por incumplimiento.</w:t>
      </w:r>
    </w:p>
    <w:p w14:paraId="61A48C67" w14:textId="77777777" w:rsidR="00447A62" w:rsidRPr="00447A62" w:rsidRDefault="00447A62" w:rsidP="00FE6D61">
      <w:pPr>
        <w:tabs>
          <w:tab w:val="left" w:pos="-720"/>
        </w:tabs>
        <w:suppressAutoHyphens/>
        <w:spacing w:line="276" w:lineRule="auto"/>
        <w:ind w:firstLine="360"/>
        <w:jc w:val="both"/>
        <w:rPr>
          <w:rFonts w:ascii="Book Antiqua" w:hAnsi="Book Antiqua"/>
          <w:lang w:val="es-PR"/>
        </w:rPr>
      </w:pPr>
    </w:p>
    <w:p w14:paraId="00AB48AA" w14:textId="3C5FF98A" w:rsidR="00447A62" w:rsidRPr="000F0E1A" w:rsidRDefault="000F0E1A" w:rsidP="00FE6D61">
      <w:pPr>
        <w:tabs>
          <w:tab w:val="left" w:pos="-720"/>
        </w:tabs>
        <w:suppressAutoHyphens/>
        <w:spacing w:line="276" w:lineRule="auto"/>
        <w:jc w:val="center"/>
        <w:rPr>
          <w:rFonts w:ascii="Book Antiqua" w:hAnsi="Book Antiqua"/>
          <w:b/>
          <w:bCs/>
          <w:lang w:val="es-PR"/>
        </w:rPr>
      </w:pPr>
      <w:r w:rsidRPr="000F0E1A">
        <w:rPr>
          <w:rFonts w:ascii="Book Antiqua" w:hAnsi="Book Antiqua"/>
          <w:b/>
          <w:bCs/>
          <w:lang w:val="es-PR"/>
        </w:rPr>
        <w:t>COORDINADORA PAZ PARA LAS MUJERES</w:t>
      </w:r>
    </w:p>
    <w:p w14:paraId="460F5994" w14:textId="77777777" w:rsidR="00447A62" w:rsidRPr="00447A62" w:rsidRDefault="00447A62" w:rsidP="00FE6D61">
      <w:pPr>
        <w:tabs>
          <w:tab w:val="left" w:pos="-720"/>
        </w:tabs>
        <w:suppressAutoHyphens/>
        <w:spacing w:line="276" w:lineRule="auto"/>
        <w:ind w:firstLine="360"/>
        <w:jc w:val="both"/>
        <w:rPr>
          <w:rFonts w:ascii="Book Antiqua" w:hAnsi="Book Antiqua"/>
          <w:lang w:val="es-PR"/>
        </w:rPr>
      </w:pPr>
    </w:p>
    <w:p w14:paraId="6983CE1A" w14:textId="64F6B368" w:rsidR="00447A62" w:rsidRPr="00447A62" w:rsidRDefault="000F0E1A" w:rsidP="00FE6D61">
      <w:pPr>
        <w:tabs>
          <w:tab w:val="left" w:pos="-720"/>
        </w:tabs>
        <w:suppressAutoHyphens/>
        <w:spacing w:line="276" w:lineRule="auto"/>
        <w:jc w:val="both"/>
        <w:rPr>
          <w:rFonts w:ascii="Book Antiqua" w:hAnsi="Book Antiqua"/>
          <w:lang w:val="es-PR"/>
        </w:rPr>
      </w:pPr>
      <w:r>
        <w:rPr>
          <w:rFonts w:ascii="Book Antiqua" w:hAnsi="Book Antiqua"/>
          <w:lang w:val="es-PR"/>
        </w:rPr>
        <w:tab/>
      </w:r>
      <w:r w:rsidR="00447A62" w:rsidRPr="00447A62">
        <w:rPr>
          <w:rFonts w:ascii="Book Antiqua" w:hAnsi="Book Antiqua"/>
          <w:lang w:val="es-PR"/>
        </w:rPr>
        <w:t xml:space="preserve">La Coordinadora Paz para las Mujeres favorece el Proyecto del Senado 86. Enfatizó que la violencia doméstica es un problema serio, evidenciado por los feminicidios. Apoyó la incorporación de la tecnología para la certificación electrónica del diligenciamiento y la simplificación del proceso de extensión de órdenes de protección, al no considerarse una nueva expedición. Consideró que la medida hace menos oneroso el trámite, fortalece la colaboración interinstitucional (Policía y Poder Judicial), y ahorra recursos. Como recomendaciones, propuso añadir texto al proyecto para aclarar que sus disposiciones no dejan sin efecto los acuerdos colaborativos firmados por la Policía y el Poder Judicial, salvo la eliminación del requisito de copia física diligenciada, buscando evitar confusiones. También sugirió añadir enmiendas a la Ley 54 para atender el diligenciamiento de citaciones y órdenes </w:t>
      </w:r>
      <w:r w:rsidR="00447A62" w:rsidRPr="00F13014">
        <w:rPr>
          <w:rFonts w:ascii="Book Antiqua" w:hAnsi="Book Antiqua"/>
          <w:i/>
          <w:iCs/>
          <w:lang w:val="es-PR"/>
        </w:rPr>
        <w:t>ex parte</w:t>
      </w:r>
      <w:r w:rsidR="00447A62" w:rsidRPr="00447A62">
        <w:rPr>
          <w:rFonts w:ascii="Book Antiqua" w:hAnsi="Book Antiqua"/>
          <w:lang w:val="es-PR"/>
        </w:rPr>
        <w:t xml:space="preserve"> cuando la parte peticionada reside fuera de Puerto Rico o se desconoce su paradero.</w:t>
      </w:r>
    </w:p>
    <w:p w14:paraId="0086BDC0" w14:textId="77777777" w:rsidR="00447A62" w:rsidRPr="00447A62" w:rsidRDefault="00447A62" w:rsidP="00FE6D61">
      <w:pPr>
        <w:tabs>
          <w:tab w:val="left" w:pos="-720"/>
        </w:tabs>
        <w:suppressAutoHyphens/>
        <w:spacing w:line="276" w:lineRule="auto"/>
        <w:ind w:firstLine="360"/>
        <w:jc w:val="both"/>
        <w:rPr>
          <w:rFonts w:ascii="Book Antiqua" w:hAnsi="Book Antiqua"/>
          <w:lang w:val="es-PR"/>
        </w:rPr>
      </w:pPr>
    </w:p>
    <w:p w14:paraId="4C2A1D5B" w14:textId="7C603E06" w:rsidR="00447A62" w:rsidRPr="00187F50" w:rsidRDefault="00187F50" w:rsidP="00FE6D61">
      <w:pPr>
        <w:tabs>
          <w:tab w:val="left" w:pos="-720"/>
        </w:tabs>
        <w:suppressAutoHyphens/>
        <w:spacing w:line="276" w:lineRule="auto"/>
        <w:jc w:val="center"/>
        <w:rPr>
          <w:rFonts w:ascii="Book Antiqua" w:hAnsi="Book Antiqua"/>
          <w:b/>
          <w:bCs/>
          <w:lang w:val="es-PR"/>
        </w:rPr>
      </w:pPr>
      <w:r w:rsidRPr="00187F50">
        <w:rPr>
          <w:rFonts w:ascii="Book Antiqua" w:hAnsi="Book Antiqua"/>
          <w:b/>
          <w:bCs/>
          <w:lang w:val="es-PR"/>
        </w:rPr>
        <w:t>COLEGIO DE PROFESIONALES DEL TRABAJO SOCIAL DE PUERTO RICO</w:t>
      </w:r>
    </w:p>
    <w:p w14:paraId="699366FB" w14:textId="77777777" w:rsidR="00447A62" w:rsidRPr="00447A62" w:rsidRDefault="00447A62" w:rsidP="00FE6D61">
      <w:pPr>
        <w:tabs>
          <w:tab w:val="left" w:pos="-720"/>
        </w:tabs>
        <w:suppressAutoHyphens/>
        <w:spacing w:line="276" w:lineRule="auto"/>
        <w:jc w:val="both"/>
        <w:rPr>
          <w:rFonts w:ascii="Book Antiqua" w:hAnsi="Book Antiqua"/>
          <w:lang w:val="es-PR"/>
        </w:rPr>
      </w:pPr>
    </w:p>
    <w:p w14:paraId="56E2A5C4" w14:textId="0C60A9E3" w:rsidR="00447A62" w:rsidRPr="00447A62" w:rsidRDefault="00187F50" w:rsidP="00FE6D61">
      <w:pPr>
        <w:tabs>
          <w:tab w:val="left" w:pos="-720"/>
        </w:tabs>
        <w:suppressAutoHyphens/>
        <w:spacing w:line="276" w:lineRule="auto"/>
        <w:jc w:val="both"/>
        <w:rPr>
          <w:rFonts w:ascii="Book Antiqua" w:hAnsi="Book Antiqua"/>
          <w:lang w:val="es-PR"/>
        </w:rPr>
      </w:pPr>
      <w:r>
        <w:rPr>
          <w:rFonts w:ascii="Book Antiqua" w:hAnsi="Book Antiqua"/>
          <w:lang w:val="es-PR"/>
        </w:rPr>
        <w:tab/>
      </w:r>
      <w:r w:rsidR="00447A62" w:rsidRPr="00447A62">
        <w:rPr>
          <w:rFonts w:ascii="Book Antiqua" w:hAnsi="Book Antiqua"/>
          <w:lang w:val="es-PR"/>
        </w:rPr>
        <w:t xml:space="preserve">El Colegio de Profesionales del Trabajo Social de Puerto Rico </w:t>
      </w:r>
      <w:r w:rsidRPr="00447A62">
        <w:rPr>
          <w:rFonts w:ascii="Book Antiqua" w:hAnsi="Book Antiqua"/>
          <w:lang w:val="es-PR"/>
        </w:rPr>
        <w:t xml:space="preserve">(CPTSPR) </w:t>
      </w:r>
      <w:r w:rsidR="00447A62" w:rsidRPr="00447A62">
        <w:rPr>
          <w:rFonts w:ascii="Book Antiqua" w:hAnsi="Book Antiqua"/>
          <w:lang w:val="es-PR"/>
        </w:rPr>
        <w:t xml:space="preserve">se posicionó firmemente a favor de todas las iniciativas que promuevan el bienestar de las personas, garantizando que las sobrevivientes de violencia de género puedan vivir sin temor y tengan acceso a la justicia, condicionando su apoyo a la consideración de sus recomendaciones. Subrayó la complejidad y los desafíos de la violencia doméstica, presentando estadísticas sobre incidentes, feminicidios y solicitudes de órdenes de protección. Resaltó la importancia de considerar las circunstancias de las personas en albergues, garantizando su seguridad y confidencialidad. Reconoció el funcionamiento del COPOP como un Registro Integral Digital. Sus recomendaciones incluyeron: establecer de forma clara la información a recopilar en la hoja de información personal, garantizando confidencialidad; delimitar detalladamente el procedimiento para canalizar las certificaciones electrónicas a través del COPOP; </w:t>
      </w:r>
      <w:r w:rsidR="00447A62" w:rsidRPr="00447A62">
        <w:rPr>
          <w:rFonts w:ascii="Book Antiqua" w:hAnsi="Book Antiqua"/>
          <w:lang w:val="es-PR"/>
        </w:rPr>
        <w:lastRenderedPageBreak/>
        <w:t>establecer procedimientos para el diligenciamiento en casos donde las partes no tengan acceso a tecnología; brindar orientación y capacitación a los funcionarios involucrados; garantizar los recursos humanos y fiscales necesarios; desarrollar una campaña de orientación comunitaria; y, de manera crucial, garantizar el cumplimiento del Protocolo Intergubernamental para Coordinar la Respuesta, Orientación e Intercambio de Información para la Atención de Personas Sobrevivientes de Violencia de Género (2022), el cual, según el Colegio, aún no se ha implementado.</w:t>
      </w:r>
    </w:p>
    <w:p w14:paraId="4FFE3056" w14:textId="77777777" w:rsidR="00447A62" w:rsidRPr="00447A62" w:rsidRDefault="00447A62" w:rsidP="00FE6D61">
      <w:pPr>
        <w:tabs>
          <w:tab w:val="left" w:pos="-720"/>
        </w:tabs>
        <w:suppressAutoHyphens/>
        <w:spacing w:line="276" w:lineRule="auto"/>
        <w:ind w:firstLine="360"/>
        <w:jc w:val="both"/>
        <w:rPr>
          <w:rFonts w:ascii="Book Antiqua" w:hAnsi="Book Antiqua"/>
          <w:lang w:val="es-PR"/>
        </w:rPr>
      </w:pPr>
    </w:p>
    <w:p w14:paraId="65912ECD" w14:textId="699AA90E" w:rsidR="00447A62" w:rsidRPr="00250029" w:rsidRDefault="00250029" w:rsidP="00FE6D61">
      <w:pPr>
        <w:tabs>
          <w:tab w:val="left" w:pos="-720"/>
        </w:tabs>
        <w:suppressAutoHyphens/>
        <w:spacing w:line="276" w:lineRule="auto"/>
        <w:jc w:val="center"/>
        <w:rPr>
          <w:rFonts w:ascii="Book Antiqua" w:hAnsi="Book Antiqua"/>
          <w:b/>
          <w:bCs/>
          <w:lang w:val="es-PR"/>
        </w:rPr>
      </w:pPr>
      <w:r w:rsidRPr="00250029">
        <w:rPr>
          <w:rFonts w:ascii="Book Antiqua" w:hAnsi="Book Antiqua"/>
          <w:b/>
          <w:bCs/>
          <w:lang w:val="es-PR"/>
        </w:rPr>
        <w:t>DEPARTAMENTO DE SEGURIDAD PÚBLICA</w:t>
      </w:r>
    </w:p>
    <w:p w14:paraId="3717F6D9" w14:textId="77777777" w:rsidR="00447A62" w:rsidRPr="00447A62" w:rsidRDefault="00447A62" w:rsidP="00FE6D61">
      <w:pPr>
        <w:tabs>
          <w:tab w:val="left" w:pos="-720"/>
        </w:tabs>
        <w:suppressAutoHyphens/>
        <w:spacing w:line="276" w:lineRule="auto"/>
        <w:jc w:val="both"/>
        <w:rPr>
          <w:rFonts w:ascii="Book Antiqua" w:hAnsi="Book Antiqua"/>
          <w:lang w:val="es-PR"/>
        </w:rPr>
      </w:pPr>
    </w:p>
    <w:p w14:paraId="2D65B9AD" w14:textId="75456005" w:rsidR="00447A62" w:rsidRPr="00447A62" w:rsidRDefault="00823B54" w:rsidP="00FE6D61">
      <w:pPr>
        <w:tabs>
          <w:tab w:val="left" w:pos="-720"/>
        </w:tabs>
        <w:suppressAutoHyphens/>
        <w:spacing w:line="276" w:lineRule="auto"/>
        <w:jc w:val="both"/>
        <w:rPr>
          <w:rFonts w:ascii="Book Antiqua" w:hAnsi="Book Antiqua"/>
          <w:lang w:val="es-PR"/>
        </w:rPr>
      </w:pPr>
      <w:r>
        <w:rPr>
          <w:rFonts w:ascii="Book Antiqua" w:hAnsi="Book Antiqua"/>
          <w:lang w:val="es-PR"/>
        </w:rPr>
        <w:tab/>
      </w:r>
      <w:r w:rsidR="00447A62" w:rsidRPr="00447A62">
        <w:rPr>
          <w:rFonts w:ascii="Book Antiqua" w:hAnsi="Book Antiqua"/>
          <w:lang w:val="es-PR"/>
        </w:rPr>
        <w:t xml:space="preserve">El Departamento de Seguridad Pública se pronunció a favor de la aprobación del P. del S. 86. Reconoció la violencia doméstica como un problema grave y que la medida busca fortalecer las herramientas para erradicarla y proteger a las víctimas. Consideró que la medida subsana escollos en el diligenciamiento, especialmente los surgidos con el aumento de videoconferencias. Argumentó que la notificación personal de la extensión de una orden genera un </w:t>
      </w:r>
      <w:r w:rsidR="00991C0B">
        <w:rPr>
          <w:rFonts w:ascii="Book Antiqua" w:hAnsi="Book Antiqua"/>
          <w:lang w:val="es-PR"/>
        </w:rPr>
        <w:t>“</w:t>
      </w:r>
      <w:r w:rsidR="00447A62" w:rsidRPr="00447A62">
        <w:rPr>
          <w:rFonts w:ascii="Book Antiqua" w:hAnsi="Book Antiqua"/>
          <w:lang w:val="es-PR"/>
        </w:rPr>
        <w:t>doble esfuerzo</w:t>
      </w:r>
      <w:r w:rsidR="00991C0B">
        <w:rPr>
          <w:rFonts w:ascii="Book Antiqua" w:hAnsi="Book Antiqua"/>
          <w:lang w:val="es-PR"/>
        </w:rPr>
        <w:t>”</w:t>
      </w:r>
      <w:r w:rsidR="00447A62" w:rsidRPr="00447A62">
        <w:rPr>
          <w:rFonts w:ascii="Book Antiqua" w:hAnsi="Book Antiqua"/>
          <w:lang w:val="es-PR"/>
        </w:rPr>
        <w:t xml:space="preserve"> innecesario </w:t>
      </w:r>
      <w:r w:rsidR="00991C0B">
        <w:rPr>
          <w:rFonts w:ascii="Book Antiqua" w:hAnsi="Book Antiqua"/>
          <w:lang w:val="es-PR"/>
        </w:rPr>
        <w:t>cuando la</w:t>
      </w:r>
      <w:r w:rsidR="00447A62" w:rsidRPr="00447A62">
        <w:rPr>
          <w:rFonts w:ascii="Book Antiqua" w:hAnsi="Book Antiqua"/>
          <w:lang w:val="es-PR"/>
        </w:rPr>
        <w:t xml:space="preserve"> parte peticionada ya fue notificada inicialmente. Destacó que la falta de alguaciles disponibles y el intento de los agresores de evitar la notificación ponen en riesgo a las víctimas y agotan recursos. Apoyó el uso de la tecnología para agilizar el proceso y garantizar la seguridad. Resaltó los acuerdos colaborativos existentes con el Poder Judicial y Policías Municipales a través del COPOP para uniformar y agilizar el manejo de órdenes de protección.</w:t>
      </w:r>
    </w:p>
    <w:p w14:paraId="3290E955" w14:textId="77777777" w:rsidR="00447A62" w:rsidRPr="00447A62" w:rsidRDefault="00447A62" w:rsidP="00FE6D61">
      <w:pPr>
        <w:tabs>
          <w:tab w:val="left" w:pos="-720"/>
        </w:tabs>
        <w:suppressAutoHyphens/>
        <w:spacing w:line="276" w:lineRule="auto"/>
        <w:ind w:firstLine="360"/>
        <w:jc w:val="both"/>
        <w:rPr>
          <w:rFonts w:ascii="Book Antiqua" w:hAnsi="Book Antiqua"/>
          <w:lang w:val="es-PR"/>
        </w:rPr>
      </w:pPr>
    </w:p>
    <w:p w14:paraId="4267C2D9" w14:textId="2B352BFB" w:rsidR="00447A62" w:rsidRPr="00991C0B" w:rsidRDefault="00991C0B" w:rsidP="00FE6D61">
      <w:pPr>
        <w:tabs>
          <w:tab w:val="left" w:pos="-720"/>
        </w:tabs>
        <w:suppressAutoHyphens/>
        <w:spacing w:line="276" w:lineRule="auto"/>
        <w:jc w:val="center"/>
        <w:rPr>
          <w:rFonts w:ascii="Book Antiqua" w:hAnsi="Book Antiqua"/>
          <w:b/>
          <w:bCs/>
          <w:lang w:val="es-PR"/>
        </w:rPr>
      </w:pPr>
      <w:r w:rsidRPr="00991C0B">
        <w:rPr>
          <w:rFonts w:ascii="Book Antiqua" w:hAnsi="Book Antiqua"/>
          <w:b/>
          <w:bCs/>
          <w:lang w:val="es-PR"/>
        </w:rPr>
        <w:t>DEPARTAMENTO DE LA FAMILIA</w:t>
      </w:r>
    </w:p>
    <w:p w14:paraId="21AAE45D" w14:textId="77777777" w:rsidR="00447A62" w:rsidRPr="00447A62" w:rsidRDefault="00447A62" w:rsidP="00FE6D61">
      <w:pPr>
        <w:tabs>
          <w:tab w:val="left" w:pos="-720"/>
        </w:tabs>
        <w:suppressAutoHyphens/>
        <w:spacing w:line="276" w:lineRule="auto"/>
        <w:ind w:firstLine="360"/>
        <w:jc w:val="both"/>
        <w:rPr>
          <w:rFonts w:ascii="Book Antiqua" w:hAnsi="Book Antiqua"/>
          <w:lang w:val="es-PR"/>
        </w:rPr>
      </w:pPr>
    </w:p>
    <w:p w14:paraId="34077BFC" w14:textId="0D87FAED" w:rsidR="00447A62" w:rsidRPr="00447A62" w:rsidRDefault="00991C0B" w:rsidP="00FE6D61">
      <w:pPr>
        <w:tabs>
          <w:tab w:val="left" w:pos="-720"/>
        </w:tabs>
        <w:suppressAutoHyphens/>
        <w:spacing w:line="276" w:lineRule="auto"/>
        <w:jc w:val="both"/>
        <w:rPr>
          <w:rFonts w:ascii="Book Antiqua" w:hAnsi="Book Antiqua"/>
          <w:lang w:val="es-PR"/>
        </w:rPr>
      </w:pPr>
      <w:r>
        <w:rPr>
          <w:rFonts w:ascii="Book Antiqua" w:hAnsi="Book Antiqua"/>
          <w:lang w:val="es-PR"/>
        </w:rPr>
        <w:tab/>
      </w:r>
      <w:r w:rsidR="00447A62" w:rsidRPr="00447A62">
        <w:rPr>
          <w:rFonts w:ascii="Book Antiqua" w:hAnsi="Book Antiqua"/>
          <w:lang w:val="es-PR"/>
        </w:rPr>
        <w:t>El Departamento de la Familia reconoció los méritos y objetivos del P. del S. 86 y favoreció su aprobación, condicionado a los comentarios y recomendaciones de otras agencias. Reafirmó el compromiso del DF con la protección y el bienestar integral de las familias y el repudio a la violencia doméstica. Coincidió en que la Ley 54 reconoce la gravedad de la violencia doméstica y que el procedimiento actual de notificación reiterada consume recursos y expone a las víctimas a riesgo. Apoyó la integración de la tecnología para simplificar la notificación y optimizar recursos. Otorgó deferencia a los comentarios y recomendaciones del Departamento de Justicia, la Oficina de Administración de los Tribunales, la Oficina de la Procuradora de las Mujeres, y el Departamento de Seguridad Pública/Negociado de la Policía de Puerto Rico, debido a las implicaciones jurídicas, técnicas, operacionales y presupuestarias.</w:t>
      </w:r>
    </w:p>
    <w:p w14:paraId="1E2C2EDE" w14:textId="77777777" w:rsidR="00447A62" w:rsidRPr="00447A62" w:rsidRDefault="00447A62" w:rsidP="00FE6D61">
      <w:pPr>
        <w:tabs>
          <w:tab w:val="left" w:pos="-720"/>
        </w:tabs>
        <w:suppressAutoHyphens/>
        <w:spacing w:line="276" w:lineRule="auto"/>
        <w:ind w:firstLine="360"/>
        <w:jc w:val="both"/>
        <w:rPr>
          <w:rFonts w:ascii="Book Antiqua" w:hAnsi="Book Antiqua"/>
          <w:lang w:val="es-PR"/>
        </w:rPr>
      </w:pPr>
    </w:p>
    <w:p w14:paraId="6F7FA4AE" w14:textId="248D6D05" w:rsidR="00447A62" w:rsidRPr="00991C0B" w:rsidRDefault="00991C0B" w:rsidP="00FE6D61">
      <w:pPr>
        <w:tabs>
          <w:tab w:val="left" w:pos="-720"/>
        </w:tabs>
        <w:suppressAutoHyphens/>
        <w:spacing w:line="276" w:lineRule="auto"/>
        <w:jc w:val="center"/>
        <w:rPr>
          <w:rFonts w:ascii="Book Antiqua" w:hAnsi="Book Antiqua"/>
          <w:b/>
          <w:bCs/>
          <w:lang w:val="es-PR"/>
        </w:rPr>
      </w:pPr>
      <w:r w:rsidRPr="00991C0B">
        <w:rPr>
          <w:rFonts w:ascii="Book Antiqua" w:hAnsi="Book Antiqua"/>
          <w:b/>
          <w:bCs/>
          <w:lang w:val="es-PR"/>
        </w:rPr>
        <w:lastRenderedPageBreak/>
        <w:t>OFICINA DE ADMINISTRACIÓN DE LOS TRIBUNALES (OAT)</w:t>
      </w:r>
    </w:p>
    <w:p w14:paraId="0EDDA1A6" w14:textId="77777777" w:rsidR="00447A62" w:rsidRPr="00447A62" w:rsidRDefault="00447A62" w:rsidP="00FE6D61">
      <w:pPr>
        <w:tabs>
          <w:tab w:val="left" w:pos="-720"/>
        </w:tabs>
        <w:suppressAutoHyphens/>
        <w:spacing w:line="276" w:lineRule="auto"/>
        <w:ind w:firstLine="360"/>
        <w:jc w:val="both"/>
        <w:rPr>
          <w:rFonts w:ascii="Book Antiqua" w:hAnsi="Book Antiqua"/>
          <w:lang w:val="es-PR"/>
        </w:rPr>
      </w:pPr>
    </w:p>
    <w:p w14:paraId="678F0923" w14:textId="4B350F2E" w:rsidR="00447A62" w:rsidRDefault="00991C0B" w:rsidP="00FE6D61">
      <w:pPr>
        <w:tabs>
          <w:tab w:val="left" w:pos="-720"/>
        </w:tabs>
        <w:suppressAutoHyphens/>
        <w:spacing w:line="276" w:lineRule="auto"/>
        <w:jc w:val="both"/>
        <w:rPr>
          <w:rFonts w:ascii="Book Antiqua" w:hAnsi="Book Antiqua"/>
          <w:lang w:val="es-PR"/>
        </w:rPr>
      </w:pPr>
      <w:r>
        <w:rPr>
          <w:rFonts w:ascii="Book Antiqua" w:hAnsi="Book Antiqua"/>
          <w:lang w:val="es-PR"/>
        </w:rPr>
        <w:tab/>
      </w:r>
      <w:r w:rsidR="00447A62" w:rsidRPr="00447A62">
        <w:rPr>
          <w:rFonts w:ascii="Book Antiqua" w:hAnsi="Book Antiqua"/>
          <w:lang w:val="es-PR"/>
        </w:rPr>
        <w:t xml:space="preserve">La Oficina de Administración de los Tribunales tiene reservas significativas a la aprobación del P. del S. 86. Su principal objeción radica en la redundancia sustancial de la medida con esfuerzos y avances tecnológicos ya implementados (COPOP, COPOP Móvil, Protocolo Intergubernamental de 2022, Acuerdos Colaborativos de 2024) y futuros (SUMAC municipal). La OAT insta a que se permita el espacio necesario para que las iniciativas existentes maduren y demuestren su plena efectividad antes de introducir nueva legislación. Además, señaló una ambigüedad en el proyecto al no establecer las repercusiones si las partes se negaran a cumplir con el requisito de brindar su información de contacto </w:t>
      </w:r>
      <w:r w:rsidR="00E14A82">
        <w:rPr>
          <w:rFonts w:ascii="Book Antiqua" w:hAnsi="Book Antiqua"/>
          <w:lang w:val="es-PR"/>
        </w:rPr>
        <w:t>“</w:t>
      </w:r>
      <w:r w:rsidR="00447A62" w:rsidRPr="00447A62">
        <w:rPr>
          <w:rFonts w:ascii="Book Antiqua" w:hAnsi="Book Antiqua"/>
          <w:lang w:val="es-PR"/>
        </w:rPr>
        <w:t>de forma inmediata</w:t>
      </w:r>
      <w:r w:rsidR="00E14A82">
        <w:rPr>
          <w:rFonts w:ascii="Book Antiqua" w:hAnsi="Book Antiqua"/>
          <w:lang w:val="es-PR"/>
        </w:rPr>
        <w:t>”.</w:t>
      </w:r>
      <w:r w:rsidR="00447A62" w:rsidRPr="00447A62">
        <w:rPr>
          <w:rFonts w:ascii="Book Antiqua" w:hAnsi="Book Antiqua"/>
          <w:lang w:val="es-PR"/>
        </w:rPr>
        <w:t xml:space="preserve"> A pesar de sus reservas generales, la OAT considera favorable que se incluyan en la Ley 54 mecanismos que flexibilicen los métodos para notificar y diligenciar las órdenes de protección. Sugirió que el P. del S. 86 especifique cuáles serían los medios alternos al diligenciamiento personal y propuso que la Ley 54 especifique que cualquier otra orden emitida por el tribunal en relación con procesos de violencia doméstica pueda notificarse por medios alternos a la notificación personal.</w:t>
      </w:r>
    </w:p>
    <w:p w14:paraId="1DFA0F85" w14:textId="63713072" w:rsidR="00C925C5" w:rsidRPr="00447A62" w:rsidRDefault="00E14A82" w:rsidP="00FE6D61">
      <w:pPr>
        <w:tabs>
          <w:tab w:val="left" w:pos="-720"/>
        </w:tabs>
        <w:suppressAutoHyphens/>
        <w:spacing w:line="276" w:lineRule="auto"/>
        <w:jc w:val="both"/>
        <w:rPr>
          <w:rFonts w:ascii="Book Antiqua" w:hAnsi="Book Antiqua"/>
          <w:lang w:val="es-PR"/>
        </w:rPr>
      </w:pPr>
      <w:r>
        <w:rPr>
          <w:rFonts w:ascii="Book Antiqua" w:hAnsi="Book Antiqua"/>
          <w:lang w:val="es-PR"/>
        </w:rPr>
        <w:tab/>
      </w:r>
      <w:r w:rsidR="00C925C5" w:rsidRPr="00447A62">
        <w:rPr>
          <w:rFonts w:ascii="Book Antiqua" w:hAnsi="Book Antiqua"/>
          <w:lang w:val="es-PR"/>
        </w:rPr>
        <w:t xml:space="preserve">La </w:t>
      </w:r>
      <w:r>
        <w:rPr>
          <w:rFonts w:ascii="Book Antiqua" w:hAnsi="Book Antiqua"/>
          <w:lang w:val="es-PR"/>
        </w:rPr>
        <w:t>OAT también</w:t>
      </w:r>
      <w:r w:rsidR="00C925C5" w:rsidRPr="00447A62">
        <w:rPr>
          <w:rFonts w:ascii="Book Antiqua" w:hAnsi="Book Antiqua"/>
          <w:lang w:val="es-PR"/>
        </w:rPr>
        <w:t xml:space="preserve"> ha destacado que el sistema SUMAC municipal, actualmente en desarrollo, permitirá a los litigantes por derecho propio solicitar remedios judiciales y recibir notificaciones (incluyendo el estatus de sus peticiones y citaciones) por correo electrónico o mensaje de texto. Este sistema también incluirá una interfaz específica para el alguacilazgo, lo que se espera que agilice el diligenciamiento de las órdenes de protección.   </w:t>
      </w:r>
    </w:p>
    <w:p w14:paraId="755E6784" w14:textId="77777777" w:rsidR="00447A62" w:rsidRPr="00447A62" w:rsidRDefault="00447A62" w:rsidP="00FE6D61">
      <w:pPr>
        <w:tabs>
          <w:tab w:val="left" w:pos="-720"/>
        </w:tabs>
        <w:suppressAutoHyphens/>
        <w:spacing w:line="276" w:lineRule="auto"/>
        <w:ind w:firstLine="360"/>
        <w:jc w:val="both"/>
        <w:rPr>
          <w:rFonts w:ascii="Book Antiqua" w:hAnsi="Book Antiqua"/>
          <w:lang w:val="es-PR"/>
        </w:rPr>
      </w:pPr>
    </w:p>
    <w:p w14:paraId="41B6310F" w14:textId="2BA45488" w:rsidR="00447A62" w:rsidRPr="00AE24C0" w:rsidRDefault="00AE24C0" w:rsidP="00FE6D61">
      <w:pPr>
        <w:tabs>
          <w:tab w:val="left" w:pos="-720"/>
        </w:tabs>
        <w:suppressAutoHyphens/>
        <w:spacing w:line="276" w:lineRule="auto"/>
        <w:jc w:val="center"/>
        <w:rPr>
          <w:rFonts w:ascii="Book Antiqua" w:hAnsi="Book Antiqua"/>
          <w:b/>
          <w:bCs/>
          <w:lang w:val="es-PR"/>
        </w:rPr>
      </w:pPr>
      <w:r w:rsidRPr="00AE24C0">
        <w:rPr>
          <w:rFonts w:ascii="Book Antiqua" w:hAnsi="Book Antiqua"/>
          <w:b/>
          <w:bCs/>
          <w:lang w:val="es-PR"/>
        </w:rPr>
        <w:t>OFICINA DE LA PROCURADORA DE LAS MUJERES</w:t>
      </w:r>
    </w:p>
    <w:p w14:paraId="54CE8A36" w14:textId="77777777" w:rsidR="00447A62" w:rsidRPr="00447A62" w:rsidRDefault="00447A62" w:rsidP="00FE6D61">
      <w:pPr>
        <w:tabs>
          <w:tab w:val="left" w:pos="-720"/>
        </w:tabs>
        <w:suppressAutoHyphens/>
        <w:spacing w:line="276" w:lineRule="auto"/>
        <w:jc w:val="both"/>
        <w:rPr>
          <w:rFonts w:ascii="Book Antiqua" w:hAnsi="Book Antiqua"/>
          <w:lang w:val="es-PR"/>
        </w:rPr>
      </w:pPr>
    </w:p>
    <w:p w14:paraId="5A96BA43" w14:textId="524E493F" w:rsidR="00FF21EF" w:rsidRDefault="00AE24C0" w:rsidP="00FE6D61">
      <w:pPr>
        <w:tabs>
          <w:tab w:val="left" w:pos="-720"/>
        </w:tabs>
        <w:suppressAutoHyphens/>
        <w:spacing w:line="276" w:lineRule="auto"/>
        <w:jc w:val="both"/>
        <w:rPr>
          <w:rFonts w:ascii="Book Antiqua" w:hAnsi="Book Antiqua"/>
          <w:lang w:val="es-PR"/>
        </w:rPr>
      </w:pPr>
      <w:r>
        <w:rPr>
          <w:rFonts w:ascii="Book Antiqua" w:hAnsi="Book Antiqua"/>
          <w:lang w:val="es-PR"/>
        </w:rPr>
        <w:tab/>
      </w:r>
      <w:r w:rsidR="00447A62" w:rsidRPr="00447A62">
        <w:rPr>
          <w:rFonts w:ascii="Book Antiqua" w:hAnsi="Book Antiqua"/>
          <w:lang w:val="es-PR"/>
        </w:rPr>
        <w:t xml:space="preserve">La Oficina de la Procuradora de las Mujeres </w:t>
      </w:r>
      <w:r>
        <w:rPr>
          <w:rFonts w:ascii="Book Antiqua" w:hAnsi="Book Antiqua"/>
          <w:lang w:val="es-PR"/>
        </w:rPr>
        <w:t xml:space="preserve">(OPM) </w:t>
      </w:r>
      <w:r w:rsidR="00447A62" w:rsidRPr="00447A62">
        <w:rPr>
          <w:rFonts w:ascii="Book Antiqua" w:hAnsi="Book Antiqua"/>
          <w:lang w:val="es-PR"/>
        </w:rPr>
        <w:t>favoreció el P. del S. 86. Argumentó que la medida está alineada con la Ley 420-2000</w:t>
      </w:r>
      <w:r>
        <w:rPr>
          <w:rFonts w:ascii="Book Antiqua" w:hAnsi="Book Antiqua"/>
          <w:lang w:val="es-PR"/>
        </w:rPr>
        <w:t xml:space="preserve">, conocida como la </w:t>
      </w:r>
      <w:r w:rsidR="00447A62" w:rsidRPr="00447A62">
        <w:rPr>
          <w:rFonts w:ascii="Book Antiqua" w:hAnsi="Book Antiqua"/>
          <w:lang w:val="es-PR"/>
        </w:rPr>
        <w:t>Ley de Archivo Electrónico de Órdenes de Protección</w:t>
      </w:r>
      <w:r>
        <w:rPr>
          <w:rFonts w:ascii="Book Antiqua" w:hAnsi="Book Antiqua"/>
          <w:lang w:val="es-PR"/>
        </w:rPr>
        <w:t>,</w:t>
      </w:r>
      <w:r w:rsidR="00447A62" w:rsidRPr="00447A62">
        <w:rPr>
          <w:rFonts w:ascii="Book Antiqua" w:hAnsi="Book Antiqua"/>
          <w:lang w:val="es-PR"/>
        </w:rPr>
        <w:t xml:space="preserve"> y la creación del COPOP, que centraliza el procesamiento y diligenciamiento de órdenes. Reconoció que la notificación personal de órdenes de protección ha sido un desafío, con agencias careciendo de personal y recursos suficientes, lo que provoca dilaciones y pone en peligro a las víctimas. Apoyó el uso de métodos alternos de notificación, como la electrónica o por correo electrónico, como solución al problema, citando recomendaciones del </w:t>
      </w:r>
      <w:r w:rsidR="00447A62" w:rsidRPr="00490B9E">
        <w:rPr>
          <w:rFonts w:ascii="Book Antiqua" w:hAnsi="Book Antiqua"/>
          <w:i/>
          <w:iCs/>
          <w:lang w:val="es-PR"/>
        </w:rPr>
        <w:t>National Council of Juvenile and Family Court Justices</w:t>
      </w:r>
      <w:r w:rsidR="00447A62" w:rsidRPr="00447A62">
        <w:rPr>
          <w:rFonts w:ascii="Book Antiqua" w:hAnsi="Book Antiqua"/>
          <w:lang w:val="es-PR"/>
        </w:rPr>
        <w:t xml:space="preserve"> y la casuística del Tribunal Supremo de los Estados Unidos sobre el debido proceso</w:t>
      </w:r>
      <w:r w:rsidR="00490B9E">
        <w:rPr>
          <w:rFonts w:ascii="Book Antiqua" w:hAnsi="Book Antiqua"/>
          <w:lang w:val="es-PR"/>
        </w:rPr>
        <w:t xml:space="preserve"> de ley</w:t>
      </w:r>
      <w:r w:rsidR="00447A62" w:rsidRPr="00447A62">
        <w:rPr>
          <w:rFonts w:ascii="Book Antiqua" w:hAnsi="Book Antiqua"/>
          <w:lang w:val="es-PR"/>
        </w:rPr>
        <w:t xml:space="preserve">. Enfatizó la importancia de la tecnología en la vida cotidiana y su potencial para mejorar la </w:t>
      </w:r>
      <w:r w:rsidR="00447A62" w:rsidRPr="00447A62">
        <w:rPr>
          <w:rFonts w:ascii="Book Antiqua" w:hAnsi="Book Antiqua"/>
          <w:lang w:val="es-PR"/>
        </w:rPr>
        <w:lastRenderedPageBreak/>
        <w:t>eficiencia del sistema judicial en estos casos. Recomendó solicitar comentarios al NPPR y al Departamento de Justicia.</w:t>
      </w:r>
      <w:r w:rsidR="009F524F">
        <w:rPr>
          <w:rFonts w:ascii="Book Antiqua" w:hAnsi="Book Antiqua"/>
          <w:lang w:val="es-PR"/>
        </w:rPr>
        <w:tab/>
      </w:r>
    </w:p>
    <w:p w14:paraId="35931FC5" w14:textId="77777777" w:rsidR="00940E84" w:rsidRDefault="00940E84" w:rsidP="00FE6D61">
      <w:pPr>
        <w:tabs>
          <w:tab w:val="left" w:pos="-720"/>
        </w:tabs>
        <w:suppressAutoHyphens/>
        <w:spacing w:line="276" w:lineRule="auto"/>
        <w:jc w:val="both"/>
        <w:rPr>
          <w:rFonts w:ascii="Book Antiqua" w:hAnsi="Book Antiqua"/>
          <w:lang w:val="es-PR"/>
        </w:rPr>
      </w:pPr>
    </w:p>
    <w:p w14:paraId="302CAC3A" w14:textId="25887682" w:rsidR="00D13D23" w:rsidRDefault="0096171F" w:rsidP="00FE6D61">
      <w:pPr>
        <w:tabs>
          <w:tab w:val="left" w:pos="-720"/>
        </w:tabs>
        <w:suppressAutoHyphens/>
        <w:spacing w:line="276" w:lineRule="auto"/>
        <w:ind w:firstLine="360"/>
        <w:jc w:val="center"/>
        <w:rPr>
          <w:rFonts w:ascii="Book Antiqua" w:hAnsi="Book Antiqua"/>
          <w:b/>
          <w:bCs/>
          <w:lang w:val="es-PR"/>
        </w:rPr>
      </w:pPr>
      <w:r w:rsidRPr="00D13D23">
        <w:rPr>
          <w:rFonts w:ascii="Book Antiqua" w:hAnsi="Book Antiqua"/>
          <w:b/>
          <w:bCs/>
          <w:lang w:val="es-PR"/>
        </w:rPr>
        <w:t>I</w:t>
      </w:r>
      <w:r w:rsidR="002C402D" w:rsidRPr="00D13D23">
        <w:rPr>
          <w:rFonts w:ascii="Book Antiqua" w:hAnsi="Book Antiqua"/>
          <w:b/>
          <w:bCs/>
          <w:lang w:val="es-PR"/>
        </w:rPr>
        <w:t>MPACTO FISCAL</w:t>
      </w:r>
      <w:r w:rsidR="00D13D23">
        <w:rPr>
          <w:rFonts w:ascii="Book Antiqua" w:hAnsi="Book Antiqua"/>
          <w:b/>
          <w:bCs/>
          <w:lang w:val="es-PR"/>
        </w:rPr>
        <w:t xml:space="preserve"> MUNICIPAL </w:t>
      </w:r>
    </w:p>
    <w:p w14:paraId="144378DC" w14:textId="77777777" w:rsidR="000C52A1" w:rsidRDefault="000C52A1" w:rsidP="00FE6D61">
      <w:pPr>
        <w:tabs>
          <w:tab w:val="left" w:pos="-720"/>
        </w:tabs>
        <w:suppressAutoHyphens/>
        <w:spacing w:line="276" w:lineRule="auto"/>
        <w:ind w:firstLine="360"/>
        <w:jc w:val="center"/>
        <w:rPr>
          <w:rFonts w:ascii="Book Antiqua" w:hAnsi="Book Antiqua"/>
          <w:b/>
          <w:bCs/>
          <w:lang w:val="es-PR"/>
        </w:rPr>
      </w:pPr>
    </w:p>
    <w:p w14:paraId="3CD7EB56" w14:textId="20852E90" w:rsidR="002C402D" w:rsidRPr="00DF45DC" w:rsidRDefault="004F6E72" w:rsidP="00FE6D61">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D13D23" w:rsidRPr="00DF45DC">
        <w:rPr>
          <w:rFonts w:ascii="Book Antiqua" w:hAnsi="Book Antiqua"/>
          <w:lang w:val="es-PR"/>
        </w:rPr>
        <w:t xml:space="preserve">En cumplimiento con el Artículo 1.007 de la Ley Núm. 107–2020, según enmendada, conocida como “Código Municipal de Puerto Rico”, la </w:t>
      </w:r>
      <w:r w:rsidR="00BE6740">
        <w:rPr>
          <w:rFonts w:ascii="Book Antiqua" w:hAnsi="Book Antiqua"/>
          <w:spacing w:val="-3"/>
          <w:lang w:val="es-ES_tradnl"/>
        </w:rPr>
        <w:t>Comisión de lo Jurídico del Senado de Puerto Rico</w:t>
      </w:r>
      <w:r w:rsidR="00BE6740" w:rsidRPr="00337BB7">
        <w:rPr>
          <w:rFonts w:ascii="Book Antiqua" w:hAnsi="Book Antiqua"/>
          <w:lang w:val="es-PR"/>
        </w:rPr>
        <w:t xml:space="preserve"> </w:t>
      </w:r>
      <w:r w:rsidRPr="00337BB7">
        <w:rPr>
          <w:rFonts w:ascii="Book Antiqua" w:hAnsi="Book Antiqua"/>
          <w:lang w:val="es-PR"/>
        </w:rPr>
        <w:t xml:space="preserve">certifica que el </w:t>
      </w:r>
      <w:r w:rsidR="00201567" w:rsidRPr="00337BB7">
        <w:rPr>
          <w:rFonts w:ascii="Book Antiqua" w:hAnsi="Book Antiqua"/>
          <w:lang w:val="es-PR"/>
        </w:rPr>
        <w:t xml:space="preserve">P. del S. </w:t>
      </w:r>
      <w:r w:rsidR="00490B9E">
        <w:rPr>
          <w:rFonts w:ascii="Book Antiqua" w:hAnsi="Book Antiqua"/>
          <w:lang w:val="es-PR"/>
        </w:rPr>
        <w:t>86</w:t>
      </w:r>
      <w:r w:rsidR="00201567">
        <w:rPr>
          <w:rFonts w:ascii="Book Antiqua" w:hAnsi="Book Antiqua"/>
          <w:lang w:val="es-PR"/>
        </w:rPr>
        <w:t xml:space="preserve"> </w:t>
      </w:r>
      <w:r w:rsidR="00D13D23" w:rsidRPr="00DF45DC">
        <w:rPr>
          <w:rFonts w:ascii="Book Antiqua" w:hAnsi="Book Antiqua"/>
          <w:lang w:val="es-PR"/>
        </w:rPr>
        <w:t>no impone una obligación económica en el presupuesto</w:t>
      </w:r>
      <w:r w:rsidR="00946BB4" w:rsidRPr="00DF45DC">
        <w:rPr>
          <w:rFonts w:ascii="Book Antiqua" w:hAnsi="Book Antiqua"/>
          <w:lang w:val="es-PR"/>
        </w:rPr>
        <w:t xml:space="preserve"> de los gobiernos municipales. </w:t>
      </w:r>
    </w:p>
    <w:p w14:paraId="426C19E9" w14:textId="77777777" w:rsidR="00946BB4" w:rsidRPr="00946BB4" w:rsidRDefault="00946BB4" w:rsidP="00FE6D61">
      <w:pPr>
        <w:tabs>
          <w:tab w:val="left" w:pos="-720"/>
        </w:tabs>
        <w:suppressAutoHyphens/>
        <w:spacing w:line="276" w:lineRule="auto"/>
        <w:ind w:firstLine="360"/>
        <w:jc w:val="both"/>
        <w:rPr>
          <w:rFonts w:ascii="Book Antiqua" w:hAnsi="Book Antiqua"/>
          <w:lang w:val="es-PR"/>
        </w:rPr>
      </w:pPr>
    </w:p>
    <w:p w14:paraId="482AC70D" w14:textId="77777777" w:rsidR="0096171F" w:rsidRDefault="0096171F" w:rsidP="00FE6D61">
      <w:pPr>
        <w:tabs>
          <w:tab w:val="left" w:pos="-720"/>
        </w:tabs>
        <w:suppressAutoHyphens/>
        <w:spacing w:line="276" w:lineRule="auto"/>
        <w:ind w:firstLine="360"/>
        <w:jc w:val="center"/>
        <w:rPr>
          <w:rFonts w:ascii="Book Antiqua" w:hAnsi="Book Antiqua"/>
          <w:b/>
          <w:bCs/>
          <w:lang w:val="es-PR"/>
        </w:rPr>
      </w:pPr>
      <w:r w:rsidRPr="002C402D">
        <w:rPr>
          <w:rFonts w:ascii="Book Antiqua" w:hAnsi="Book Antiqua"/>
          <w:b/>
          <w:bCs/>
          <w:lang w:val="es-PR"/>
        </w:rPr>
        <w:t>C</w:t>
      </w:r>
      <w:r w:rsidR="002C402D" w:rsidRPr="002C402D">
        <w:rPr>
          <w:rFonts w:ascii="Book Antiqua" w:hAnsi="Book Antiqua"/>
          <w:b/>
          <w:bCs/>
          <w:lang w:val="es-PR"/>
        </w:rPr>
        <w:t xml:space="preserve">ONCLUSIÓN </w:t>
      </w:r>
    </w:p>
    <w:p w14:paraId="040801D3" w14:textId="77777777" w:rsidR="000C52A1" w:rsidRPr="002C402D" w:rsidRDefault="000C52A1" w:rsidP="00FE6D61">
      <w:pPr>
        <w:tabs>
          <w:tab w:val="left" w:pos="-720"/>
        </w:tabs>
        <w:suppressAutoHyphens/>
        <w:spacing w:line="276" w:lineRule="auto"/>
        <w:ind w:firstLine="360"/>
        <w:jc w:val="center"/>
        <w:rPr>
          <w:rFonts w:ascii="Book Antiqua" w:hAnsi="Book Antiqua"/>
          <w:b/>
          <w:bCs/>
          <w:lang w:val="es-PR"/>
        </w:rPr>
      </w:pPr>
    </w:p>
    <w:p w14:paraId="2D81B2DA" w14:textId="3416FB6F" w:rsidR="000B071A" w:rsidRDefault="00006DDC" w:rsidP="00FE6D61">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Pr="00DF45DC">
        <w:rPr>
          <w:rFonts w:ascii="Book Antiqua" w:hAnsi="Book Antiqua"/>
          <w:lang w:val="es-PR"/>
        </w:rPr>
        <w:t xml:space="preserve">La </w:t>
      </w:r>
      <w:r w:rsidR="00F86C0C">
        <w:rPr>
          <w:rFonts w:ascii="Book Antiqua" w:hAnsi="Book Antiqua"/>
          <w:spacing w:val="-3"/>
          <w:lang w:val="es-ES_tradnl"/>
        </w:rPr>
        <w:t>Comisión de lo Jurídico del Senado de Puerto Rico</w:t>
      </w:r>
      <w:r w:rsidR="006C283C">
        <w:rPr>
          <w:rFonts w:ascii="Book Antiqua" w:hAnsi="Book Antiqua"/>
          <w:lang w:val="es-PR"/>
        </w:rPr>
        <w:t xml:space="preserve"> </w:t>
      </w:r>
      <w:r w:rsidR="004F6E72" w:rsidRPr="00337BB7">
        <w:rPr>
          <w:rFonts w:ascii="Book Antiqua" w:hAnsi="Book Antiqua"/>
          <w:lang w:val="es-PR"/>
        </w:rPr>
        <w:t xml:space="preserve">efectuó un análisis minucioso </w:t>
      </w:r>
      <w:r w:rsidR="00201567">
        <w:rPr>
          <w:rFonts w:ascii="Book Antiqua" w:hAnsi="Book Antiqua"/>
          <w:lang w:val="es-PR"/>
        </w:rPr>
        <w:t xml:space="preserve">del </w:t>
      </w:r>
      <w:r w:rsidR="00201567" w:rsidRPr="00337BB7">
        <w:rPr>
          <w:rFonts w:ascii="Book Antiqua" w:hAnsi="Book Antiqua"/>
          <w:lang w:val="es-PR"/>
        </w:rPr>
        <w:t xml:space="preserve">P. del S. </w:t>
      </w:r>
      <w:r w:rsidR="005132AF">
        <w:rPr>
          <w:rFonts w:ascii="Book Antiqua" w:hAnsi="Book Antiqua"/>
          <w:lang w:val="es-PR"/>
        </w:rPr>
        <w:t>86,</w:t>
      </w:r>
      <w:r w:rsidR="00B702A0">
        <w:rPr>
          <w:rFonts w:ascii="Book Antiqua" w:hAnsi="Book Antiqua"/>
          <w:lang w:val="es-PR"/>
        </w:rPr>
        <w:t xml:space="preserve"> según fue referid</w:t>
      </w:r>
      <w:r w:rsidR="00201567">
        <w:rPr>
          <w:rFonts w:ascii="Book Antiqua" w:hAnsi="Book Antiqua"/>
          <w:lang w:val="es-PR"/>
        </w:rPr>
        <w:t>o</w:t>
      </w:r>
      <w:r w:rsidR="001D12A7">
        <w:rPr>
          <w:rFonts w:ascii="Book Antiqua" w:hAnsi="Book Antiqua"/>
          <w:lang w:val="es-PR"/>
        </w:rPr>
        <w:t>,</w:t>
      </w:r>
      <w:r w:rsidR="00B702A0">
        <w:rPr>
          <w:rFonts w:ascii="Book Antiqua" w:hAnsi="Book Antiqua"/>
          <w:lang w:val="es-PR"/>
        </w:rPr>
        <w:t xml:space="preserve"> también analiz</w:t>
      </w:r>
      <w:r w:rsidR="005354C6">
        <w:rPr>
          <w:rFonts w:ascii="Book Antiqua" w:hAnsi="Book Antiqua"/>
          <w:lang w:val="es-PR"/>
        </w:rPr>
        <w:t>ó</w:t>
      </w:r>
      <w:r w:rsidR="00B702A0">
        <w:rPr>
          <w:rFonts w:ascii="Book Antiqua" w:hAnsi="Book Antiqua"/>
          <w:lang w:val="es-PR"/>
        </w:rPr>
        <w:t xml:space="preserve"> </w:t>
      </w:r>
      <w:r w:rsidR="008000CB" w:rsidRPr="003B0328">
        <w:rPr>
          <w:rFonts w:ascii="Book Antiqua" w:hAnsi="Book Antiqua"/>
          <w:color w:val="000000"/>
          <w:szCs w:val="24"/>
          <w:shd w:val="clear" w:color="auto" w:fill="FFFFFF"/>
          <w:lang w:val="es-PR"/>
        </w:rPr>
        <w:t>Ley Núm. 54 de 15 de agosto de 1989, según enmendada, conocida como “Ley de Prevención e Intervención con la Violencia Doméstica”</w:t>
      </w:r>
      <w:r w:rsidR="008000CB">
        <w:rPr>
          <w:rFonts w:ascii="Book Antiqua" w:hAnsi="Book Antiqua"/>
          <w:color w:val="000000"/>
          <w:szCs w:val="24"/>
          <w:shd w:val="clear" w:color="auto" w:fill="FFFFFF"/>
          <w:lang w:val="es-PR"/>
        </w:rPr>
        <w:t xml:space="preserve">, y ponderó detenidamente las posturas y recomendaciones del </w:t>
      </w:r>
      <w:r w:rsidR="008000CB">
        <w:rPr>
          <w:rFonts w:ascii="Book Antiqua" w:hAnsi="Book Antiqua"/>
          <w:lang w:val="es-PR"/>
        </w:rPr>
        <w:t xml:space="preserve">Departamento de Justicia, </w:t>
      </w:r>
      <w:r w:rsidR="008000CB" w:rsidRPr="00447A62">
        <w:rPr>
          <w:rFonts w:ascii="Book Antiqua" w:hAnsi="Book Antiqua"/>
          <w:lang w:val="es-PR"/>
        </w:rPr>
        <w:t>Coordinadora Paz para las Mujeres (CPM)</w:t>
      </w:r>
      <w:r w:rsidR="008000CB">
        <w:rPr>
          <w:rFonts w:ascii="Book Antiqua" w:hAnsi="Book Antiqua"/>
          <w:lang w:val="es-PR"/>
        </w:rPr>
        <w:t xml:space="preserve">, </w:t>
      </w:r>
      <w:r w:rsidR="008000CB" w:rsidRPr="00447A62">
        <w:rPr>
          <w:rFonts w:ascii="Book Antiqua" w:hAnsi="Book Antiqua"/>
          <w:lang w:val="es-PR"/>
        </w:rPr>
        <w:t>Colegio de Profesionales del Trabajo Social de Puerto Rico (CPTSPR)</w:t>
      </w:r>
      <w:r w:rsidR="008000CB">
        <w:rPr>
          <w:rFonts w:ascii="Book Antiqua" w:hAnsi="Book Antiqua"/>
          <w:lang w:val="es-PR"/>
        </w:rPr>
        <w:t>,</w:t>
      </w:r>
      <w:r w:rsidR="008000CB" w:rsidRPr="00447A62">
        <w:rPr>
          <w:rFonts w:ascii="Book Antiqua" w:hAnsi="Book Antiqua"/>
          <w:lang w:val="es-PR"/>
        </w:rPr>
        <w:t> Departamento de Seguridad Pública (DSP</w:t>
      </w:r>
      <w:r w:rsidR="008000CB">
        <w:rPr>
          <w:rFonts w:ascii="Book Antiqua" w:hAnsi="Book Antiqua"/>
          <w:lang w:val="es-PR"/>
        </w:rPr>
        <w:t xml:space="preserve">), </w:t>
      </w:r>
      <w:r w:rsidR="008000CB" w:rsidRPr="00447A62">
        <w:rPr>
          <w:rFonts w:ascii="Book Antiqua" w:hAnsi="Book Antiqua"/>
          <w:lang w:val="es-PR"/>
        </w:rPr>
        <w:t>Departamento de la Familia (DF)</w:t>
      </w:r>
      <w:r w:rsidR="008000CB">
        <w:rPr>
          <w:rFonts w:ascii="Book Antiqua" w:hAnsi="Book Antiqua"/>
          <w:lang w:val="es-PR"/>
        </w:rPr>
        <w:t xml:space="preserve">, </w:t>
      </w:r>
      <w:r w:rsidR="008000CB" w:rsidRPr="00447A62">
        <w:rPr>
          <w:rFonts w:ascii="Book Antiqua" w:hAnsi="Book Antiqua"/>
          <w:lang w:val="es-PR"/>
        </w:rPr>
        <w:t>Oficina de Administración de los Tribunales (OAT)</w:t>
      </w:r>
      <w:r w:rsidR="008000CB">
        <w:rPr>
          <w:rFonts w:ascii="Book Antiqua" w:hAnsi="Book Antiqua"/>
          <w:lang w:val="es-PR"/>
        </w:rPr>
        <w:t xml:space="preserve"> y de la </w:t>
      </w:r>
      <w:r w:rsidR="008000CB" w:rsidRPr="00447A62">
        <w:rPr>
          <w:rFonts w:ascii="Book Antiqua" w:hAnsi="Book Antiqua"/>
          <w:lang w:val="es-PR"/>
        </w:rPr>
        <w:t>Oficina de la Procuradora de las Mujeres (OPM)</w:t>
      </w:r>
      <w:r w:rsidR="008000CB">
        <w:rPr>
          <w:rFonts w:ascii="Book Antiqua" w:hAnsi="Book Antiqua"/>
          <w:lang w:val="es-PR"/>
        </w:rPr>
        <w:t xml:space="preserve">. </w:t>
      </w:r>
    </w:p>
    <w:p w14:paraId="338C984B" w14:textId="31EB4626" w:rsidR="008E088D" w:rsidRDefault="00516433" w:rsidP="00FE6D61">
      <w:pPr>
        <w:tabs>
          <w:tab w:val="left" w:pos="-720"/>
        </w:tabs>
        <w:suppressAutoHyphens/>
        <w:spacing w:line="276" w:lineRule="auto"/>
        <w:jc w:val="both"/>
        <w:rPr>
          <w:rFonts w:ascii="Book Antiqua" w:hAnsi="Book Antiqua"/>
          <w:lang w:val="es-PR"/>
        </w:rPr>
      </w:pPr>
      <w:r>
        <w:rPr>
          <w:rFonts w:ascii="Book Antiqua" w:hAnsi="Book Antiqua"/>
          <w:lang w:val="es-PR"/>
        </w:rPr>
        <w:tab/>
      </w:r>
      <w:r w:rsidR="000B071A">
        <w:rPr>
          <w:rFonts w:ascii="Book Antiqua" w:hAnsi="Book Antiqua"/>
          <w:lang w:val="es-PR"/>
        </w:rPr>
        <w:t xml:space="preserve">La </w:t>
      </w:r>
      <w:r w:rsidR="008F717C">
        <w:rPr>
          <w:rFonts w:ascii="Book Antiqua" w:hAnsi="Book Antiqua"/>
          <w:lang w:val="es-PR"/>
        </w:rPr>
        <w:t>Comisión</w:t>
      </w:r>
      <w:r w:rsidR="008F717C" w:rsidRPr="00337BB7">
        <w:rPr>
          <w:rFonts w:ascii="Book Antiqua" w:hAnsi="Book Antiqua"/>
          <w:lang w:val="es-PR"/>
        </w:rPr>
        <w:t xml:space="preserve"> </w:t>
      </w:r>
      <w:r w:rsidR="000B071A">
        <w:rPr>
          <w:rFonts w:ascii="Book Antiqua" w:hAnsi="Book Antiqua"/>
          <w:spacing w:val="-3"/>
          <w:lang w:val="es-ES_tradnl"/>
        </w:rPr>
        <w:t xml:space="preserve">de lo Jurídico </w:t>
      </w:r>
      <w:r w:rsidR="00552B8A" w:rsidRPr="00337BB7">
        <w:rPr>
          <w:rFonts w:ascii="Book Antiqua" w:hAnsi="Book Antiqua"/>
          <w:lang w:val="es-PR"/>
        </w:rPr>
        <w:t>coincide en que</w:t>
      </w:r>
      <w:r w:rsidR="008E088D">
        <w:rPr>
          <w:rFonts w:ascii="Book Antiqua" w:hAnsi="Book Antiqua"/>
          <w:lang w:val="es-PR"/>
        </w:rPr>
        <w:t xml:space="preserve"> </w:t>
      </w:r>
      <w:r w:rsidR="003C19F2">
        <w:rPr>
          <w:rFonts w:ascii="Book Antiqua" w:hAnsi="Book Antiqua"/>
          <w:lang w:val="es-PR"/>
        </w:rPr>
        <w:t>las</w:t>
      </w:r>
      <w:r w:rsidR="008E088D" w:rsidRPr="00447A62">
        <w:rPr>
          <w:rFonts w:ascii="Book Antiqua" w:hAnsi="Book Antiqua"/>
          <w:lang w:val="es-PR"/>
        </w:rPr>
        <w:t xml:space="preserve"> enmiendas </w:t>
      </w:r>
      <w:r w:rsidR="003C19F2">
        <w:rPr>
          <w:rFonts w:ascii="Book Antiqua" w:hAnsi="Book Antiqua"/>
          <w:lang w:val="es-PR"/>
        </w:rPr>
        <w:t xml:space="preserve">introducidas por el P. del S. </w:t>
      </w:r>
      <w:r>
        <w:rPr>
          <w:rFonts w:ascii="Book Antiqua" w:hAnsi="Book Antiqua"/>
          <w:lang w:val="es-PR"/>
        </w:rPr>
        <w:t xml:space="preserve">86 </w:t>
      </w:r>
      <w:r w:rsidR="008E088D" w:rsidRPr="00447A62">
        <w:rPr>
          <w:rFonts w:ascii="Book Antiqua" w:hAnsi="Book Antiqua"/>
          <w:lang w:val="es-PR"/>
        </w:rPr>
        <w:t xml:space="preserve">son </w:t>
      </w:r>
      <w:r w:rsidR="007B73FF">
        <w:rPr>
          <w:rFonts w:ascii="Book Antiqua" w:hAnsi="Book Antiqua"/>
          <w:lang w:val="es-PR"/>
        </w:rPr>
        <w:t>pausibles</w:t>
      </w:r>
      <w:r w:rsidR="008E088D" w:rsidRPr="00447A62">
        <w:rPr>
          <w:rFonts w:ascii="Book Antiqua" w:hAnsi="Book Antiqua"/>
          <w:lang w:val="es-PR"/>
        </w:rPr>
        <w:t xml:space="preserve"> </w:t>
      </w:r>
      <w:r w:rsidR="007B73FF">
        <w:rPr>
          <w:rFonts w:ascii="Book Antiqua" w:hAnsi="Book Antiqua"/>
          <w:lang w:val="es-PR"/>
        </w:rPr>
        <w:t>y buscan</w:t>
      </w:r>
      <w:r w:rsidR="008E088D" w:rsidRPr="00447A62">
        <w:rPr>
          <w:rFonts w:ascii="Book Antiqua" w:hAnsi="Book Antiqua"/>
          <w:lang w:val="es-PR"/>
        </w:rPr>
        <w:t xml:space="preserve"> modernizar el proceso de notificación</w:t>
      </w:r>
      <w:r>
        <w:rPr>
          <w:rFonts w:ascii="Book Antiqua" w:hAnsi="Book Antiqua"/>
          <w:lang w:val="es-PR"/>
        </w:rPr>
        <w:t xml:space="preserve"> en los casos instados al amparo de la Ley 54</w:t>
      </w:r>
      <w:r w:rsidR="008E088D" w:rsidRPr="00447A62">
        <w:rPr>
          <w:rFonts w:ascii="Book Antiqua" w:hAnsi="Book Antiqua"/>
          <w:lang w:val="es-PR"/>
        </w:rPr>
        <w:t xml:space="preserve">. La obligación de proveer información de contacto actualizada y la aceptación de la certificación electrónica del diligenciamiento agilizarán significativamente los trámites, reduciendo el doble esfuerzo y el agotamiento de recursos públicos que el proponente de la medida busca subsanar. El Departamento de Justicia, aunque sugiere aclaraciones, no tiene objeción legal a estas disposiciones, reconociendo su consonancia con la política pública de la Ley 54. La Coordinadora Paz para las Mujeres y la Oficina de la Procuradora de las Mujeres también apoyan el uso de la tecnología para simplificar el proceso y fortalecer la colaboración </w:t>
      </w:r>
      <w:r>
        <w:rPr>
          <w:rFonts w:ascii="Book Antiqua" w:hAnsi="Book Antiqua"/>
          <w:lang w:val="es-PR"/>
        </w:rPr>
        <w:t>interagencial</w:t>
      </w:r>
      <w:r w:rsidR="008E088D" w:rsidRPr="00447A62">
        <w:rPr>
          <w:rFonts w:ascii="Book Antiqua" w:hAnsi="Book Antiqua"/>
          <w:lang w:val="es-PR"/>
        </w:rPr>
        <w:t>.</w:t>
      </w:r>
    </w:p>
    <w:p w14:paraId="4BC6F004" w14:textId="2C402AA7" w:rsidR="00D423F2" w:rsidRDefault="003C19F2" w:rsidP="00FE6D61">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t>En cuanto a la</w:t>
      </w:r>
      <w:r w:rsidR="00D423F2">
        <w:rPr>
          <w:rFonts w:ascii="Book Antiqua" w:hAnsi="Book Antiqua"/>
          <w:lang w:val="es-PR"/>
        </w:rPr>
        <w:t>s</w:t>
      </w:r>
      <w:r>
        <w:rPr>
          <w:rFonts w:ascii="Book Antiqua" w:hAnsi="Book Antiqua"/>
          <w:lang w:val="es-PR"/>
        </w:rPr>
        <w:t xml:space="preserve"> enmienda</w:t>
      </w:r>
      <w:r w:rsidR="00D423F2">
        <w:rPr>
          <w:rFonts w:ascii="Book Antiqua" w:hAnsi="Book Antiqua"/>
          <w:lang w:val="es-PR"/>
        </w:rPr>
        <w:t>s</w:t>
      </w:r>
      <w:r>
        <w:rPr>
          <w:rFonts w:ascii="Book Antiqua" w:hAnsi="Book Antiqua"/>
          <w:lang w:val="es-PR"/>
        </w:rPr>
        <w:t xml:space="preserve"> </w:t>
      </w:r>
      <w:r w:rsidR="00D423F2">
        <w:rPr>
          <w:rFonts w:ascii="Book Antiqua" w:hAnsi="Book Antiqua"/>
          <w:lang w:val="es-PR"/>
        </w:rPr>
        <w:t>a los</w:t>
      </w:r>
      <w:r>
        <w:rPr>
          <w:rFonts w:ascii="Book Antiqua" w:hAnsi="Book Antiqua"/>
          <w:lang w:val="es-PR"/>
        </w:rPr>
        <w:t xml:space="preserve"> Artículo</w:t>
      </w:r>
      <w:r w:rsidR="00D423F2">
        <w:rPr>
          <w:rFonts w:ascii="Book Antiqua" w:hAnsi="Book Antiqua"/>
          <w:lang w:val="es-PR"/>
        </w:rPr>
        <w:t>s</w:t>
      </w:r>
      <w:r>
        <w:rPr>
          <w:rFonts w:ascii="Book Antiqua" w:hAnsi="Book Antiqua"/>
          <w:lang w:val="es-PR"/>
        </w:rPr>
        <w:t xml:space="preserve"> 2.5 </w:t>
      </w:r>
      <w:r w:rsidR="00D423F2">
        <w:rPr>
          <w:rFonts w:ascii="Book Antiqua" w:hAnsi="Book Antiqua"/>
          <w:lang w:val="es-PR"/>
        </w:rPr>
        <w:t xml:space="preserve">y 2.7 </w:t>
      </w:r>
      <w:r>
        <w:rPr>
          <w:rFonts w:ascii="Book Antiqua" w:hAnsi="Book Antiqua"/>
          <w:lang w:val="es-PR"/>
        </w:rPr>
        <w:t xml:space="preserve">de la Ley 54, sobre órdenes </w:t>
      </w:r>
      <w:r w:rsidRPr="003C19F2">
        <w:rPr>
          <w:rFonts w:ascii="Book Antiqua" w:hAnsi="Book Antiqua"/>
          <w:i/>
          <w:iCs/>
          <w:lang w:val="es-PR"/>
        </w:rPr>
        <w:t>ex parte</w:t>
      </w:r>
      <w:r>
        <w:rPr>
          <w:rFonts w:ascii="Book Antiqua" w:hAnsi="Book Antiqua"/>
          <w:lang w:val="es-PR"/>
        </w:rPr>
        <w:t xml:space="preserve">, la Comisión concluye que </w:t>
      </w:r>
      <w:r w:rsidRPr="00447A62">
        <w:rPr>
          <w:rFonts w:ascii="Book Antiqua" w:hAnsi="Book Antiqua"/>
          <w:lang w:val="es-PR"/>
        </w:rPr>
        <w:t xml:space="preserve">es una mejora sustancial en la eficiencia procesal. Como señala el Departamento de Seguridad Pública, la notificación personal reiterada para las extensiones de órdenes genera un </w:t>
      </w:r>
      <w:r>
        <w:rPr>
          <w:rFonts w:ascii="Book Antiqua" w:hAnsi="Book Antiqua"/>
          <w:lang w:val="es-PR"/>
        </w:rPr>
        <w:t>“</w:t>
      </w:r>
      <w:r w:rsidRPr="00447A62">
        <w:rPr>
          <w:rFonts w:ascii="Book Antiqua" w:hAnsi="Book Antiqua"/>
          <w:lang w:val="es-PR"/>
        </w:rPr>
        <w:t>doble esfuerzo</w:t>
      </w:r>
      <w:r>
        <w:rPr>
          <w:rFonts w:ascii="Book Antiqua" w:hAnsi="Book Antiqua"/>
          <w:lang w:val="es-PR"/>
        </w:rPr>
        <w:t>”</w:t>
      </w:r>
      <w:r w:rsidRPr="00447A62">
        <w:rPr>
          <w:rFonts w:ascii="Book Antiqua" w:hAnsi="Book Antiqua"/>
          <w:lang w:val="es-PR"/>
        </w:rPr>
        <w:t xml:space="preserve"> innecesario y puede poner en riesgo a la parte peticionaria. Al reconocer que la parte peticionada ya ha sido </w:t>
      </w:r>
      <w:r w:rsidRPr="00447A62">
        <w:rPr>
          <w:rFonts w:ascii="Book Antiqua" w:hAnsi="Book Antiqua"/>
          <w:lang w:val="es-PR"/>
        </w:rPr>
        <w:lastRenderedPageBreak/>
        <w:t>notificada de la existencia de la orden, se evita la duplicidad de esfuerzos y se agiliza la protección de la víctima. Las preocupaciones sobre el acceso a medios electrónicos para poblaciones vulnerables, planteadas por el Departamento de Justicia y el Colegio de Profesionales del Trabajo Social, pueden ser atendidas mediante la implementación de salvaguardas operacionales, como llamadas telefónicas de seguimiento para notificaciones electrónicas, sin menoscabar el principio de agilización que la medida persigue.</w:t>
      </w:r>
      <w:r w:rsidR="00D423F2">
        <w:rPr>
          <w:rFonts w:ascii="Book Antiqua" w:hAnsi="Book Antiqua"/>
          <w:lang w:val="es-PR"/>
        </w:rPr>
        <w:t xml:space="preserve"> Somos de la opinión de que e</w:t>
      </w:r>
      <w:r w:rsidR="00D423F2" w:rsidRPr="00447A62">
        <w:rPr>
          <w:rFonts w:ascii="Book Antiqua" w:hAnsi="Book Antiqua"/>
          <w:lang w:val="es-PR"/>
        </w:rPr>
        <w:t>sta</w:t>
      </w:r>
      <w:r w:rsidR="00D423F2">
        <w:rPr>
          <w:rFonts w:ascii="Book Antiqua" w:hAnsi="Book Antiqua"/>
          <w:lang w:val="es-PR"/>
        </w:rPr>
        <w:t xml:space="preserve">s </w:t>
      </w:r>
      <w:r w:rsidR="00D423F2" w:rsidRPr="00447A62">
        <w:rPr>
          <w:rFonts w:ascii="Book Antiqua" w:hAnsi="Book Antiqua"/>
          <w:lang w:val="es-PR"/>
        </w:rPr>
        <w:t>enmienda</w:t>
      </w:r>
      <w:r w:rsidR="00D423F2">
        <w:rPr>
          <w:rFonts w:ascii="Book Antiqua" w:hAnsi="Book Antiqua"/>
          <w:lang w:val="es-PR"/>
        </w:rPr>
        <w:t>s</w:t>
      </w:r>
      <w:r w:rsidR="00D423F2" w:rsidRPr="00447A62">
        <w:rPr>
          <w:rFonts w:ascii="Book Antiqua" w:hAnsi="Book Antiqua"/>
          <w:lang w:val="es-PR"/>
        </w:rPr>
        <w:t xml:space="preserve"> refuerza</w:t>
      </w:r>
      <w:r w:rsidR="00D423F2">
        <w:rPr>
          <w:rFonts w:ascii="Book Antiqua" w:hAnsi="Book Antiqua"/>
          <w:lang w:val="es-PR"/>
        </w:rPr>
        <w:t>n</w:t>
      </w:r>
      <w:r w:rsidR="00D423F2" w:rsidRPr="00447A62">
        <w:rPr>
          <w:rFonts w:ascii="Book Antiqua" w:hAnsi="Book Antiqua"/>
          <w:lang w:val="es-PR"/>
        </w:rPr>
        <w:t xml:space="preserve"> la seguridad de las víctimas al garantizar que sean informadas rápidamente sobre el diligenciamiento de la orden, lo que les permite tomar medidas de seguridad adicionales. La integración del registro en COPOP asegura que esta información crucial esté disponible en tiempo real para las agencias </w:t>
      </w:r>
      <w:r w:rsidR="00D423F2">
        <w:rPr>
          <w:rFonts w:ascii="Book Antiqua" w:hAnsi="Book Antiqua"/>
          <w:lang w:val="es-PR"/>
        </w:rPr>
        <w:t>encargadas de la</w:t>
      </w:r>
      <w:r w:rsidR="00D423F2" w:rsidRPr="00447A62">
        <w:rPr>
          <w:rFonts w:ascii="Book Antiqua" w:hAnsi="Book Antiqua"/>
          <w:lang w:val="es-PR"/>
        </w:rPr>
        <w:t xml:space="preserve"> seguridad. La medida, al codificar estas prácticas, proporciona un marco legal claro y uniforme para la notificación a las víctimas y la coordinación entre las agencias, lo cual es vital para la protección efectiva</w:t>
      </w:r>
      <w:r w:rsidR="00D423F2">
        <w:rPr>
          <w:rFonts w:ascii="Book Antiqua" w:hAnsi="Book Antiqua"/>
          <w:lang w:val="es-PR"/>
        </w:rPr>
        <w:t xml:space="preserve"> de las víctima de violencia doméstica</w:t>
      </w:r>
      <w:r w:rsidR="00D423F2" w:rsidRPr="00447A62">
        <w:rPr>
          <w:rFonts w:ascii="Book Antiqua" w:hAnsi="Book Antiqua"/>
          <w:lang w:val="es-PR"/>
        </w:rPr>
        <w:t>.</w:t>
      </w:r>
    </w:p>
    <w:p w14:paraId="1463E6FC" w14:textId="7CCFE1F6" w:rsidR="00AE24C0" w:rsidRPr="00447A62" w:rsidRDefault="00AE24C0" w:rsidP="00FE6D61">
      <w:pPr>
        <w:tabs>
          <w:tab w:val="left" w:pos="-720"/>
        </w:tabs>
        <w:suppressAutoHyphens/>
        <w:spacing w:line="276" w:lineRule="auto"/>
        <w:jc w:val="both"/>
        <w:rPr>
          <w:rFonts w:ascii="Book Antiqua" w:hAnsi="Book Antiqua"/>
          <w:lang w:val="es-PR"/>
        </w:rPr>
      </w:pPr>
      <w:r>
        <w:rPr>
          <w:rFonts w:ascii="Book Antiqua" w:hAnsi="Book Antiqua"/>
          <w:lang w:val="es-PR"/>
        </w:rPr>
        <w:tab/>
        <w:t>En relación con las objeciones vertidas por la OAT la Comisión concluye que e</w:t>
      </w:r>
      <w:r w:rsidRPr="00447A62">
        <w:rPr>
          <w:rFonts w:ascii="Book Antiqua" w:hAnsi="Book Antiqua"/>
          <w:lang w:val="es-PR"/>
        </w:rPr>
        <w:t>l P. del S. 86, lejos de ser redundante, prepara el terreno para la plena integración de sistemas como SUMAC municipal, asegurando que la Ley 54 esté atemperada a las futuras capacidades tecnológicas del Poder Judicial. Al establecer la base legal para la notificación electrónica y la gestión de información de contacto, la medida facilita una transición fluida hacia un sistema judicial más digitalizado</w:t>
      </w:r>
      <w:r>
        <w:rPr>
          <w:rFonts w:ascii="Book Antiqua" w:hAnsi="Book Antiqua"/>
          <w:lang w:val="es-PR"/>
        </w:rPr>
        <w:t>, rápido</w:t>
      </w:r>
      <w:r w:rsidRPr="00447A62">
        <w:rPr>
          <w:rFonts w:ascii="Book Antiqua" w:hAnsi="Book Antiqua"/>
          <w:lang w:val="es-PR"/>
        </w:rPr>
        <w:t xml:space="preserve"> y eficiente.</w:t>
      </w:r>
    </w:p>
    <w:p w14:paraId="12984714" w14:textId="77777777" w:rsidR="000B071A" w:rsidRDefault="000B071A" w:rsidP="006D5838">
      <w:pPr>
        <w:tabs>
          <w:tab w:val="left" w:pos="-720"/>
        </w:tabs>
        <w:suppressAutoHyphens/>
        <w:ind w:firstLine="360"/>
        <w:jc w:val="both"/>
        <w:rPr>
          <w:rFonts w:ascii="Book Antiqua" w:hAnsi="Book Antiqua"/>
          <w:b/>
          <w:bCs/>
          <w:lang w:val="es-PR"/>
        </w:rPr>
      </w:pPr>
    </w:p>
    <w:p w14:paraId="7885E90D" w14:textId="22BE92E6" w:rsidR="00DF45DC" w:rsidRPr="00DF45DC" w:rsidRDefault="00695DFC" w:rsidP="00695DFC">
      <w:pPr>
        <w:tabs>
          <w:tab w:val="left" w:pos="-720"/>
        </w:tabs>
        <w:suppressAutoHyphens/>
        <w:spacing w:line="276" w:lineRule="auto"/>
        <w:jc w:val="both"/>
        <w:rPr>
          <w:rFonts w:ascii="Book Antiqua" w:hAnsi="Book Antiqua"/>
          <w:lang w:val="es-PR"/>
        </w:rPr>
      </w:pPr>
      <w:r>
        <w:rPr>
          <w:rFonts w:ascii="Book Antiqua" w:hAnsi="Book Antiqua"/>
          <w:b/>
          <w:bCs/>
          <w:lang w:val="es-PR"/>
        </w:rPr>
        <w:tab/>
      </w:r>
      <w:r w:rsidR="0096171F" w:rsidRPr="00337BB7">
        <w:rPr>
          <w:rFonts w:ascii="Book Antiqua" w:hAnsi="Book Antiqua"/>
          <w:b/>
          <w:bCs/>
          <w:lang w:val="es-PR"/>
        </w:rPr>
        <w:t>POR TODO LO ANTES EXPUESTO</w:t>
      </w:r>
      <w:r w:rsidR="0096171F" w:rsidRPr="00DF45DC">
        <w:rPr>
          <w:rFonts w:ascii="Book Antiqua" w:hAnsi="Book Antiqua"/>
          <w:lang w:val="es-PR"/>
        </w:rPr>
        <w:t xml:space="preserve">, la </w:t>
      </w:r>
      <w:r w:rsidR="001D12A7">
        <w:rPr>
          <w:rFonts w:ascii="Book Antiqua" w:hAnsi="Book Antiqua"/>
          <w:spacing w:val="-3"/>
          <w:lang w:val="es-ES_tradnl"/>
        </w:rPr>
        <w:t>Comisión de lo Jurídico del Senado de Puerto Rico</w:t>
      </w:r>
      <w:r w:rsidR="001D12A7">
        <w:rPr>
          <w:rFonts w:ascii="Book Antiqua" w:hAnsi="Book Antiqua"/>
          <w:lang w:val="es-PR"/>
        </w:rPr>
        <w:t xml:space="preserve"> </w:t>
      </w:r>
      <w:r w:rsidR="00006DDC" w:rsidRPr="00DF45DC">
        <w:rPr>
          <w:rFonts w:ascii="Book Antiqua" w:hAnsi="Book Antiqua"/>
          <w:lang w:val="es-PR"/>
        </w:rPr>
        <w:t xml:space="preserve">tiene a bien presentar ante este Alto Cuerpo el Informe Positivo sobre el </w:t>
      </w:r>
      <w:r w:rsidR="003B7AEC">
        <w:rPr>
          <w:rFonts w:ascii="Book Antiqua" w:hAnsi="Book Antiqua"/>
          <w:b/>
          <w:bCs/>
          <w:lang w:val="es-PR"/>
        </w:rPr>
        <w:t>Proyecto del Senado 86</w:t>
      </w:r>
      <w:r w:rsidR="00006DDC" w:rsidRPr="00DF45DC">
        <w:rPr>
          <w:rFonts w:ascii="Book Antiqua" w:hAnsi="Book Antiqua"/>
          <w:lang w:val="es-PR"/>
        </w:rPr>
        <w:t xml:space="preserve"> recomendando su </w:t>
      </w:r>
      <w:r w:rsidR="00006DDC" w:rsidRPr="003B7AEC">
        <w:rPr>
          <w:rFonts w:ascii="Book Antiqua" w:hAnsi="Book Antiqua"/>
          <w:b/>
          <w:bCs/>
          <w:lang w:val="es-PR"/>
        </w:rPr>
        <w:t>aprobación</w:t>
      </w:r>
      <w:r w:rsidR="00006DDC" w:rsidRPr="00DF45DC">
        <w:rPr>
          <w:rFonts w:ascii="Book Antiqua" w:hAnsi="Book Antiqua"/>
          <w:lang w:val="es-PR"/>
        </w:rPr>
        <w:t xml:space="preserve"> </w:t>
      </w:r>
      <w:r w:rsidR="00006DDC" w:rsidRPr="003B7AEC">
        <w:rPr>
          <w:rFonts w:ascii="Book Antiqua" w:hAnsi="Book Antiqua"/>
          <w:lang w:val="es-PR"/>
        </w:rPr>
        <w:t>con las enmiendas contenidas en el entirillado electrónico que se acompaña</w:t>
      </w:r>
      <w:r w:rsidR="003B7AEC" w:rsidRPr="003B7AEC">
        <w:rPr>
          <w:rFonts w:ascii="Book Antiqua" w:hAnsi="Book Antiqua"/>
          <w:lang w:val="es-PR"/>
        </w:rPr>
        <w:t>.</w:t>
      </w:r>
    </w:p>
    <w:p w14:paraId="02F3C812" w14:textId="77777777" w:rsidR="006861CE" w:rsidRDefault="006861CE" w:rsidP="00337BB7">
      <w:pPr>
        <w:tabs>
          <w:tab w:val="left" w:pos="-720"/>
        </w:tabs>
        <w:suppressAutoHyphens/>
        <w:spacing w:line="360" w:lineRule="auto"/>
        <w:rPr>
          <w:rFonts w:ascii="Book Antiqua" w:hAnsi="Book Antiqua"/>
          <w:lang w:val="es-PR"/>
        </w:rPr>
      </w:pPr>
    </w:p>
    <w:p w14:paraId="10325F5D" w14:textId="2225106C" w:rsidR="00006DDC" w:rsidRDefault="002C402D" w:rsidP="00337BB7">
      <w:pPr>
        <w:tabs>
          <w:tab w:val="left" w:pos="-720"/>
        </w:tabs>
        <w:suppressAutoHyphens/>
        <w:spacing w:line="360" w:lineRule="auto"/>
        <w:rPr>
          <w:rFonts w:ascii="Book Antiqua" w:hAnsi="Book Antiqua"/>
          <w:lang w:val="es-PR"/>
        </w:rPr>
      </w:pPr>
      <w:r>
        <w:rPr>
          <w:rFonts w:ascii="Book Antiqua" w:hAnsi="Book Antiqua"/>
          <w:lang w:val="es-PR"/>
        </w:rPr>
        <w:t xml:space="preserve">Respetuosamente sometido, </w:t>
      </w:r>
    </w:p>
    <w:p w14:paraId="2444C5B2" w14:textId="77777777" w:rsidR="00552B8A" w:rsidRDefault="00552B8A" w:rsidP="00970DEB">
      <w:pPr>
        <w:tabs>
          <w:tab w:val="left" w:pos="-720"/>
        </w:tabs>
        <w:suppressAutoHyphens/>
        <w:spacing w:line="360" w:lineRule="auto"/>
        <w:ind w:firstLine="360"/>
        <w:rPr>
          <w:rFonts w:ascii="Book Antiqua" w:hAnsi="Book Antiqua"/>
          <w:lang w:val="es-PR"/>
        </w:rPr>
      </w:pPr>
    </w:p>
    <w:p w14:paraId="0F282600" w14:textId="77777777" w:rsidR="00242E80" w:rsidRDefault="00242E80" w:rsidP="00EE4536">
      <w:pPr>
        <w:tabs>
          <w:tab w:val="left" w:pos="-720"/>
        </w:tabs>
        <w:suppressAutoHyphens/>
        <w:rPr>
          <w:rFonts w:ascii="Book Antiqua" w:hAnsi="Book Antiqua"/>
          <w:b/>
          <w:bCs/>
          <w:lang w:val="es-PR"/>
        </w:rPr>
      </w:pPr>
    </w:p>
    <w:p w14:paraId="6AE93B69" w14:textId="6641F2FE" w:rsidR="00AB2E69" w:rsidRPr="00D8699D" w:rsidRDefault="00D8699D" w:rsidP="00EE4536">
      <w:pPr>
        <w:tabs>
          <w:tab w:val="left" w:pos="-720"/>
        </w:tabs>
        <w:suppressAutoHyphens/>
        <w:rPr>
          <w:rFonts w:ascii="Book Antiqua" w:hAnsi="Book Antiqua"/>
          <w:b/>
          <w:bCs/>
          <w:lang w:val="es-PR"/>
        </w:rPr>
      </w:pPr>
      <w:r>
        <w:rPr>
          <w:rFonts w:ascii="Book Antiqua" w:hAnsi="Book Antiqua"/>
          <w:b/>
          <w:bCs/>
          <w:lang w:val="es-PR"/>
        </w:rPr>
        <w:t xml:space="preserve">Hon. </w:t>
      </w:r>
      <w:r w:rsidR="001D12A7">
        <w:rPr>
          <w:rFonts w:ascii="Book Antiqua" w:hAnsi="Book Antiqua"/>
          <w:b/>
          <w:bCs/>
          <w:lang w:val="es-PR"/>
        </w:rPr>
        <w:t>Ángel A. Toledo López</w:t>
      </w:r>
    </w:p>
    <w:p w14:paraId="1665555A" w14:textId="77777777" w:rsidR="004F6E72" w:rsidRDefault="00AB2E69" w:rsidP="00EE4536">
      <w:pPr>
        <w:tabs>
          <w:tab w:val="left" w:pos="-720"/>
        </w:tabs>
        <w:suppressAutoHyphens/>
        <w:rPr>
          <w:rFonts w:ascii="Book Antiqua" w:hAnsi="Book Antiqua"/>
          <w:lang w:val="es-PR"/>
        </w:rPr>
      </w:pPr>
      <w:r>
        <w:rPr>
          <w:rFonts w:ascii="Book Antiqua" w:hAnsi="Book Antiqua"/>
          <w:lang w:val="es-PR"/>
        </w:rPr>
        <w:t>Presidente</w:t>
      </w:r>
    </w:p>
    <w:p w14:paraId="3FF3D27A" w14:textId="77777777" w:rsidR="001D12A7" w:rsidRDefault="001D12A7" w:rsidP="001D12A7">
      <w:pPr>
        <w:tabs>
          <w:tab w:val="left" w:pos="-720"/>
        </w:tabs>
        <w:suppressAutoHyphens/>
        <w:rPr>
          <w:rFonts w:ascii="Book Antiqua" w:hAnsi="Book Antiqua"/>
          <w:spacing w:val="-3"/>
          <w:lang w:val="es-ES_tradnl"/>
        </w:rPr>
      </w:pPr>
      <w:r>
        <w:rPr>
          <w:rFonts w:ascii="Book Antiqua" w:hAnsi="Book Antiqua"/>
          <w:spacing w:val="-3"/>
          <w:lang w:val="es-ES_tradnl"/>
        </w:rPr>
        <w:t xml:space="preserve">Comisión de lo Jurídico </w:t>
      </w:r>
    </w:p>
    <w:p w14:paraId="7849A958" w14:textId="6C8137E5" w:rsidR="009F524F" w:rsidRDefault="001D12A7" w:rsidP="001D12A7">
      <w:pPr>
        <w:tabs>
          <w:tab w:val="left" w:pos="-720"/>
        </w:tabs>
        <w:suppressAutoHyphens/>
        <w:rPr>
          <w:rFonts w:ascii="Book Antiqua" w:hAnsi="Book Antiqua"/>
          <w:spacing w:val="-3"/>
          <w:lang w:val="es-ES_tradnl"/>
        </w:rPr>
      </w:pPr>
      <w:r>
        <w:rPr>
          <w:rFonts w:ascii="Book Antiqua" w:hAnsi="Book Antiqua"/>
          <w:spacing w:val="-3"/>
          <w:lang w:val="es-ES_tradnl"/>
        </w:rPr>
        <w:t>Senado de Puerto Rico</w:t>
      </w:r>
    </w:p>
    <w:p w14:paraId="13BD9EC9" w14:textId="77777777" w:rsidR="000B3411" w:rsidRPr="001D12A7" w:rsidRDefault="000B3411" w:rsidP="001D12A7">
      <w:pPr>
        <w:tabs>
          <w:tab w:val="left" w:pos="-720"/>
        </w:tabs>
        <w:suppressAutoHyphens/>
        <w:rPr>
          <w:rFonts w:ascii="Book Antiqua" w:hAnsi="Book Antiqua"/>
          <w:lang w:val="es-ES_tradnl"/>
        </w:rPr>
      </w:pPr>
    </w:p>
    <w:sectPr w:rsidR="000B3411" w:rsidRPr="001D12A7"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DDC03" w14:textId="77777777" w:rsidR="00B14832" w:rsidRDefault="00B14832">
      <w:r>
        <w:separator/>
      </w:r>
    </w:p>
  </w:endnote>
  <w:endnote w:type="continuationSeparator" w:id="0">
    <w:p w14:paraId="01A8F76D" w14:textId="77777777" w:rsidR="00B14832" w:rsidRDefault="00B14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87F5A" w14:textId="77777777" w:rsidR="00B14832" w:rsidRDefault="00B14832">
      <w:r>
        <w:separator/>
      </w:r>
    </w:p>
  </w:footnote>
  <w:footnote w:type="continuationSeparator" w:id="0">
    <w:p w14:paraId="0AC3FEAB" w14:textId="77777777" w:rsidR="00B14832" w:rsidRDefault="00B14832">
      <w:r>
        <w:continuationSeparator/>
      </w:r>
    </w:p>
  </w:footnote>
  <w:footnote w:id="1">
    <w:p w14:paraId="6DC47526" w14:textId="744CDC44" w:rsidR="00D71CF9" w:rsidRPr="00D71CF9" w:rsidRDefault="00D71CF9">
      <w:pPr>
        <w:pStyle w:val="FootnoteText"/>
        <w:rPr>
          <w:lang w:val="es-ES"/>
        </w:rPr>
      </w:pPr>
      <w:r>
        <w:rPr>
          <w:rStyle w:val="FootnoteReference"/>
        </w:rPr>
        <w:footnoteRef/>
      </w:r>
      <w:r w:rsidRPr="00D71CF9">
        <w:rPr>
          <w:lang w:val="es-ES"/>
        </w:rPr>
        <w:t xml:space="preserve"> Bernier González v. Rodríguez Becerra, 200 DPR 637, 644</w:t>
      </w:r>
      <w:r>
        <w:rPr>
          <w:lang w:val="es-ES"/>
        </w:rPr>
        <w:t xml:space="preserve"> (</w:t>
      </w:r>
      <w:r w:rsidR="00E0091F">
        <w:rPr>
          <w:lang w:val="es-ES"/>
        </w:rPr>
        <w:t>2018).</w:t>
      </w:r>
    </w:p>
  </w:footnote>
  <w:footnote w:id="2">
    <w:p w14:paraId="4DBC87A8" w14:textId="5E824BA2" w:rsidR="0015664F" w:rsidRPr="00BD5306" w:rsidRDefault="0015664F">
      <w:pPr>
        <w:pStyle w:val="FootnoteText"/>
        <w:rPr>
          <w:lang w:val="es-PR"/>
        </w:rPr>
      </w:pPr>
      <w:r>
        <w:rPr>
          <w:rStyle w:val="FootnoteReference"/>
        </w:rPr>
        <w:footnoteRef/>
      </w:r>
      <w:r w:rsidRPr="00BD5306">
        <w:rPr>
          <w:lang w:val="es-PR"/>
        </w:rPr>
        <w:t xml:space="preserve"> Véase 8 LPRA § 674.</w:t>
      </w:r>
    </w:p>
  </w:footnote>
  <w:footnote w:id="3">
    <w:p w14:paraId="60F0A108" w14:textId="021CEA0F" w:rsidR="00C52668" w:rsidRPr="00C52668" w:rsidRDefault="00C52668">
      <w:pPr>
        <w:pStyle w:val="FootnoteText"/>
        <w:rPr>
          <w:lang w:val="es-ES"/>
        </w:rPr>
      </w:pPr>
      <w:r>
        <w:rPr>
          <w:rStyle w:val="FootnoteReference"/>
        </w:rPr>
        <w:footnoteRef/>
      </w:r>
      <w:r w:rsidRPr="00C52668">
        <w:rPr>
          <w:lang w:val="es-ES"/>
        </w:rPr>
        <w:t xml:space="preserve"> Este acuerdo interagencial fue suscrito por </w:t>
      </w:r>
      <w:r w:rsidR="00DF75F5">
        <w:rPr>
          <w:lang w:val="es-ES"/>
        </w:rPr>
        <w:t xml:space="preserve">el Poder Judicial, el Departamento de Justicia, el Departamento de la Familia, el Departamento de Salud, el Departamento de Seguridad Pública, el Departamento de Corrección y Rehabilitación, </w:t>
      </w:r>
      <w:r w:rsidR="00F45567">
        <w:rPr>
          <w:lang w:val="es-ES"/>
        </w:rPr>
        <w:t xml:space="preserve">el Negociado de la Policía, la Oficina de la Procuradora de las Mujeres y la Junta de Libertad Bajo Palabra. Véase </w:t>
      </w:r>
      <w:hyperlink r:id="rId1" w:history="1">
        <w:r w:rsidR="00F45567" w:rsidRPr="0005104D">
          <w:rPr>
            <w:rStyle w:val="Hyperlink"/>
            <w:lang w:val="es-ES"/>
          </w:rPr>
          <w:t>https://biblioteca.policia.pr.gov/Document/Detail?DocumentGuid=03b9bf56-8612-45c3-8365-4ea9ea0eb324</w:t>
        </w:r>
      </w:hyperlink>
      <w:r w:rsidR="00F45567">
        <w:rPr>
          <w:lang w:val="es-ES"/>
        </w:rPr>
        <w:t xml:space="preserve"> </w:t>
      </w:r>
    </w:p>
  </w:footnote>
  <w:footnote w:id="4">
    <w:p w14:paraId="4F6AB10C" w14:textId="02817A48" w:rsidR="00611FA1" w:rsidRPr="00D763D2" w:rsidRDefault="00611FA1">
      <w:pPr>
        <w:pStyle w:val="FootnoteText"/>
        <w:rPr>
          <w:lang w:val="es-ES"/>
        </w:rPr>
      </w:pPr>
      <w:r>
        <w:rPr>
          <w:rStyle w:val="FootnoteReference"/>
        </w:rPr>
        <w:footnoteRef/>
      </w:r>
      <w:r w:rsidRPr="00D763D2">
        <w:rPr>
          <w:lang w:val="es-ES"/>
        </w:rPr>
        <w:t xml:space="preserve"> </w:t>
      </w:r>
      <w:r w:rsidR="00D763D2" w:rsidRPr="00D763D2">
        <w:rPr>
          <w:lang w:val="es-ES"/>
        </w:rPr>
        <w:t>Esta recomendación surge en el caso de que se aprueben l</w:t>
      </w:r>
      <w:r w:rsidR="00D763D2">
        <w:rPr>
          <w:lang w:val="es-ES"/>
        </w:rPr>
        <w:t xml:space="preserve">os siguientes proyectos: P. del S. 431 y </w:t>
      </w:r>
      <w:r w:rsidR="000F0E1A">
        <w:rPr>
          <w:lang w:val="es-ES"/>
        </w:rPr>
        <w:t>P. de la C. 416.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45606A1F"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Positivo sobre el </w:t>
    </w:r>
    <w:r w:rsidR="00187F50">
      <w:rPr>
        <w:rFonts w:ascii="Book Antiqua" w:hAnsi="Book Antiqua"/>
        <w:i/>
        <w:iCs/>
        <w:sz w:val="20"/>
        <w:lang w:val="es-PR"/>
      </w:rPr>
      <w:t>P. del S. 86</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14523C76"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Positivo sobre el </w:t>
    </w:r>
    <w:r w:rsidR="00187F50">
      <w:rPr>
        <w:rFonts w:ascii="Book Antiqua" w:hAnsi="Book Antiqua"/>
        <w:i/>
        <w:iCs/>
        <w:sz w:val="20"/>
        <w:lang w:val="es-PR"/>
      </w:rPr>
      <w:t>P. del S. 86</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30E7"/>
    <w:rsid w:val="00043B59"/>
    <w:rsid w:val="00045442"/>
    <w:rsid w:val="00046DD2"/>
    <w:rsid w:val="000533CB"/>
    <w:rsid w:val="0005560C"/>
    <w:rsid w:val="00066916"/>
    <w:rsid w:val="000879BC"/>
    <w:rsid w:val="000902F9"/>
    <w:rsid w:val="000945D3"/>
    <w:rsid w:val="000A0CEF"/>
    <w:rsid w:val="000A135C"/>
    <w:rsid w:val="000B071A"/>
    <w:rsid w:val="000B3411"/>
    <w:rsid w:val="000B39C5"/>
    <w:rsid w:val="000C18B9"/>
    <w:rsid w:val="000C52A1"/>
    <w:rsid w:val="000C5B91"/>
    <w:rsid w:val="000D3899"/>
    <w:rsid w:val="000E0D6C"/>
    <w:rsid w:val="000E4A6D"/>
    <w:rsid w:val="000E6B35"/>
    <w:rsid w:val="000F0E1A"/>
    <w:rsid w:val="000F7663"/>
    <w:rsid w:val="0010073E"/>
    <w:rsid w:val="00104CF6"/>
    <w:rsid w:val="00107712"/>
    <w:rsid w:val="00111E71"/>
    <w:rsid w:val="00114F93"/>
    <w:rsid w:val="001312DC"/>
    <w:rsid w:val="00152956"/>
    <w:rsid w:val="00152AEE"/>
    <w:rsid w:val="0015664F"/>
    <w:rsid w:val="00157BC8"/>
    <w:rsid w:val="00172EE0"/>
    <w:rsid w:val="00186AB6"/>
    <w:rsid w:val="00187F50"/>
    <w:rsid w:val="001A323B"/>
    <w:rsid w:val="001A4A02"/>
    <w:rsid w:val="001A7434"/>
    <w:rsid w:val="001B13E8"/>
    <w:rsid w:val="001B5218"/>
    <w:rsid w:val="001B77D6"/>
    <w:rsid w:val="001C0F9B"/>
    <w:rsid w:val="001C2FA8"/>
    <w:rsid w:val="001C31BA"/>
    <w:rsid w:val="001C5DEB"/>
    <w:rsid w:val="001D12A7"/>
    <w:rsid w:val="001D3C1D"/>
    <w:rsid w:val="001D70F5"/>
    <w:rsid w:val="001D79E5"/>
    <w:rsid w:val="001E78B4"/>
    <w:rsid w:val="001F7ABB"/>
    <w:rsid w:val="00200B6F"/>
    <w:rsid w:val="00201567"/>
    <w:rsid w:val="00201B8C"/>
    <w:rsid w:val="00213CAD"/>
    <w:rsid w:val="002145B0"/>
    <w:rsid w:val="002214F8"/>
    <w:rsid w:val="0022642B"/>
    <w:rsid w:val="0024131E"/>
    <w:rsid w:val="00242E80"/>
    <w:rsid w:val="00243FD8"/>
    <w:rsid w:val="0024587F"/>
    <w:rsid w:val="00246C97"/>
    <w:rsid w:val="00250029"/>
    <w:rsid w:val="0025270C"/>
    <w:rsid w:val="00254B92"/>
    <w:rsid w:val="002663EA"/>
    <w:rsid w:val="00266EEC"/>
    <w:rsid w:val="002671BE"/>
    <w:rsid w:val="0027212A"/>
    <w:rsid w:val="0027266F"/>
    <w:rsid w:val="002779B7"/>
    <w:rsid w:val="002B0B9E"/>
    <w:rsid w:val="002B62DE"/>
    <w:rsid w:val="002C18ED"/>
    <w:rsid w:val="002C402D"/>
    <w:rsid w:val="002D185B"/>
    <w:rsid w:val="002D4AC8"/>
    <w:rsid w:val="002E3AF7"/>
    <w:rsid w:val="002E3F48"/>
    <w:rsid w:val="002E4A52"/>
    <w:rsid w:val="002E66F9"/>
    <w:rsid w:val="002F0440"/>
    <w:rsid w:val="002F79D4"/>
    <w:rsid w:val="00303FA5"/>
    <w:rsid w:val="003059D5"/>
    <w:rsid w:val="00311782"/>
    <w:rsid w:val="00316786"/>
    <w:rsid w:val="003239C5"/>
    <w:rsid w:val="00330372"/>
    <w:rsid w:val="00334935"/>
    <w:rsid w:val="00337BB7"/>
    <w:rsid w:val="0034055D"/>
    <w:rsid w:val="003465C8"/>
    <w:rsid w:val="00351EB7"/>
    <w:rsid w:val="00352C78"/>
    <w:rsid w:val="00381F18"/>
    <w:rsid w:val="0038390D"/>
    <w:rsid w:val="003857EC"/>
    <w:rsid w:val="00386D32"/>
    <w:rsid w:val="0039037B"/>
    <w:rsid w:val="003906D8"/>
    <w:rsid w:val="00393CA6"/>
    <w:rsid w:val="003A201A"/>
    <w:rsid w:val="003B0348"/>
    <w:rsid w:val="003B7AEC"/>
    <w:rsid w:val="003C19F2"/>
    <w:rsid w:val="003D5C06"/>
    <w:rsid w:val="003D7045"/>
    <w:rsid w:val="00402413"/>
    <w:rsid w:val="004076B9"/>
    <w:rsid w:val="00412A61"/>
    <w:rsid w:val="004227D1"/>
    <w:rsid w:val="00424144"/>
    <w:rsid w:val="004278D1"/>
    <w:rsid w:val="004408DF"/>
    <w:rsid w:val="004440CB"/>
    <w:rsid w:val="00444FD2"/>
    <w:rsid w:val="00445E69"/>
    <w:rsid w:val="00447A62"/>
    <w:rsid w:val="004713D2"/>
    <w:rsid w:val="004817F3"/>
    <w:rsid w:val="00481C39"/>
    <w:rsid w:val="00485434"/>
    <w:rsid w:val="00487AC3"/>
    <w:rsid w:val="00490B9E"/>
    <w:rsid w:val="004918F1"/>
    <w:rsid w:val="004A05FC"/>
    <w:rsid w:val="004A0FD4"/>
    <w:rsid w:val="004A18C6"/>
    <w:rsid w:val="004B0082"/>
    <w:rsid w:val="004C370E"/>
    <w:rsid w:val="004D2BC7"/>
    <w:rsid w:val="004D4E14"/>
    <w:rsid w:val="004E7F65"/>
    <w:rsid w:val="004F6E72"/>
    <w:rsid w:val="004F7173"/>
    <w:rsid w:val="0051050B"/>
    <w:rsid w:val="005132AF"/>
    <w:rsid w:val="00516433"/>
    <w:rsid w:val="00530395"/>
    <w:rsid w:val="0053397E"/>
    <w:rsid w:val="005354C6"/>
    <w:rsid w:val="00540B6A"/>
    <w:rsid w:val="00540DDE"/>
    <w:rsid w:val="00541FE3"/>
    <w:rsid w:val="00542F8B"/>
    <w:rsid w:val="005478C9"/>
    <w:rsid w:val="00550023"/>
    <w:rsid w:val="00550412"/>
    <w:rsid w:val="00552B8A"/>
    <w:rsid w:val="00555018"/>
    <w:rsid w:val="00571789"/>
    <w:rsid w:val="00573858"/>
    <w:rsid w:val="00573B23"/>
    <w:rsid w:val="005741F6"/>
    <w:rsid w:val="00580EC6"/>
    <w:rsid w:val="005817B7"/>
    <w:rsid w:val="00592B05"/>
    <w:rsid w:val="005A24EF"/>
    <w:rsid w:val="005A4787"/>
    <w:rsid w:val="005B2884"/>
    <w:rsid w:val="005B32F8"/>
    <w:rsid w:val="005C5E81"/>
    <w:rsid w:val="005D2E57"/>
    <w:rsid w:val="005D4AA7"/>
    <w:rsid w:val="005D6FCF"/>
    <w:rsid w:val="005E150B"/>
    <w:rsid w:val="005E7E85"/>
    <w:rsid w:val="00611FA1"/>
    <w:rsid w:val="0061550A"/>
    <w:rsid w:val="00615AB1"/>
    <w:rsid w:val="00615E64"/>
    <w:rsid w:val="00622333"/>
    <w:rsid w:val="006239E8"/>
    <w:rsid w:val="00644253"/>
    <w:rsid w:val="00650D8E"/>
    <w:rsid w:val="0066129F"/>
    <w:rsid w:val="00662809"/>
    <w:rsid w:val="006807C0"/>
    <w:rsid w:val="006861CE"/>
    <w:rsid w:val="00695DFC"/>
    <w:rsid w:val="006A24A9"/>
    <w:rsid w:val="006B3D07"/>
    <w:rsid w:val="006B6346"/>
    <w:rsid w:val="006B7E26"/>
    <w:rsid w:val="006C283C"/>
    <w:rsid w:val="006D01F6"/>
    <w:rsid w:val="006D49D8"/>
    <w:rsid w:val="006D5838"/>
    <w:rsid w:val="006D6359"/>
    <w:rsid w:val="006E5B7A"/>
    <w:rsid w:val="006F226E"/>
    <w:rsid w:val="006F51A8"/>
    <w:rsid w:val="00714102"/>
    <w:rsid w:val="007163D8"/>
    <w:rsid w:val="007167F5"/>
    <w:rsid w:val="00720B6F"/>
    <w:rsid w:val="007229E9"/>
    <w:rsid w:val="00725174"/>
    <w:rsid w:val="0073675F"/>
    <w:rsid w:val="007472C1"/>
    <w:rsid w:val="007535BB"/>
    <w:rsid w:val="007611FE"/>
    <w:rsid w:val="00777E1D"/>
    <w:rsid w:val="00785050"/>
    <w:rsid w:val="00793E19"/>
    <w:rsid w:val="007B4C52"/>
    <w:rsid w:val="007B73FF"/>
    <w:rsid w:val="007C04E5"/>
    <w:rsid w:val="007C156B"/>
    <w:rsid w:val="007C592E"/>
    <w:rsid w:val="007D5A59"/>
    <w:rsid w:val="007E17BE"/>
    <w:rsid w:val="007E3B6D"/>
    <w:rsid w:val="007F0829"/>
    <w:rsid w:val="007F62AB"/>
    <w:rsid w:val="008000CB"/>
    <w:rsid w:val="00802846"/>
    <w:rsid w:val="00803A23"/>
    <w:rsid w:val="008061C2"/>
    <w:rsid w:val="00815BF2"/>
    <w:rsid w:val="00820C41"/>
    <w:rsid w:val="008235BE"/>
    <w:rsid w:val="00823B54"/>
    <w:rsid w:val="00825070"/>
    <w:rsid w:val="00855CD6"/>
    <w:rsid w:val="0086515A"/>
    <w:rsid w:val="00865634"/>
    <w:rsid w:val="00867243"/>
    <w:rsid w:val="00873127"/>
    <w:rsid w:val="008A154B"/>
    <w:rsid w:val="008A40E0"/>
    <w:rsid w:val="008C18B2"/>
    <w:rsid w:val="008C331F"/>
    <w:rsid w:val="008C39D5"/>
    <w:rsid w:val="008E051A"/>
    <w:rsid w:val="008E088D"/>
    <w:rsid w:val="008E1878"/>
    <w:rsid w:val="008F717C"/>
    <w:rsid w:val="00904165"/>
    <w:rsid w:val="00905655"/>
    <w:rsid w:val="00907E93"/>
    <w:rsid w:val="009133CF"/>
    <w:rsid w:val="009154BD"/>
    <w:rsid w:val="0092080B"/>
    <w:rsid w:val="009313EE"/>
    <w:rsid w:val="009351B6"/>
    <w:rsid w:val="009374E4"/>
    <w:rsid w:val="00940E84"/>
    <w:rsid w:val="00946BB4"/>
    <w:rsid w:val="00946E55"/>
    <w:rsid w:val="0096171F"/>
    <w:rsid w:val="009645CD"/>
    <w:rsid w:val="00970DEB"/>
    <w:rsid w:val="00981A1F"/>
    <w:rsid w:val="00983178"/>
    <w:rsid w:val="00984F56"/>
    <w:rsid w:val="00991C0B"/>
    <w:rsid w:val="00993C8E"/>
    <w:rsid w:val="009A08E8"/>
    <w:rsid w:val="009A4A2C"/>
    <w:rsid w:val="009A4FB3"/>
    <w:rsid w:val="009B5669"/>
    <w:rsid w:val="009B619C"/>
    <w:rsid w:val="009C455C"/>
    <w:rsid w:val="009E20DD"/>
    <w:rsid w:val="009F427F"/>
    <w:rsid w:val="009F524F"/>
    <w:rsid w:val="009F68F4"/>
    <w:rsid w:val="00A049B0"/>
    <w:rsid w:val="00A05EDB"/>
    <w:rsid w:val="00A06A16"/>
    <w:rsid w:val="00A11BDC"/>
    <w:rsid w:val="00A11ED0"/>
    <w:rsid w:val="00A12823"/>
    <w:rsid w:val="00A13CBC"/>
    <w:rsid w:val="00A15144"/>
    <w:rsid w:val="00A30115"/>
    <w:rsid w:val="00A303ED"/>
    <w:rsid w:val="00A30959"/>
    <w:rsid w:val="00A3182D"/>
    <w:rsid w:val="00A35101"/>
    <w:rsid w:val="00A52A66"/>
    <w:rsid w:val="00A52CD9"/>
    <w:rsid w:val="00A6445C"/>
    <w:rsid w:val="00A65AB2"/>
    <w:rsid w:val="00A83C12"/>
    <w:rsid w:val="00A870EF"/>
    <w:rsid w:val="00A90DAD"/>
    <w:rsid w:val="00A93C47"/>
    <w:rsid w:val="00AA0006"/>
    <w:rsid w:val="00AB2E69"/>
    <w:rsid w:val="00AC3813"/>
    <w:rsid w:val="00AD076F"/>
    <w:rsid w:val="00AD4B71"/>
    <w:rsid w:val="00AE24C0"/>
    <w:rsid w:val="00AE555C"/>
    <w:rsid w:val="00AF12FB"/>
    <w:rsid w:val="00AF56F5"/>
    <w:rsid w:val="00B03E1C"/>
    <w:rsid w:val="00B14832"/>
    <w:rsid w:val="00B216D4"/>
    <w:rsid w:val="00B24B05"/>
    <w:rsid w:val="00B25721"/>
    <w:rsid w:val="00B316DC"/>
    <w:rsid w:val="00B36F9D"/>
    <w:rsid w:val="00B37EF9"/>
    <w:rsid w:val="00B46464"/>
    <w:rsid w:val="00B47BDF"/>
    <w:rsid w:val="00B571D9"/>
    <w:rsid w:val="00B57451"/>
    <w:rsid w:val="00B6135D"/>
    <w:rsid w:val="00B702A0"/>
    <w:rsid w:val="00B70EB9"/>
    <w:rsid w:val="00B807DC"/>
    <w:rsid w:val="00B8514B"/>
    <w:rsid w:val="00B8540B"/>
    <w:rsid w:val="00BA0F95"/>
    <w:rsid w:val="00BA43F4"/>
    <w:rsid w:val="00BB20A7"/>
    <w:rsid w:val="00BB6946"/>
    <w:rsid w:val="00BB7826"/>
    <w:rsid w:val="00BC7625"/>
    <w:rsid w:val="00BD0E7C"/>
    <w:rsid w:val="00BD3BEF"/>
    <w:rsid w:val="00BD5306"/>
    <w:rsid w:val="00BE1535"/>
    <w:rsid w:val="00BE6740"/>
    <w:rsid w:val="00BF358A"/>
    <w:rsid w:val="00C0210B"/>
    <w:rsid w:val="00C20997"/>
    <w:rsid w:val="00C21A5A"/>
    <w:rsid w:val="00C22AFC"/>
    <w:rsid w:val="00C32ECE"/>
    <w:rsid w:val="00C37A30"/>
    <w:rsid w:val="00C41CC9"/>
    <w:rsid w:val="00C4275E"/>
    <w:rsid w:val="00C52668"/>
    <w:rsid w:val="00C6071A"/>
    <w:rsid w:val="00C65A5F"/>
    <w:rsid w:val="00C7303D"/>
    <w:rsid w:val="00C760D6"/>
    <w:rsid w:val="00C869B3"/>
    <w:rsid w:val="00C925C5"/>
    <w:rsid w:val="00C9772C"/>
    <w:rsid w:val="00CA1098"/>
    <w:rsid w:val="00CA5E1E"/>
    <w:rsid w:val="00CA6DDD"/>
    <w:rsid w:val="00CB5806"/>
    <w:rsid w:val="00CC4859"/>
    <w:rsid w:val="00CE532D"/>
    <w:rsid w:val="00CE7DA0"/>
    <w:rsid w:val="00CF32AA"/>
    <w:rsid w:val="00CF4C00"/>
    <w:rsid w:val="00D0004D"/>
    <w:rsid w:val="00D01A55"/>
    <w:rsid w:val="00D13D23"/>
    <w:rsid w:val="00D16947"/>
    <w:rsid w:val="00D423F2"/>
    <w:rsid w:val="00D5351E"/>
    <w:rsid w:val="00D61B6F"/>
    <w:rsid w:val="00D71CF9"/>
    <w:rsid w:val="00D720F2"/>
    <w:rsid w:val="00D759DB"/>
    <w:rsid w:val="00D763D2"/>
    <w:rsid w:val="00D8699D"/>
    <w:rsid w:val="00D9263A"/>
    <w:rsid w:val="00D93BA6"/>
    <w:rsid w:val="00D95836"/>
    <w:rsid w:val="00D96D40"/>
    <w:rsid w:val="00DA0051"/>
    <w:rsid w:val="00DA1E64"/>
    <w:rsid w:val="00DB25BF"/>
    <w:rsid w:val="00DB3451"/>
    <w:rsid w:val="00DB4C88"/>
    <w:rsid w:val="00DC2909"/>
    <w:rsid w:val="00DC7D84"/>
    <w:rsid w:val="00DD122E"/>
    <w:rsid w:val="00DD48C9"/>
    <w:rsid w:val="00DD58BD"/>
    <w:rsid w:val="00DE189A"/>
    <w:rsid w:val="00DE6362"/>
    <w:rsid w:val="00DF0352"/>
    <w:rsid w:val="00DF45DC"/>
    <w:rsid w:val="00DF75F5"/>
    <w:rsid w:val="00E0091F"/>
    <w:rsid w:val="00E14A82"/>
    <w:rsid w:val="00E14B9C"/>
    <w:rsid w:val="00E17E3B"/>
    <w:rsid w:val="00E251EA"/>
    <w:rsid w:val="00E31C41"/>
    <w:rsid w:val="00E35157"/>
    <w:rsid w:val="00E35171"/>
    <w:rsid w:val="00E36FA6"/>
    <w:rsid w:val="00E63FA4"/>
    <w:rsid w:val="00E722CA"/>
    <w:rsid w:val="00E73DB1"/>
    <w:rsid w:val="00E930DD"/>
    <w:rsid w:val="00E9570B"/>
    <w:rsid w:val="00EA477A"/>
    <w:rsid w:val="00EA5757"/>
    <w:rsid w:val="00EB0B16"/>
    <w:rsid w:val="00EB1664"/>
    <w:rsid w:val="00EC5454"/>
    <w:rsid w:val="00EC56E8"/>
    <w:rsid w:val="00EE4536"/>
    <w:rsid w:val="00EF237A"/>
    <w:rsid w:val="00EF62F7"/>
    <w:rsid w:val="00F02F4A"/>
    <w:rsid w:val="00F042CB"/>
    <w:rsid w:val="00F074DD"/>
    <w:rsid w:val="00F13014"/>
    <w:rsid w:val="00F3003D"/>
    <w:rsid w:val="00F315D1"/>
    <w:rsid w:val="00F44E24"/>
    <w:rsid w:val="00F45567"/>
    <w:rsid w:val="00F4686E"/>
    <w:rsid w:val="00F566F4"/>
    <w:rsid w:val="00F60859"/>
    <w:rsid w:val="00F65FAA"/>
    <w:rsid w:val="00F816B8"/>
    <w:rsid w:val="00F85B37"/>
    <w:rsid w:val="00F86C0C"/>
    <w:rsid w:val="00F90AAD"/>
    <w:rsid w:val="00F969D4"/>
    <w:rsid w:val="00FB10AE"/>
    <w:rsid w:val="00FC5FDD"/>
    <w:rsid w:val="00FD19DB"/>
    <w:rsid w:val="00FD4E9F"/>
    <w:rsid w:val="00FE3A8E"/>
    <w:rsid w:val="00FE6D61"/>
    <w:rsid w:val="00FF21EF"/>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 w:type="character" w:styleId="Hyperlink">
    <w:name w:val="Hyperlink"/>
    <w:basedOn w:val="DefaultParagraphFont"/>
    <w:uiPriority w:val="99"/>
    <w:unhideWhenUsed/>
    <w:rsid w:val="00F45567"/>
    <w:rPr>
      <w:color w:val="467886" w:themeColor="hyperlink"/>
      <w:u w:val="single"/>
    </w:rPr>
  </w:style>
  <w:style w:type="character" w:styleId="UnresolvedMention">
    <w:name w:val="Unresolved Mention"/>
    <w:basedOn w:val="DefaultParagraphFont"/>
    <w:uiPriority w:val="47"/>
    <w:rsid w:val="00F455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biblioteca.policia.pr.gov/Document/Detail?DocumentGuid=03b9bf56-8612-45c3-8365-4ea9ea0eb3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4SQX5P7U7WPY-958212181-817335</_dlc_DocId>
    <_dlc_DocIdUrl xmlns="c890fddd-4e87-4e08-8b51-545f2a3f7b06">
      <Url>https://senpr.sharepoint.com/sites/obralegislativa/_layouts/15/DocIdRedir.aspx?ID=4SQX5P7U7WPY-958212181-817335</Url>
      <Description>4SQX5P7U7WPY-958212181-817335</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2.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3.xml><?xml version="1.0" encoding="utf-8"?>
<ds:datastoreItem xmlns:ds="http://schemas.openxmlformats.org/officeDocument/2006/customXml" ds:itemID="{6F6AE701-A060-4661-901F-56E0AF7C101F}"/>
</file>

<file path=customXml/itemProps4.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5.xml><?xml version="1.0" encoding="utf-8"?>
<ds:datastoreItem xmlns:ds="http://schemas.openxmlformats.org/officeDocument/2006/customXml" ds:itemID="{8E749B57-B70D-4049-B1A8-D87E46CE6808}"/>
</file>

<file path=docProps/app.xml><?xml version="1.0" encoding="utf-8"?>
<Properties xmlns="http://schemas.openxmlformats.org/officeDocument/2006/extended-properties" xmlns:vt="http://schemas.openxmlformats.org/officeDocument/2006/docPropsVTypes">
  <Template>Medida-V2009</Template>
  <TotalTime>0</TotalTime>
  <Pages>9</Pages>
  <Words>3233</Words>
  <Characters>18100</Characters>
  <Application>Microsoft Office Word</Application>
  <DocSecurity>0</DocSecurity>
  <Lines>150</Lines>
  <Paragraphs>42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21291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Eric J. González (Trámites y Récords)</cp:lastModifiedBy>
  <cp:revision>3</cp:revision>
  <cp:lastPrinted>2025-03-06T13:07:00Z</cp:lastPrinted>
  <dcterms:created xsi:type="dcterms:W3CDTF">2025-08-14T13:16:00Z</dcterms:created>
  <dcterms:modified xsi:type="dcterms:W3CDTF">2025-08-14T13:16:00Z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7a008162-cc82-43cb-8f71-9682b7480689</vt:lpwstr>
  </property>
  <property fmtid="{D5CDD505-2E9C-101B-9397-08002B2CF9AE}" pid="4" name="MediaServiceImageTags">
    <vt:lpwstr/>
  </property>
</Properties>
</file>