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06682923" w:rsidR="007535BB" w:rsidRPr="00B35ECA" w:rsidRDefault="00F60859" w:rsidP="0027212A">
      <w:pPr>
        <w:spacing w:line="360" w:lineRule="auto"/>
        <w:jc w:val="center"/>
        <w:rPr>
          <w:rFonts w:ascii="Book Antiqua" w:hAnsi="Book Antiqua"/>
          <w:b/>
          <w:sz w:val="52"/>
          <w:lang w:val="es-ES_tradnl"/>
        </w:rPr>
      </w:pPr>
      <w:r>
        <w:rPr>
          <w:rFonts w:ascii="Book Antiqua" w:hAnsi="Book Antiqua"/>
          <w:b/>
          <w:sz w:val="52"/>
          <w:lang w:val="es-ES_tradnl"/>
        </w:rPr>
        <w:t>P. de la C.</w:t>
      </w:r>
      <w:r w:rsidR="00F15A65">
        <w:rPr>
          <w:rFonts w:ascii="Book Antiqua" w:hAnsi="Book Antiqua"/>
          <w:b/>
          <w:sz w:val="52"/>
          <w:lang w:val="es-ES_tradnl"/>
        </w:rPr>
        <w:t xml:space="preserve"> 11</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545C81F3" w:rsidR="001B5218" w:rsidRPr="005E150B" w:rsidRDefault="00092816"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CE4B8D">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17A56595" w:rsidR="005B2884" w:rsidRPr="00A11ED0" w:rsidRDefault="00A52CD9" w:rsidP="00CE4B8D">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F15A65">
        <w:rPr>
          <w:rFonts w:ascii="Book Antiqua" w:hAnsi="Book Antiqua"/>
          <w:spacing w:val="-3"/>
          <w:lang w:val="es-ES_tradnl"/>
        </w:rPr>
        <w:t>Proyecto de la Cámara 11,</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E17E3B" w:rsidRPr="00F15A65">
        <w:rPr>
          <w:rFonts w:ascii="Book Antiqua" w:hAnsi="Book Antiqua"/>
          <w:spacing w:val="-3"/>
          <w:lang w:val="es-ES_tradnl"/>
        </w:rPr>
        <w:t>sin enmiendas</w:t>
      </w:r>
      <w:r w:rsidR="002C402D" w:rsidRPr="00F15A65">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CE4B8D">
      <w:pPr>
        <w:suppressAutoHyphens/>
        <w:spacing w:line="276" w:lineRule="auto"/>
        <w:jc w:val="both"/>
        <w:rPr>
          <w:rFonts w:ascii="Book Antiqua" w:hAnsi="Book Antiqua"/>
          <w:spacing w:val="-3"/>
          <w:lang w:val="es-ES_tradnl"/>
        </w:rPr>
      </w:pPr>
    </w:p>
    <w:p w14:paraId="632423B1" w14:textId="77777777" w:rsidR="0024131E" w:rsidRPr="00A11ED0" w:rsidRDefault="001B5218" w:rsidP="00CE4B8D">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CE4B8D">
      <w:pPr>
        <w:tabs>
          <w:tab w:val="left" w:pos="-720"/>
        </w:tabs>
        <w:suppressAutoHyphens/>
        <w:spacing w:line="276" w:lineRule="auto"/>
        <w:rPr>
          <w:rFonts w:ascii="Book Antiqua" w:hAnsi="Book Antiqua"/>
          <w:b/>
          <w:bCs/>
          <w:szCs w:val="24"/>
          <w:lang w:val="es-ES_tradnl"/>
        </w:rPr>
      </w:pPr>
    </w:p>
    <w:p w14:paraId="7C7A3389" w14:textId="61F56F7B" w:rsidR="006F51A8" w:rsidRPr="00A11ED0" w:rsidRDefault="009F427F" w:rsidP="00CE4B8D">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w:t>
      </w:r>
      <w:r w:rsidR="00F15A65">
        <w:rPr>
          <w:rFonts w:ascii="Book Antiqua" w:hAnsi="Book Antiqua"/>
          <w:lang w:val="es-PR"/>
        </w:rPr>
        <w:t>de la Cámara</w:t>
      </w:r>
      <w:r w:rsidR="001B5218" w:rsidRPr="00A11ED0">
        <w:rPr>
          <w:rFonts w:ascii="Book Antiqua" w:hAnsi="Book Antiqua"/>
          <w:lang w:val="es-PR"/>
        </w:rPr>
        <w:t xml:space="preserve"> </w:t>
      </w:r>
      <w:r w:rsidR="00F15A65">
        <w:rPr>
          <w:rFonts w:ascii="Book Antiqua" w:hAnsi="Book Antiqua"/>
          <w:lang w:val="es-PR"/>
        </w:rPr>
        <w:t>11</w:t>
      </w:r>
      <w:r w:rsidRPr="00A11ED0">
        <w:rPr>
          <w:rFonts w:ascii="Book Antiqua" w:hAnsi="Book Antiqua"/>
          <w:lang w:val="es-PR"/>
        </w:rPr>
        <w:t xml:space="preserve"> </w:t>
      </w:r>
      <w:r w:rsidRPr="00337BB7">
        <w:rPr>
          <w:rFonts w:ascii="Book Antiqua" w:hAnsi="Book Antiqua"/>
          <w:lang w:val="es-PR"/>
        </w:rPr>
        <w:t xml:space="preserve">(en adelante, P. </w:t>
      </w:r>
      <w:r w:rsidR="00F15A65">
        <w:rPr>
          <w:rFonts w:ascii="Book Antiqua" w:hAnsi="Book Antiqua"/>
          <w:lang w:val="es-PR"/>
        </w:rPr>
        <w:t>de la C. 11)</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2C6BE2">
        <w:rPr>
          <w:rFonts w:ascii="Book Antiqua" w:hAnsi="Book Antiqua"/>
          <w:lang w:val="es-PR"/>
        </w:rPr>
        <w:t xml:space="preserve"> </w:t>
      </w:r>
      <w:r w:rsidR="002C6BE2" w:rsidRPr="00E340D7">
        <w:rPr>
          <w:rFonts w:ascii="Book Antiqua" w:hAnsi="Book Antiqua"/>
          <w:szCs w:val="24"/>
          <w:lang w:val="es-ES_tradnl"/>
        </w:rPr>
        <w:t>enmendar el Artículo 1327 de la Ley 55-2020, según enmendada, conocida como “Código Civil de Puerto Rico”; para aclarar que en el contrato de préstamo no se deben intereses si no se pactan expresamente</w:t>
      </w:r>
      <w:r w:rsidR="002C6BE2" w:rsidRPr="00E340D7">
        <w:rPr>
          <w:rFonts w:ascii="Book Antiqua" w:hAnsi="Book Antiqua"/>
          <w:noProof/>
          <w:color w:val="000000"/>
          <w:szCs w:val="24"/>
          <w:lang w:val="es-PR"/>
        </w:rPr>
        <w:t>.</w:t>
      </w:r>
    </w:p>
    <w:bookmarkEnd w:id="4"/>
    <w:p w14:paraId="771800BC" w14:textId="77777777" w:rsidR="00A06A16" w:rsidRPr="00A11ED0" w:rsidRDefault="00A06A16" w:rsidP="00CE4B8D">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CE4B8D">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CE4B8D">
      <w:pPr>
        <w:tabs>
          <w:tab w:val="left" w:pos="-720"/>
        </w:tabs>
        <w:suppressAutoHyphens/>
        <w:spacing w:line="276" w:lineRule="auto"/>
        <w:ind w:firstLine="360"/>
        <w:jc w:val="center"/>
        <w:rPr>
          <w:rFonts w:ascii="Book Antiqua" w:hAnsi="Book Antiqua"/>
          <w:b/>
          <w:bCs/>
          <w:lang w:val="es-PR"/>
        </w:rPr>
      </w:pPr>
    </w:p>
    <w:p w14:paraId="1CCC1A1F" w14:textId="4F89F60A" w:rsidR="00F715D6" w:rsidRDefault="00877060" w:rsidP="00CE4B8D">
      <w:pPr>
        <w:suppressLineNumbers/>
        <w:spacing w:line="276" w:lineRule="auto"/>
        <w:ind w:firstLine="720"/>
        <w:jc w:val="both"/>
        <w:rPr>
          <w:rFonts w:ascii="Book Antiqua" w:hAnsi="Book Antiqua"/>
          <w:szCs w:val="24"/>
          <w:lang w:val="es-PR"/>
        </w:rPr>
      </w:pPr>
      <w:r>
        <w:rPr>
          <w:rFonts w:ascii="Book Antiqua" w:hAnsi="Book Antiqua"/>
          <w:lang w:val="es-PR"/>
        </w:rPr>
        <w:t xml:space="preserve">El P. de la C. 11, según su exposición de motivos, </w:t>
      </w:r>
      <w:r w:rsidRPr="00C63145">
        <w:rPr>
          <w:rFonts w:ascii="Book Antiqua" w:hAnsi="Book Antiqua"/>
          <w:szCs w:val="24"/>
          <w:lang w:val="es-ES_tradnl"/>
        </w:rPr>
        <w:t>tiene el propósito de aclarar una inconsistencia entre el Artículo 1327 y la última oración del Artículo 1328</w:t>
      </w:r>
      <w:r w:rsidRPr="00E340D7">
        <w:rPr>
          <w:rFonts w:ascii="Book Antiqua" w:hAnsi="Book Antiqua"/>
          <w:szCs w:val="24"/>
          <w:lang w:val="es-ES_tradnl"/>
        </w:rPr>
        <w:t xml:space="preserve"> </w:t>
      </w:r>
      <w:r w:rsidRPr="00C63145">
        <w:rPr>
          <w:rFonts w:ascii="Book Antiqua" w:hAnsi="Book Antiqua"/>
          <w:szCs w:val="24"/>
          <w:lang w:val="es-ES_tradnl"/>
        </w:rPr>
        <w:t xml:space="preserve">del </w:t>
      </w:r>
      <w:r w:rsidRPr="00E340D7">
        <w:rPr>
          <w:rFonts w:ascii="Book Antiqua" w:hAnsi="Book Antiqua"/>
          <w:szCs w:val="24"/>
          <w:lang w:val="es-ES_tradnl"/>
        </w:rPr>
        <w:t>Código Civil</w:t>
      </w:r>
      <w:r w:rsidRPr="00C63145">
        <w:rPr>
          <w:rFonts w:ascii="Book Antiqua" w:hAnsi="Book Antiqua"/>
          <w:szCs w:val="24"/>
          <w:lang w:val="es-ES_tradnl"/>
        </w:rPr>
        <w:t xml:space="preserve">. Es sabido que el préstamo puede ser “gratuito” (es decir, sin pago de intereses) u </w:t>
      </w:r>
      <w:r>
        <w:rPr>
          <w:rFonts w:ascii="Book Antiqua" w:hAnsi="Book Antiqua"/>
          <w:szCs w:val="24"/>
          <w:lang w:val="es-ES_tradnl"/>
        </w:rPr>
        <w:t>“</w:t>
      </w:r>
      <w:r w:rsidRPr="00C63145">
        <w:rPr>
          <w:rFonts w:ascii="Book Antiqua" w:hAnsi="Book Antiqua"/>
          <w:szCs w:val="24"/>
          <w:lang w:val="es-ES_tradnl"/>
        </w:rPr>
        <w:t>oneroso</w:t>
      </w:r>
      <w:r>
        <w:rPr>
          <w:rFonts w:ascii="Book Antiqua" w:hAnsi="Book Antiqua"/>
          <w:szCs w:val="24"/>
          <w:lang w:val="es-ES_tradnl"/>
        </w:rPr>
        <w:t>”</w:t>
      </w:r>
      <w:r w:rsidRPr="00C63145">
        <w:rPr>
          <w:rFonts w:ascii="Book Antiqua" w:hAnsi="Book Antiqua"/>
          <w:szCs w:val="24"/>
          <w:lang w:val="es-ES_tradnl"/>
        </w:rPr>
        <w:t xml:space="preserve"> (con pago de interés). Cuando el contrato no dispone si el prestatario pagará intereses sobre las cantidades prestadas, o si no los pagará, el Artículo 1327 dispone que “El préstamo, salvo pacto distinto, es oneroso”</w:t>
      </w:r>
      <w:r>
        <w:rPr>
          <w:rFonts w:ascii="Book Antiqua" w:hAnsi="Book Antiqua"/>
          <w:szCs w:val="24"/>
          <w:lang w:val="es-ES_tradnl"/>
        </w:rPr>
        <w:t xml:space="preserve">.  Es </w:t>
      </w:r>
      <w:r w:rsidRPr="00C63145">
        <w:rPr>
          <w:rFonts w:ascii="Book Antiqua" w:hAnsi="Book Antiqua"/>
          <w:szCs w:val="24"/>
          <w:lang w:val="es-ES_tradnl"/>
        </w:rPr>
        <w:t xml:space="preserve">decir, </w:t>
      </w:r>
      <w:r>
        <w:rPr>
          <w:rFonts w:ascii="Book Antiqua" w:hAnsi="Book Antiqua"/>
          <w:szCs w:val="24"/>
          <w:lang w:val="es-ES_tradnl"/>
        </w:rPr>
        <w:t xml:space="preserve">se presume que el préstamo </w:t>
      </w:r>
      <w:r w:rsidRPr="00C63145">
        <w:rPr>
          <w:rFonts w:ascii="Book Antiqua" w:hAnsi="Book Antiqua"/>
          <w:szCs w:val="24"/>
          <w:lang w:val="es-ES_tradnl"/>
        </w:rPr>
        <w:t>paga intereses</w:t>
      </w:r>
      <w:r>
        <w:rPr>
          <w:rFonts w:ascii="Book Antiqua" w:hAnsi="Book Antiqua"/>
          <w:szCs w:val="24"/>
          <w:lang w:val="es-ES_tradnl"/>
        </w:rPr>
        <w:t xml:space="preserve">, excepto cuando las partes acuerdan que no se deberán los mismo. </w:t>
      </w:r>
      <w:r w:rsidR="00F715D6">
        <w:rPr>
          <w:rFonts w:ascii="Book Antiqua" w:hAnsi="Book Antiqua"/>
          <w:szCs w:val="24"/>
          <w:lang w:val="es-ES_tradnl"/>
        </w:rPr>
        <w:t>Sin embargo</w:t>
      </w:r>
      <w:r w:rsidR="00F715D6" w:rsidRPr="00C94A2A">
        <w:rPr>
          <w:rFonts w:ascii="Book Antiqua" w:hAnsi="Book Antiqua"/>
          <w:szCs w:val="24"/>
          <w:lang w:val="es-ES_tradnl"/>
        </w:rPr>
        <w:t xml:space="preserve">, la última oración del Artículo 1328 del Código Civil dispone que “no se deberán intereses, sino cuando expresamente se hubiesen </w:t>
      </w:r>
      <w:r w:rsidR="00F715D6" w:rsidRPr="00C94A2A">
        <w:rPr>
          <w:rFonts w:ascii="Book Antiqua" w:hAnsi="Book Antiqua"/>
          <w:szCs w:val="24"/>
          <w:lang w:val="es-ES_tradnl"/>
        </w:rPr>
        <w:lastRenderedPageBreak/>
        <w:t xml:space="preserve">pactado”. Tradicionalmente, en la </w:t>
      </w:r>
      <w:r w:rsidR="00470BC6">
        <w:rPr>
          <w:rFonts w:ascii="Book Antiqua" w:hAnsi="Book Antiqua"/>
          <w:szCs w:val="24"/>
          <w:lang w:val="es-ES_tradnl"/>
        </w:rPr>
        <w:t>reglamentación</w:t>
      </w:r>
      <w:r w:rsidR="00F715D6" w:rsidRPr="00C94A2A">
        <w:rPr>
          <w:rFonts w:ascii="Book Antiqua" w:hAnsi="Book Antiqua"/>
          <w:szCs w:val="24"/>
          <w:lang w:val="es-ES_tradnl"/>
        </w:rPr>
        <w:t xml:space="preserve"> del contrato de préstamo en Puerto Rico ha regido la regla de que no se deben intereses, si no se ha pactado expresamente. Así lo disponía el Artículo 1646 del Código Civil de 1930</w:t>
      </w:r>
      <w:r w:rsidR="00E76AB1">
        <w:rPr>
          <w:rFonts w:ascii="Book Antiqua" w:hAnsi="Book Antiqua"/>
          <w:szCs w:val="24"/>
          <w:lang w:val="es-ES_tradnl"/>
        </w:rPr>
        <w:t xml:space="preserve">: </w:t>
      </w:r>
      <w:r w:rsidR="00F715D6" w:rsidRPr="00C94A2A">
        <w:rPr>
          <w:rFonts w:ascii="Book Antiqua" w:hAnsi="Book Antiqua"/>
          <w:szCs w:val="24"/>
          <w:lang w:val="es-ES_tradnl"/>
        </w:rPr>
        <w:t xml:space="preserve">“no se deberán intereses sino cuando expresamente se hubiesen pactado”. De igual manera, en la Sección 2-112(a)(i) de </w:t>
      </w:r>
      <w:r w:rsidR="00EA47D1" w:rsidRPr="00C94A2A">
        <w:rPr>
          <w:rFonts w:ascii="Book Antiqua" w:hAnsi="Book Antiqua"/>
          <w:szCs w:val="24"/>
          <w:lang w:val="es-ES_tradnl"/>
        </w:rPr>
        <w:t>la Ley</w:t>
      </w:r>
      <w:r w:rsidR="00F715D6" w:rsidRPr="00C94A2A">
        <w:rPr>
          <w:rFonts w:ascii="Book Antiqua" w:hAnsi="Book Antiqua"/>
          <w:szCs w:val="24"/>
          <w:lang w:val="es-ES_tradnl"/>
        </w:rPr>
        <w:t xml:space="preserve"> de Transacciones Comerciales, Ley 241-1996, según enmendada, dispone, respecto a los instrumentos negociables, que “a menos que se disponga lo contrario en el instrumento, (i) un instrumento no devengará intereses</w:t>
      </w:r>
      <w:r w:rsidR="00C64332">
        <w:rPr>
          <w:rFonts w:ascii="Book Antiqua" w:hAnsi="Book Antiqua"/>
          <w:szCs w:val="24"/>
          <w:lang w:val="es-ES_tradnl"/>
        </w:rPr>
        <w:t>”.</w:t>
      </w:r>
      <w:r w:rsidR="00F715D6" w:rsidRPr="00C94A2A">
        <w:rPr>
          <w:rFonts w:ascii="Book Antiqua" w:hAnsi="Book Antiqua"/>
          <w:szCs w:val="24"/>
          <w:lang w:val="es-ES_tradnl"/>
        </w:rPr>
        <w:t xml:space="preserve"> Por lo tanto, al resolver la inconsistencia entre los Artículos 1327 y 1328 del Código Civil, la solución consistente con el derecho anterior y vigente es optar por la no presunción de intereses en el préstamo, lo que se logra cambiando la palabra “oneroso” por “gratuito” en el Artículo 1327 del Código Civil</w:t>
      </w:r>
      <w:r w:rsidR="00F715D6" w:rsidRPr="00C94A2A">
        <w:rPr>
          <w:rFonts w:ascii="Book Antiqua" w:hAnsi="Book Antiqua"/>
          <w:color w:val="000000"/>
          <w:szCs w:val="24"/>
          <w:lang w:val="es-PR"/>
        </w:rPr>
        <w:t>.</w:t>
      </w:r>
      <w:r w:rsidR="00F715D6" w:rsidRPr="00C94A2A">
        <w:rPr>
          <w:rFonts w:ascii="Book Antiqua" w:hAnsi="Book Antiqua"/>
          <w:szCs w:val="24"/>
          <w:lang w:val="es-PR"/>
        </w:rPr>
        <w:t xml:space="preserve"> </w:t>
      </w:r>
    </w:p>
    <w:p w14:paraId="7A21EE65" w14:textId="5B6BF6C5" w:rsidR="006239E8" w:rsidRPr="006D3B49" w:rsidRDefault="00047CF0" w:rsidP="00CE4B8D">
      <w:pPr>
        <w:suppressLineNumbers/>
        <w:spacing w:line="276" w:lineRule="auto"/>
        <w:ind w:firstLine="720"/>
        <w:jc w:val="both"/>
        <w:rPr>
          <w:rFonts w:ascii="Book Antiqua" w:hAnsi="Book Antiqua"/>
          <w:szCs w:val="24"/>
          <w:lang w:val="es-PR"/>
        </w:rPr>
      </w:pPr>
      <w:r>
        <w:rPr>
          <w:rFonts w:ascii="Book Antiqua" w:hAnsi="Book Antiqua"/>
          <w:szCs w:val="24"/>
          <w:lang w:val="es-PR"/>
        </w:rPr>
        <w:t xml:space="preserve">Una medida equivalente al P. de la C. 11 fue aprobado en el Senado de Puerto Rico: se trata del P. del S. 54. Este último fue analizado por la </w:t>
      </w:r>
      <w:r w:rsidR="00AB4E5E">
        <w:rPr>
          <w:rFonts w:ascii="Book Antiqua" w:hAnsi="Book Antiqua"/>
          <w:szCs w:val="24"/>
          <w:lang w:val="es-ES"/>
        </w:rPr>
        <w:t>C</w:t>
      </w:r>
      <w:r w:rsidR="00AB4E5E" w:rsidRPr="00367A88">
        <w:rPr>
          <w:rFonts w:ascii="Book Antiqua" w:hAnsi="Book Antiqua"/>
          <w:szCs w:val="24"/>
          <w:lang w:val="es-ES"/>
        </w:rPr>
        <w:t>omisi</w:t>
      </w:r>
      <w:r w:rsidR="00AB4E5E">
        <w:rPr>
          <w:rFonts w:ascii="Book Antiqua" w:hAnsi="Book Antiqua"/>
          <w:szCs w:val="24"/>
          <w:lang w:val="es-ES"/>
        </w:rPr>
        <w:t>ón</w:t>
      </w:r>
      <w:r w:rsidR="00AB4E5E" w:rsidRPr="00367A88">
        <w:rPr>
          <w:rFonts w:ascii="Book Antiqua" w:hAnsi="Book Antiqua"/>
          <w:szCs w:val="24"/>
          <w:lang w:val="es-ES"/>
        </w:rPr>
        <w:t xml:space="preserve"> de Desarrollo Económico, Pequeños Negocios, Banca, Comercio, Seguros y Cooperativismo</w:t>
      </w:r>
      <w:r w:rsidR="00AB4E5E">
        <w:rPr>
          <w:rFonts w:ascii="Book Antiqua" w:hAnsi="Book Antiqua"/>
          <w:szCs w:val="24"/>
          <w:lang w:val="es-ES"/>
        </w:rPr>
        <w:t xml:space="preserve">, la cual presentó un informe positivo. </w:t>
      </w:r>
      <w:r w:rsidR="00EC4A77">
        <w:rPr>
          <w:rFonts w:ascii="Book Antiqua" w:hAnsi="Book Antiqua"/>
          <w:szCs w:val="24"/>
          <w:lang w:val="es-ES"/>
        </w:rPr>
        <w:t xml:space="preserve">La Comisión </w:t>
      </w:r>
      <w:r w:rsidR="00530712">
        <w:rPr>
          <w:rFonts w:ascii="Book Antiqua" w:hAnsi="Book Antiqua"/>
          <w:szCs w:val="24"/>
          <w:lang w:val="es-ES"/>
        </w:rPr>
        <w:t xml:space="preserve">de Desarrollo Económico </w:t>
      </w:r>
      <w:r w:rsidR="00EC4A77">
        <w:rPr>
          <w:rFonts w:ascii="Book Antiqua" w:hAnsi="Book Antiqua"/>
          <w:szCs w:val="24"/>
          <w:lang w:val="es-ES"/>
        </w:rPr>
        <w:t>concluyó que con la aprobación de la medida “</w:t>
      </w:r>
      <w:r w:rsidR="00EC4A77">
        <w:rPr>
          <w:rFonts w:ascii="Book Antiqua" w:hAnsi="Book Antiqua"/>
          <w:bCs/>
          <w:szCs w:val="24"/>
          <w:lang w:val="es-ES"/>
        </w:rPr>
        <w:t xml:space="preserve">respetamos </w:t>
      </w:r>
      <w:r w:rsidR="00EC4A77" w:rsidRPr="00D32153">
        <w:rPr>
          <w:rFonts w:ascii="Book Antiqua" w:hAnsi="Book Antiqua"/>
          <w:bCs/>
          <w:szCs w:val="24"/>
          <w:lang w:val="es-ES"/>
        </w:rPr>
        <w:t>no solo el principio de gratuidad, sino que también elimina</w:t>
      </w:r>
      <w:r w:rsidR="00EC4A77">
        <w:rPr>
          <w:rFonts w:ascii="Book Antiqua" w:hAnsi="Book Antiqua"/>
          <w:bCs/>
          <w:szCs w:val="24"/>
          <w:lang w:val="es-ES"/>
        </w:rPr>
        <w:t>mos</w:t>
      </w:r>
      <w:r w:rsidR="00EC4A77" w:rsidRPr="00D32153">
        <w:rPr>
          <w:rFonts w:ascii="Book Antiqua" w:hAnsi="Book Antiqua"/>
          <w:bCs/>
          <w:szCs w:val="24"/>
          <w:lang w:val="es-ES"/>
        </w:rPr>
        <w:t xml:space="preserve"> contradicciones normativas y evita</w:t>
      </w:r>
      <w:r w:rsidR="00EC4A77">
        <w:rPr>
          <w:rFonts w:ascii="Book Antiqua" w:hAnsi="Book Antiqua"/>
          <w:bCs/>
          <w:szCs w:val="24"/>
          <w:lang w:val="es-ES"/>
        </w:rPr>
        <w:t>mos</w:t>
      </w:r>
      <w:r w:rsidR="00EC4A77" w:rsidRPr="00D32153">
        <w:rPr>
          <w:rFonts w:ascii="Book Antiqua" w:hAnsi="Book Antiqua"/>
          <w:bCs/>
          <w:szCs w:val="24"/>
          <w:lang w:val="es-ES"/>
        </w:rPr>
        <w:t xml:space="preserve"> conflictos interpretativos que pu</w:t>
      </w:r>
      <w:r w:rsidR="00EC4A77">
        <w:rPr>
          <w:rFonts w:ascii="Book Antiqua" w:hAnsi="Book Antiqua"/>
          <w:bCs/>
          <w:szCs w:val="24"/>
          <w:lang w:val="es-ES"/>
        </w:rPr>
        <w:t xml:space="preserve">dieran </w:t>
      </w:r>
      <w:r w:rsidR="00EC4A77" w:rsidRPr="00D32153">
        <w:rPr>
          <w:rFonts w:ascii="Book Antiqua" w:hAnsi="Book Antiqua"/>
          <w:bCs/>
          <w:szCs w:val="24"/>
          <w:lang w:val="es-ES"/>
        </w:rPr>
        <w:t xml:space="preserve">surgir </w:t>
      </w:r>
      <w:r w:rsidR="00EC4A77">
        <w:rPr>
          <w:rFonts w:ascii="Book Antiqua" w:hAnsi="Book Antiqua"/>
          <w:bCs/>
          <w:szCs w:val="24"/>
          <w:lang w:val="es-ES"/>
        </w:rPr>
        <w:t>más adelante”.</w:t>
      </w:r>
      <w:r w:rsidR="00530712">
        <w:rPr>
          <w:rStyle w:val="FootnoteReference"/>
          <w:rFonts w:ascii="Book Antiqua" w:hAnsi="Book Antiqua"/>
          <w:bCs/>
          <w:szCs w:val="24"/>
          <w:lang w:val="es-ES"/>
        </w:rPr>
        <w:footnoteReference w:id="1"/>
      </w:r>
    </w:p>
    <w:p w14:paraId="634BDB99" w14:textId="32CF32BC" w:rsidR="00393CA6" w:rsidRDefault="009F524F" w:rsidP="00CE4B8D">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6D3B49">
        <w:rPr>
          <w:rFonts w:ascii="Book Antiqua" w:hAnsi="Book Antiqua"/>
          <w:spacing w:val="-3"/>
          <w:lang w:val="es-ES_tradnl"/>
        </w:rPr>
        <w:t>P. de la C. 11,</w:t>
      </w:r>
      <w:r w:rsidR="00481C39" w:rsidRPr="00A11ED0">
        <w:rPr>
          <w:rFonts w:ascii="Book Antiqua" w:hAnsi="Book Antiqua"/>
          <w:lang w:val="es-PR"/>
        </w:rPr>
        <w:t xml:space="preserve"> </w:t>
      </w:r>
      <w:r w:rsidR="006D3B49">
        <w:rPr>
          <w:rFonts w:ascii="Book Antiqua" w:hAnsi="Book Antiqua"/>
          <w:lang w:val="es-PR"/>
        </w:rPr>
        <w:t>evaluó los</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6D3B49">
        <w:rPr>
          <w:rFonts w:ascii="Book Antiqua" w:hAnsi="Book Antiqua"/>
          <w:lang w:val="es-PR"/>
        </w:rPr>
        <w:t>de</w:t>
      </w:r>
      <w:r w:rsidR="009154BD" w:rsidRPr="00337BB7">
        <w:rPr>
          <w:rFonts w:ascii="Book Antiqua" w:hAnsi="Book Antiqua"/>
          <w:lang w:val="es-PR"/>
        </w:rPr>
        <w:t xml:space="preserve"> las siguientes agencias y entidades</w:t>
      </w:r>
      <w:r w:rsidR="009313EE">
        <w:rPr>
          <w:rFonts w:ascii="Book Antiqua" w:hAnsi="Book Antiqua"/>
          <w:lang w:val="es-PR"/>
        </w:rPr>
        <w:t>:</w:t>
      </w:r>
      <w:r w:rsidR="00393CA6">
        <w:rPr>
          <w:rFonts w:ascii="Book Antiqua" w:hAnsi="Book Antiqua"/>
          <w:lang w:val="es-PR"/>
        </w:rPr>
        <w:t xml:space="preserve"> </w:t>
      </w:r>
      <w:r w:rsidR="006D3B49">
        <w:rPr>
          <w:rFonts w:ascii="Book Antiqua" w:hAnsi="Book Antiqua"/>
          <w:lang w:val="es-PR"/>
        </w:rPr>
        <w:t xml:space="preserve">Oficina de Servicios Legislativos, </w:t>
      </w:r>
      <w:r w:rsidR="002F26F4">
        <w:rPr>
          <w:rFonts w:ascii="Book Antiqua" w:hAnsi="Book Antiqua"/>
          <w:lang w:val="es-PR"/>
        </w:rPr>
        <w:t>Asociación de Bancos de Puerto y la Liga de Cooperativas de Puerto Ricos</w:t>
      </w:r>
      <w:r w:rsidR="008A0309">
        <w:rPr>
          <w:rFonts w:ascii="Book Antiqua" w:hAnsi="Book Antiqua"/>
          <w:lang w:val="es-PR"/>
        </w:rPr>
        <w:t>.</w:t>
      </w:r>
      <w:r w:rsidR="006D5838" w:rsidRPr="00A11ED0">
        <w:rPr>
          <w:rFonts w:ascii="Book Antiqua" w:hAnsi="Book Antiqua"/>
          <w:lang w:val="es-PR"/>
        </w:rPr>
        <w:t xml:space="preserve"> </w:t>
      </w:r>
    </w:p>
    <w:p w14:paraId="7D81C205" w14:textId="32F7C04B" w:rsidR="006D5838" w:rsidRPr="00337BB7" w:rsidRDefault="009F524F" w:rsidP="00CE4B8D">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entidades</w:t>
      </w:r>
      <w:r w:rsidR="004F6E72" w:rsidRPr="00337BB7">
        <w:rPr>
          <w:rFonts w:ascii="Book Antiqua" w:hAnsi="Book Antiqua"/>
          <w:lang w:val="es-PR"/>
        </w:rPr>
        <w:t>.</w:t>
      </w:r>
    </w:p>
    <w:p w14:paraId="645A7A37" w14:textId="77777777" w:rsidR="00A52CD9" w:rsidRDefault="00A52CD9" w:rsidP="00CE4B8D">
      <w:pPr>
        <w:tabs>
          <w:tab w:val="left" w:pos="-720"/>
        </w:tabs>
        <w:suppressAutoHyphens/>
        <w:spacing w:line="276" w:lineRule="auto"/>
        <w:jc w:val="both"/>
        <w:rPr>
          <w:rFonts w:ascii="Book Antiqua" w:hAnsi="Book Antiqua"/>
          <w:b/>
          <w:bCs/>
          <w:u w:val="single"/>
          <w:lang w:val="es-PR"/>
        </w:rPr>
      </w:pPr>
    </w:p>
    <w:p w14:paraId="47D74F77" w14:textId="1F652954" w:rsidR="004A4242" w:rsidRPr="004956F9" w:rsidRDefault="004956F9" w:rsidP="00CE4B8D">
      <w:pPr>
        <w:tabs>
          <w:tab w:val="left" w:pos="-720"/>
        </w:tabs>
        <w:suppressAutoHyphens/>
        <w:spacing w:line="276" w:lineRule="auto"/>
        <w:jc w:val="center"/>
        <w:rPr>
          <w:rFonts w:ascii="Book Antiqua" w:hAnsi="Book Antiqua"/>
          <w:b/>
          <w:bCs/>
          <w:lang w:val="es-PR"/>
        </w:rPr>
      </w:pPr>
      <w:r w:rsidRPr="004956F9">
        <w:rPr>
          <w:rFonts w:ascii="Book Antiqua" w:hAnsi="Book Antiqua"/>
          <w:b/>
          <w:bCs/>
          <w:lang w:val="es-PR"/>
        </w:rPr>
        <w:t>OFICINA DE SERVICIOS LEGISLATIVOS</w:t>
      </w:r>
    </w:p>
    <w:p w14:paraId="7CB1DBC1" w14:textId="77777777" w:rsidR="004A4242" w:rsidRPr="004A4242" w:rsidRDefault="004A4242" w:rsidP="00CE4B8D">
      <w:pPr>
        <w:tabs>
          <w:tab w:val="left" w:pos="-720"/>
        </w:tabs>
        <w:suppressAutoHyphens/>
        <w:spacing w:line="276" w:lineRule="auto"/>
        <w:jc w:val="both"/>
        <w:rPr>
          <w:rFonts w:ascii="Book Antiqua" w:hAnsi="Book Antiqua"/>
          <w:lang w:val="es-PR"/>
        </w:rPr>
      </w:pPr>
    </w:p>
    <w:p w14:paraId="4C2BDB65" w14:textId="11C37C4A" w:rsidR="004A4242" w:rsidRPr="004A4242" w:rsidRDefault="004956F9" w:rsidP="00CE4B8D">
      <w:pPr>
        <w:tabs>
          <w:tab w:val="left" w:pos="-720"/>
        </w:tabs>
        <w:suppressAutoHyphens/>
        <w:spacing w:line="276" w:lineRule="auto"/>
        <w:jc w:val="both"/>
        <w:rPr>
          <w:rFonts w:ascii="Book Antiqua" w:hAnsi="Book Antiqua"/>
          <w:lang w:val="es-PR"/>
        </w:rPr>
      </w:pPr>
      <w:r>
        <w:rPr>
          <w:rFonts w:ascii="Book Antiqua" w:hAnsi="Book Antiqua"/>
          <w:lang w:val="es-PR"/>
        </w:rPr>
        <w:tab/>
      </w:r>
      <w:r w:rsidR="004A4242" w:rsidRPr="004A4242">
        <w:rPr>
          <w:rFonts w:ascii="Book Antiqua" w:hAnsi="Book Antiqua"/>
          <w:lang w:val="es-PR"/>
        </w:rPr>
        <w:t>En su memorial explicativo, la Oficina de Servicios Legislativos (OSL) indicó que no encuentra impedimentos jurídicos para la aprobación del Proyecto de la Cámara 11. La OSL concuerda con la Exposición de Motivos de la medida, destacando la necesidad de corregir la discordancia normativa entre los Artículos 1327 y 1328 del Código Civil de Puerto Rico.</w:t>
      </w:r>
      <w:r w:rsidR="001E1D7F">
        <w:rPr>
          <w:rFonts w:ascii="Book Antiqua" w:hAnsi="Book Antiqua"/>
          <w:lang w:val="es-PR"/>
        </w:rPr>
        <w:t xml:space="preserve"> </w:t>
      </w:r>
      <w:r w:rsidR="004A4242" w:rsidRPr="004A4242">
        <w:rPr>
          <w:rFonts w:ascii="Book Antiqua" w:hAnsi="Book Antiqua"/>
          <w:lang w:val="es-PR"/>
        </w:rPr>
        <w:t xml:space="preserve">El análisis presentado por la OSL ubica la discusión en el marco histórico y doctrinal del derecho civil puertorriqueño, donde tradicionalmente el contrato de préstamo se ha considerado gratuito salvo que se pacten intereses de manera expresa. Este criterio, anteriormente consagrado en el Artículo 1646 del </w:t>
      </w:r>
      <w:r w:rsidR="004A4242" w:rsidRPr="004A4242">
        <w:rPr>
          <w:rFonts w:ascii="Book Antiqua" w:hAnsi="Book Antiqua"/>
          <w:lang w:val="es-PR"/>
        </w:rPr>
        <w:lastRenderedPageBreak/>
        <w:t>derogado Código Civil de 1930, aún subsiste en normas especiales como la Sección 2-112(a)(i) de la Ley de Transacciones Comerciales</w:t>
      </w:r>
      <w:r w:rsidR="006B1D3B">
        <w:rPr>
          <w:rFonts w:ascii="Book Antiqua" w:hAnsi="Book Antiqua"/>
          <w:lang w:val="es-PR"/>
        </w:rPr>
        <w:t xml:space="preserve">, </w:t>
      </w:r>
      <w:r w:rsidR="004A4242" w:rsidRPr="004A4242">
        <w:rPr>
          <w:rFonts w:ascii="Book Antiqua" w:hAnsi="Book Antiqua"/>
          <w:lang w:val="es-PR"/>
        </w:rPr>
        <w:t>Ley 241-1996. La OSL señala que esta concepción proviene del Código Civil español de 1889, particularmente de su Artículo 1755, y se mantuvo vigente en Puerto Rico hasta la promulgación del nuevo Código Civil en 2020.</w:t>
      </w:r>
      <w:r w:rsidR="006B1D3B">
        <w:rPr>
          <w:rFonts w:ascii="Book Antiqua" w:hAnsi="Book Antiqua"/>
          <w:lang w:val="es-PR"/>
        </w:rPr>
        <w:t xml:space="preserve"> </w:t>
      </w:r>
      <w:r w:rsidR="004A4242" w:rsidRPr="004A4242">
        <w:rPr>
          <w:rFonts w:ascii="Book Antiqua" w:hAnsi="Book Antiqua"/>
          <w:lang w:val="es-PR"/>
        </w:rPr>
        <w:t>El memorial examina también el origen de la redacción del actual Artículo 1327, destacando que fue tomado del Artículo 1406 del Proyecto de Código Civil de Argentina. La intención legislativa detrás de esta adopción fue implantar una presunción de onerosidad propia del derecho mercantil, aplicándola incluso a relaciones no comerciales. No obstante, la OSL advierte que esta modificación se aparta del esquema jurídico históricamente aplicado en Puerto Rico y entra en conflicto con el Artículo 1328 del mismo Código, que sigue requiriendo pacto expreso para devengar intereses.</w:t>
      </w:r>
      <w:r w:rsidR="006C100F">
        <w:rPr>
          <w:rFonts w:ascii="Book Antiqua" w:hAnsi="Book Antiqua"/>
          <w:lang w:val="es-PR"/>
        </w:rPr>
        <w:t xml:space="preserve"> </w:t>
      </w:r>
      <w:r w:rsidR="004A4242" w:rsidRPr="004A4242">
        <w:rPr>
          <w:rFonts w:ascii="Book Antiqua" w:hAnsi="Book Antiqua"/>
          <w:lang w:val="es-PR"/>
        </w:rPr>
        <w:t>La OSL atribuye la contradicción entre ambos artículos a cambios introducidos durante la tramitación legislativa de la Ley Núm. 55-2020 sin una revisión integral del texto. Por ello, respalda la propuesta de enmendar el Artículo 1327 para sustituir el término “oneroso” por “gratuito”, reafirmando el principio tradicional de que los préstamos no generan intereses si no existe un acuerdo expreso.</w:t>
      </w:r>
      <w:r w:rsidR="00187780">
        <w:rPr>
          <w:rFonts w:ascii="Book Antiqua" w:hAnsi="Book Antiqua"/>
          <w:lang w:val="es-PR"/>
        </w:rPr>
        <w:t xml:space="preserve"> </w:t>
      </w:r>
      <w:r w:rsidR="004A4242" w:rsidRPr="004A4242">
        <w:rPr>
          <w:rFonts w:ascii="Book Antiqua" w:hAnsi="Book Antiqua"/>
          <w:lang w:val="es-PR"/>
        </w:rPr>
        <w:t>Asimismo, la OSL señala que ajustes legislativos de esta naturaleza son esperables dada la complejidad que supuso la aprobación del nuevo Código Civil, siendo legítimo que el legislador identifique y subsane inconsistencias conforme surge su aplicación práctica. En conclusión, la OSL entiende que la medida aporta seguridad jurídica y previene conflictos interpretativos innecesarios. Aunque incluyó sugerencias técnicas en el entirillado electrónico, no propone cambios sustantivos al texto del proyecto, respaldando así su aprobación.</w:t>
      </w:r>
    </w:p>
    <w:p w14:paraId="498C9186" w14:textId="77777777" w:rsidR="004A4242" w:rsidRPr="004A4242" w:rsidRDefault="004A4242" w:rsidP="00CE4B8D">
      <w:pPr>
        <w:tabs>
          <w:tab w:val="left" w:pos="-720"/>
        </w:tabs>
        <w:suppressAutoHyphens/>
        <w:spacing w:line="276" w:lineRule="auto"/>
        <w:jc w:val="both"/>
        <w:rPr>
          <w:rFonts w:ascii="Book Antiqua" w:hAnsi="Book Antiqua"/>
          <w:lang w:val="es-PR"/>
        </w:rPr>
      </w:pPr>
    </w:p>
    <w:p w14:paraId="30B7A7BC" w14:textId="486EE2C4" w:rsidR="004A4242" w:rsidRPr="00E9253B" w:rsidRDefault="00E9253B" w:rsidP="00CE4B8D">
      <w:pPr>
        <w:tabs>
          <w:tab w:val="left" w:pos="-720"/>
        </w:tabs>
        <w:suppressAutoHyphens/>
        <w:spacing w:line="276" w:lineRule="auto"/>
        <w:jc w:val="center"/>
        <w:rPr>
          <w:rFonts w:ascii="Book Antiqua" w:hAnsi="Book Antiqua"/>
          <w:b/>
          <w:bCs/>
          <w:lang w:val="es-PR"/>
        </w:rPr>
      </w:pPr>
      <w:r w:rsidRPr="00E9253B">
        <w:rPr>
          <w:rFonts w:ascii="Book Antiqua" w:hAnsi="Book Antiqua"/>
          <w:b/>
          <w:bCs/>
          <w:lang w:val="es-PR"/>
        </w:rPr>
        <w:t>ASOCIACIÓN DE BANCOS DE PUERTO RICO</w:t>
      </w:r>
    </w:p>
    <w:p w14:paraId="1BD6BABF" w14:textId="77777777" w:rsidR="00187780" w:rsidRDefault="00187780" w:rsidP="00CE4B8D">
      <w:pPr>
        <w:tabs>
          <w:tab w:val="left" w:pos="-720"/>
        </w:tabs>
        <w:suppressAutoHyphens/>
        <w:spacing w:line="276" w:lineRule="auto"/>
        <w:jc w:val="both"/>
        <w:rPr>
          <w:rFonts w:ascii="Book Antiqua" w:hAnsi="Book Antiqua"/>
          <w:lang w:val="es-PR"/>
        </w:rPr>
      </w:pPr>
    </w:p>
    <w:p w14:paraId="2955EA81" w14:textId="45949FD2" w:rsidR="004A4242" w:rsidRPr="004A4242" w:rsidRDefault="00E9253B" w:rsidP="00CE4B8D">
      <w:pPr>
        <w:tabs>
          <w:tab w:val="left" w:pos="-720"/>
        </w:tabs>
        <w:suppressAutoHyphens/>
        <w:spacing w:line="276" w:lineRule="auto"/>
        <w:jc w:val="both"/>
        <w:rPr>
          <w:rFonts w:ascii="Book Antiqua" w:hAnsi="Book Antiqua"/>
          <w:lang w:val="es-PR"/>
        </w:rPr>
      </w:pPr>
      <w:r>
        <w:rPr>
          <w:rFonts w:ascii="Book Antiqua" w:hAnsi="Book Antiqua"/>
          <w:lang w:val="es-PR"/>
        </w:rPr>
        <w:tab/>
      </w:r>
      <w:r w:rsidR="004A4242" w:rsidRPr="004A4242">
        <w:rPr>
          <w:rFonts w:ascii="Book Antiqua" w:hAnsi="Book Antiqua"/>
          <w:lang w:val="es-PR"/>
        </w:rPr>
        <w:t xml:space="preserve">La Asociación de Bancos de Puerto Rico (ABPR) manifestó apoyo condicionado a la medida. </w:t>
      </w:r>
      <w:r w:rsidR="00187780">
        <w:rPr>
          <w:rFonts w:ascii="Book Antiqua" w:hAnsi="Book Antiqua"/>
          <w:lang w:val="es-PR"/>
        </w:rPr>
        <w:t>Propuso</w:t>
      </w:r>
      <w:r w:rsidR="004A4242" w:rsidRPr="004A4242">
        <w:rPr>
          <w:rFonts w:ascii="Book Antiqua" w:hAnsi="Book Antiqua"/>
          <w:lang w:val="es-PR"/>
        </w:rPr>
        <w:t xml:space="preserve"> modificar el Artículo 1327 con la redacción: “El préstamo puede ser de carácter gratuito, u oneroso cuando se pacte el pago de interés</w:t>
      </w:r>
      <w:r>
        <w:rPr>
          <w:rFonts w:ascii="Book Antiqua" w:hAnsi="Book Antiqua"/>
          <w:lang w:val="es-PR"/>
        </w:rPr>
        <w:t xml:space="preserve">”. </w:t>
      </w:r>
      <w:r w:rsidR="004A4242" w:rsidRPr="004A4242">
        <w:rPr>
          <w:rFonts w:ascii="Book Antiqua" w:hAnsi="Book Antiqua"/>
          <w:lang w:val="es-PR"/>
        </w:rPr>
        <w:t>La razón principal de esta recomendación radica en que, dentro del ámbito bancario, el contrato de préstamo —a diferencia del comodato— se maneja normalmente como un contrato oneroso, ya que implica el traspaso de dinero u otros bienes fungibles con la expectativa de cobrar intereses. La ABPR considera que mantener una presunción de gratuidad en estos contratos sería incompatible con el propósito de modernizar el Código Civil para reflejar la realidad de las transacciones financieras actuales.</w:t>
      </w:r>
      <w:r w:rsidR="00A26F5B">
        <w:rPr>
          <w:rFonts w:ascii="Book Antiqua" w:hAnsi="Book Antiqua"/>
          <w:lang w:val="es-PR"/>
        </w:rPr>
        <w:t xml:space="preserve"> La</w:t>
      </w:r>
      <w:r w:rsidR="004A4242" w:rsidRPr="004A4242">
        <w:rPr>
          <w:rFonts w:ascii="Book Antiqua" w:hAnsi="Book Antiqua"/>
          <w:lang w:val="es-PR"/>
        </w:rPr>
        <w:t xml:space="preserve"> Asociación favorece eliminar cualquier presunción (ya sea de onerosidad o gratuidad) y establecer que el préstamo puede adoptar cualquiera de estas naturalezas, </w:t>
      </w:r>
      <w:r w:rsidR="004A4242" w:rsidRPr="004A4242">
        <w:rPr>
          <w:rFonts w:ascii="Book Antiqua" w:hAnsi="Book Antiqua"/>
          <w:lang w:val="es-PR"/>
        </w:rPr>
        <w:lastRenderedPageBreak/>
        <w:t>dependiendo del acuerdo de las partes. De no atenderse esta sugerencia, la ABPR entiende que se afectaría la certeza jurídica sobre la naturaleza ordinaria de los contratos de préstamo en el sector comercial y bancario.</w:t>
      </w:r>
    </w:p>
    <w:p w14:paraId="601214C1" w14:textId="77777777" w:rsidR="004A4242" w:rsidRPr="004A4242" w:rsidRDefault="004A4242" w:rsidP="00CE4B8D">
      <w:pPr>
        <w:tabs>
          <w:tab w:val="left" w:pos="-720"/>
        </w:tabs>
        <w:suppressAutoHyphens/>
        <w:spacing w:line="276" w:lineRule="auto"/>
        <w:jc w:val="both"/>
        <w:rPr>
          <w:rFonts w:ascii="Book Antiqua" w:hAnsi="Book Antiqua"/>
          <w:lang w:val="es-PR"/>
        </w:rPr>
      </w:pPr>
    </w:p>
    <w:p w14:paraId="30B30B4D" w14:textId="7652E9D8" w:rsidR="004A4242" w:rsidRPr="003B5919" w:rsidRDefault="003B5919" w:rsidP="00CE4B8D">
      <w:pPr>
        <w:tabs>
          <w:tab w:val="left" w:pos="-720"/>
        </w:tabs>
        <w:suppressAutoHyphens/>
        <w:spacing w:line="276" w:lineRule="auto"/>
        <w:jc w:val="center"/>
        <w:rPr>
          <w:rFonts w:ascii="Book Antiqua" w:hAnsi="Book Antiqua"/>
          <w:b/>
          <w:bCs/>
          <w:lang w:val="es-PR"/>
        </w:rPr>
      </w:pPr>
      <w:r w:rsidRPr="003B5919">
        <w:rPr>
          <w:rFonts w:ascii="Book Antiqua" w:hAnsi="Book Antiqua"/>
          <w:b/>
          <w:bCs/>
          <w:lang w:val="es-PR"/>
        </w:rPr>
        <w:t>LIGA DE COOPERATIVAS DE PUERTO RICO</w:t>
      </w:r>
    </w:p>
    <w:p w14:paraId="15EC5145" w14:textId="77777777" w:rsidR="003B5919" w:rsidRDefault="003B5919" w:rsidP="00CE4B8D">
      <w:pPr>
        <w:tabs>
          <w:tab w:val="left" w:pos="-720"/>
        </w:tabs>
        <w:suppressAutoHyphens/>
        <w:spacing w:line="276" w:lineRule="auto"/>
        <w:jc w:val="both"/>
        <w:rPr>
          <w:rFonts w:ascii="Book Antiqua" w:hAnsi="Book Antiqua"/>
          <w:lang w:val="es-PR"/>
        </w:rPr>
      </w:pPr>
    </w:p>
    <w:p w14:paraId="35931FC5" w14:textId="1A954C12" w:rsidR="00940E84" w:rsidRPr="004A4242" w:rsidRDefault="003B5919" w:rsidP="00CE4B8D">
      <w:pPr>
        <w:tabs>
          <w:tab w:val="left" w:pos="-720"/>
        </w:tabs>
        <w:suppressAutoHyphens/>
        <w:spacing w:line="276" w:lineRule="auto"/>
        <w:jc w:val="both"/>
        <w:rPr>
          <w:rFonts w:ascii="Book Antiqua" w:hAnsi="Book Antiqua"/>
          <w:lang w:val="es-PR"/>
        </w:rPr>
      </w:pPr>
      <w:r>
        <w:rPr>
          <w:rFonts w:ascii="Book Antiqua" w:hAnsi="Book Antiqua"/>
          <w:lang w:val="es-PR"/>
        </w:rPr>
        <w:tab/>
      </w:r>
      <w:r w:rsidR="004A4242" w:rsidRPr="004A4242">
        <w:rPr>
          <w:rFonts w:ascii="Book Antiqua" w:hAnsi="Book Antiqua"/>
          <w:lang w:val="es-PR"/>
        </w:rPr>
        <w:t>La Liga de Cooperativas expresó su apoyo a la medida, destacando que corrige la inconsistencia normativa entre los Artículos 1327 y 1328 del Código Civil. En su postura se señala que las 108 cooperativas de ahorro y crédito operan bajo un régimen jurídico especial establecido por la Ley 255-2002 y supervisado por COSSEC.</w:t>
      </w:r>
      <w:r w:rsidR="001752EF">
        <w:rPr>
          <w:rFonts w:ascii="Book Antiqua" w:hAnsi="Book Antiqua"/>
          <w:lang w:val="es-PR"/>
        </w:rPr>
        <w:t xml:space="preserve"> </w:t>
      </w:r>
      <w:r w:rsidR="004A4242" w:rsidRPr="004A4242">
        <w:rPr>
          <w:rFonts w:ascii="Book Antiqua" w:hAnsi="Book Antiqua"/>
          <w:lang w:val="es-PR"/>
        </w:rPr>
        <w:t>Según la Liga, estas cooperativas fijan los intereses de los préstamos mediante normas internas aprobadas por sus Juntas de Directores y conforme a la reglamentación de COSSEC, que establece límites, tasas y procedimientos para la concesión de crédito. Aunque el Código Civil no regula directamente estas operaciones por tratarse de un marco especial, la organización reconoce la importancia de la enmienda propuesta para mantener coherencia dentro del ordenamiento jurídico general y evitar disputas legales innecesarias.</w:t>
      </w:r>
      <w:r w:rsidR="007337C3">
        <w:rPr>
          <w:rFonts w:ascii="Book Antiqua" w:hAnsi="Book Antiqua"/>
          <w:lang w:val="es-PR"/>
        </w:rPr>
        <w:t xml:space="preserve"> </w:t>
      </w:r>
      <w:r w:rsidR="004A4242" w:rsidRPr="004A4242">
        <w:rPr>
          <w:rFonts w:ascii="Book Antiqua" w:hAnsi="Book Antiqua"/>
          <w:lang w:val="es-PR"/>
        </w:rPr>
        <w:t>Por estas razones, la Liga endosa la aprobación de la medida, entendiendo que contribuye a fortalecer la certeza jurídica y a armonizar los principios históricos del derecho civil con la legislación vigente.</w:t>
      </w:r>
    </w:p>
    <w:p w14:paraId="6089E05C" w14:textId="77777777" w:rsidR="004A4242" w:rsidRDefault="004A4242" w:rsidP="00CE4B8D">
      <w:pPr>
        <w:tabs>
          <w:tab w:val="left" w:pos="-720"/>
        </w:tabs>
        <w:suppressAutoHyphens/>
        <w:spacing w:line="276" w:lineRule="auto"/>
        <w:jc w:val="both"/>
        <w:rPr>
          <w:rFonts w:ascii="Book Antiqua" w:hAnsi="Book Antiqua"/>
          <w:lang w:val="es-PR"/>
        </w:rPr>
      </w:pPr>
    </w:p>
    <w:p w14:paraId="302CAC3A" w14:textId="141F50AB" w:rsidR="00D13D23" w:rsidRDefault="0096171F" w:rsidP="00CE4B8D">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CE4B8D">
      <w:pPr>
        <w:tabs>
          <w:tab w:val="left" w:pos="-720"/>
        </w:tabs>
        <w:suppressAutoHyphens/>
        <w:spacing w:line="276" w:lineRule="auto"/>
        <w:ind w:firstLine="360"/>
        <w:jc w:val="center"/>
        <w:rPr>
          <w:rFonts w:ascii="Book Antiqua" w:hAnsi="Book Antiqua"/>
          <w:b/>
          <w:bCs/>
          <w:lang w:val="es-PR"/>
        </w:rPr>
      </w:pPr>
    </w:p>
    <w:p w14:paraId="3CD7EB56" w14:textId="511A9939" w:rsidR="002C402D" w:rsidRPr="00DF45DC" w:rsidRDefault="004F6E72" w:rsidP="00CE4B8D">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w:t>
      </w:r>
      <w:r w:rsidR="007337C3">
        <w:rPr>
          <w:rFonts w:ascii="Book Antiqua" w:hAnsi="Book Antiqua"/>
          <w:lang w:val="es-PR"/>
        </w:rPr>
        <w:t>de la C. 11</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CE4B8D">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CE4B8D">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CE4B8D">
      <w:pPr>
        <w:tabs>
          <w:tab w:val="left" w:pos="-720"/>
        </w:tabs>
        <w:suppressAutoHyphens/>
        <w:spacing w:line="276" w:lineRule="auto"/>
        <w:ind w:firstLine="360"/>
        <w:jc w:val="center"/>
        <w:rPr>
          <w:rFonts w:ascii="Book Antiqua" w:hAnsi="Book Antiqua"/>
          <w:b/>
          <w:bCs/>
          <w:lang w:val="es-PR"/>
        </w:rPr>
      </w:pPr>
    </w:p>
    <w:p w14:paraId="2D81B2DA" w14:textId="41C1DB53" w:rsidR="000B071A" w:rsidRDefault="00006DDC" w:rsidP="00CE4B8D">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7337C3" w:rsidRPr="00337BB7">
        <w:rPr>
          <w:rFonts w:ascii="Book Antiqua" w:hAnsi="Book Antiqua"/>
          <w:lang w:val="es-PR"/>
        </w:rPr>
        <w:t xml:space="preserve">P. </w:t>
      </w:r>
      <w:r w:rsidR="007337C3">
        <w:rPr>
          <w:rFonts w:ascii="Book Antiqua" w:hAnsi="Book Antiqua"/>
          <w:lang w:val="es-PR"/>
        </w:rPr>
        <w:t xml:space="preserve">de la C. 11, </w:t>
      </w:r>
      <w:r w:rsidR="00B702A0">
        <w:rPr>
          <w:rFonts w:ascii="Book Antiqua" w:hAnsi="Book Antiqua"/>
          <w:lang w:val="es-PR"/>
        </w:rPr>
        <w:t>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w:t>
      </w:r>
      <w:r w:rsidR="007337C3">
        <w:rPr>
          <w:rFonts w:ascii="Book Antiqua" w:hAnsi="Book Antiqua"/>
          <w:lang w:val="es-PR"/>
        </w:rPr>
        <w:t xml:space="preserve">el Código Civil de Puerto Rico, el Informe Positivo presentado por la </w:t>
      </w:r>
      <w:r w:rsidR="007337C3">
        <w:rPr>
          <w:rFonts w:ascii="Book Antiqua" w:hAnsi="Book Antiqua"/>
          <w:szCs w:val="24"/>
          <w:lang w:val="es-ES"/>
        </w:rPr>
        <w:t>C</w:t>
      </w:r>
      <w:r w:rsidR="007337C3" w:rsidRPr="00367A88">
        <w:rPr>
          <w:rFonts w:ascii="Book Antiqua" w:hAnsi="Book Antiqua"/>
          <w:szCs w:val="24"/>
          <w:lang w:val="es-ES"/>
        </w:rPr>
        <w:t>omisi</w:t>
      </w:r>
      <w:r w:rsidR="007337C3">
        <w:rPr>
          <w:rFonts w:ascii="Book Antiqua" w:hAnsi="Book Antiqua"/>
          <w:szCs w:val="24"/>
          <w:lang w:val="es-ES"/>
        </w:rPr>
        <w:t>ón</w:t>
      </w:r>
      <w:r w:rsidR="007337C3" w:rsidRPr="00367A88">
        <w:rPr>
          <w:rFonts w:ascii="Book Antiqua" w:hAnsi="Book Antiqua"/>
          <w:szCs w:val="24"/>
          <w:lang w:val="es-ES"/>
        </w:rPr>
        <w:t xml:space="preserve"> de Desarrollo Económico, Pequeños Negocios, Banca, Comercio, Seguros y Cooperativismo</w:t>
      </w:r>
      <w:r w:rsidR="007337C3">
        <w:rPr>
          <w:rFonts w:ascii="Book Antiqua" w:hAnsi="Book Antiqua"/>
          <w:lang w:val="es-PR"/>
        </w:rPr>
        <w:t xml:space="preserve">  en torno al P. del S. 54, y los memoriales recibidos.</w:t>
      </w:r>
    </w:p>
    <w:p w14:paraId="12984714" w14:textId="4B6FC6EF" w:rsidR="000B071A" w:rsidRDefault="00C10B1E" w:rsidP="00CE4B8D">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coincide en que</w:t>
      </w:r>
      <w:r w:rsidR="000B071A">
        <w:rPr>
          <w:rFonts w:ascii="Book Antiqua" w:hAnsi="Book Antiqua"/>
          <w:lang w:val="es-PR"/>
        </w:rPr>
        <w:t xml:space="preserve"> </w:t>
      </w:r>
      <w:r>
        <w:rPr>
          <w:rFonts w:ascii="Book Antiqua" w:hAnsi="Book Antiqua"/>
          <w:lang w:val="es-PR"/>
        </w:rPr>
        <w:t>la</w:t>
      </w:r>
      <w:r w:rsidRPr="00C10B1E">
        <w:rPr>
          <w:rFonts w:ascii="Book Antiqua" w:hAnsi="Book Antiqua"/>
          <w:lang w:val="es-PR"/>
        </w:rPr>
        <w:t xml:space="preserve"> aprobación del Proyecto de la Cámara 11 no conlleva cambios en el fondo de las relaciones contractuales vigentes, ni afecta el régimen aplicable a los intereses en préstamos regidos por legislación </w:t>
      </w:r>
      <w:r w:rsidRPr="00C10B1E">
        <w:rPr>
          <w:rFonts w:ascii="Book Antiqua" w:hAnsi="Book Antiqua"/>
          <w:lang w:val="es-PR"/>
        </w:rPr>
        <w:lastRenderedPageBreak/>
        <w:t>especial. Se trata, más bien, de una enmienda técnica necesaria para preservar la coherencia interna del actual Código Civil, asegurando el respeto a los principios de buena fe, autonomía contractual y seguridad jurídica en las relaciones privadas.</w:t>
      </w:r>
    </w:p>
    <w:p w14:paraId="741BB46F" w14:textId="77777777" w:rsidR="00C10B1E" w:rsidRDefault="00C10B1E" w:rsidP="00CE4B8D">
      <w:pPr>
        <w:tabs>
          <w:tab w:val="left" w:pos="-720"/>
        </w:tabs>
        <w:suppressAutoHyphens/>
        <w:spacing w:line="276" w:lineRule="auto"/>
        <w:ind w:firstLine="360"/>
        <w:jc w:val="both"/>
        <w:rPr>
          <w:rFonts w:ascii="Book Antiqua" w:hAnsi="Book Antiqua"/>
          <w:b/>
          <w:bCs/>
          <w:lang w:val="es-PR"/>
        </w:rPr>
      </w:pPr>
    </w:p>
    <w:p w14:paraId="7885E90D" w14:textId="74E4C1DB" w:rsidR="00DF45DC" w:rsidRPr="00DF45DC" w:rsidRDefault="0096171F" w:rsidP="00CE4B8D">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CE4B8D">
        <w:rPr>
          <w:rFonts w:ascii="Book Antiqua" w:hAnsi="Book Antiqua"/>
          <w:b/>
          <w:bCs/>
          <w:lang w:val="es-PR"/>
        </w:rPr>
        <w:t>Proyecto de la Cámara 11,</w:t>
      </w:r>
      <w:r w:rsidR="00006DDC" w:rsidRPr="00DF45DC">
        <w:rPr>
          <w:rFonts w:ascii="Book Antiqua" w:hAnsi="Book Antiqua"/>
          <w:lang w:val="es-PR"/>
        </w:rPr>
        <w:t xml:space="preserve"> recomendando su aprobación </w:t>
      </w:r>
      <w:r w:rsidR="001D12A7" w:rsidRPr="00CE4B8D">
        <w:rPr>
          <w:rFonts w:ascii="Book Antiqua" w:hAnsi="Book Antiqua"/>
          <w:lang w:val="es-PR"/>
        </w:rPr>
        <w:t>sin enmiendas</w:t>
      </w:r>
      <w:r w:rsidR="00006DDC" w:rsidRPr="00CE4B8D">
        <w:rPr>
          <w:rFonts w:ascii="Book Antiqua" w:hAnsi="Book Antiqua"/>
          <w:lang w:val="es-PR"/>
        </w:rPr>
        <w:t>.</w:t>
      </w:r>
      <w:r w:rsidR="00006DDC" w:rsidRPr="00DF45DC">
        <w:rPr>
          <w:rFonts w:ascii="Book Antiqua" w:hAnsi="Book Antiqua"/>
          <w:lang w:val="es-PR"/>
        </w:rPr>
        <w:t xml:space="preserve">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45B1BE2C" w:rsidR="000B3411" w:rsidRPr="00CE4B8D" w:rsidRDefault="001D12A7" w:rsidP="00CE4B8D">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CE4B8D"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68366594" w14:textId="09A02F3F" w:rsidR="00530712" w:rsidRPr="00530712" w:rsidRDefault="00530712">
      <w:pPr>
        <w:pStyle w:val="FootnoteText"/>
        <w:rPr>
          <w:lang w:val="es-ES"/>
        </w:rPr>
      </w:pPr>
      <w:r>
        <w:rPr>
          <w:rStyle w:val="FootnoteReference"/>
        </w:rPr>
        <w:footnoteRef/>
      </w:r>
      <w:r w:rsidRPr="00530712">
        <w:rPr>
          <w:lang w:val="es-ES"/>
        </w:rPr>
        <w:t xml:space="preserve"> Comisión de Desarrollo Económico, Pequeños Negocios, Banca, Comercio, Seguros y Cooperativismo</w:t>
      </w:r>
      <w:r>
        <w:rPr>
          <w:lang w:val="es-ES"/>
        </w:rPr>
        <w:t xml:space="preserve"> del Senado de Puerto Rico, </w:t>
      </w:r>
      <w:r w:rsidRPr="00530712">
        <w:rPr>
          <w:i/>
          <w:iCs/>
          <w:lang w:val="es-ES"/>
        </w:rPr>
        <w:t>Informe Positivo, P. del S. 54</w:t>
      </w:r>
      <w:r>
        <w:rPr>
          <w:lang w:val="es-ES"/>
        </w:rPr>
        <w:t>, en la pág. 4 (22 de abril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B556861"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EA47D1">
      <w:rPr>
        <w:rFonts w:ascii="Book Antiqua" w:hAnsi="Book Antiqua"/>
        <w:i/>
        <w:iCs/>
        <w:sz w:val="20"/>
        <w:lang w:val="es-PR"/>
      </w:rPr>
      <w:t>P. de la C. 11</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3583AD2D"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6C100F">
      <w:rPr>
        <w:rFonts w:ascii="Book Antiqua" w:hAnsi="Book Antiqua"/>
        <w:i/>
        <w:iCs/>
        <w:sz w:val="20"/>
        <w:lang w:val="es-PR"/>
      </w:rPr>
      <w:t>P. de la C. 11</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47CF0"/>
    <w:rsid w:val="000533CB"/>
    <w:rsid w:val="0005560C"/>
    <w:rsid w:val="00066916"/>
    <w:rsid w:val="000879BC"/>
    <w:rsid w:val="000902F9"/>
    <w:rsid w:val="00092816"/>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752EF"/>
    <w:rsid w:val="00186AB6"/>
    <w:rsid w:val="00187780"/>
    <w:rsid w:val="001A4A02"/>
    <w:rsid w:val="001A7434"/>
    <w:rsid w:val="001B5218"/>
    <w:rsid w:val="001B77D6"/>
    <w:rsid w:val="001C0F9B"/>
    <w:rsid w:val="001C2FA8"/>
    <w:rsid w:val="001C31BA"/>
    <w:rsid w:val="001C5DEB"/>
    <w:rsid w:val="001D12A7"/>
    <w:rsid w:val="001D3C1D"/>
    <w:rsid w:val="001D70F5"/>
    <w:rsid w:val="001D79E5"/>
    <w:rsid w:val="001E1D7F"/>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C6BE2"/>
    <w:rsid w:val="002D185B"/>
    <w:rsid w:val="002D4AC8"/>
    <w:rsid w:val="002E3F48"/>
    <w:rsid w:val="002E4A52"/>
    <w:rsid w:val="002E66F9"/>
    <w:rsid w:val="002F0440"/>
    <w:rsid w:val="002F26F4"/>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B5919"/>
    <w:rsid w:val="003D7045"/>
    <w:rsid w:val="00402413"/>
    <w:rsid w:val="004076B9"/>
    <w:rsid w:val="00412A61"/>
    <w:rsid w:val="004227D1"/>
    <w:rsid w:val="00424144"/>
    <w:rsid w:val="004278D1"/>
    <w:rsid w:val="004408DF"/>
    <w:rsid w:val="004440CB"/>
    <w:rsid w:val="00444FD2"/>
    <w:rsid w:val="00445E69"/>
    <w:rsid w:val="00452FFD"/>
    <w:rsid w:val="00470BC6"/>
    <w:rsid w:val="004713D2"/>
    <w:rsid w:val="004817F3"/>
    <w:rsid w:val="00481C39"/>
    <w:rsid w:val="00487AC3"/>
    <w:rsid w:val="004918F1"/>
    <w:rsid w:val="004956F9"/>
    <w:rsid w:val="004A05FC"/>
    <w:rsid w:val="004A0FD4"/>
    <w:rsid w:val="004A18C6"/>
    <w:rsid w:val="004A4242"/>
    <w:rsid w:val="004B0082"/>
    <w:rsid w:val="004C370E"/>
    <w:rsid w:val="004D2BC7"/>
    <w:rsid w:val="004D4E14"/>
    <w:rsid w:val="004E7F65"/>
    <w:rsid w:val="004F6E72"/>
    <w:rsid w:val="004F7173"/>
    <w:rsid w:val="0051050B"/>
    <w:rsid w:val="00530395"/>
    <w:rsid w:val="00530712"/>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1D3B"/>
    <w:rsid w:val="006B3D07"/>
    <w:rsid w:val="006B6346"/>
    <w:rsid w:val="006B7E26"/>
    <w:rsid w:val="006C100F"/>
    <w:rsid w:val="006C283C"/>
    <w:rsid w:val="006D01F6"/>
    <w:rsid w:val="006D3B49"/>
    <w:rsid w:val="006D49D8"/>
    <w:rsid w:val="006D5838"/>
    <w:rsid w:val="006D6359"/>
    <w:rsid w:val="006E25FF"/>
    <w:rsid w:val="006E5B7A"/>
    <w:rsid w:val="006F226E"/>
    <w:rsid w:val="006F51A8"/>
    <w:rsid w:val="00714102"/>
    <w:rsid w:val="007163D8"/>
    <w:rsid w:val="007167F5"/>
    <w:rsid w:val="00720B6F"/>
    <w:rsid w:val="007229E9"/>
    <w:rsid w:val="00725174"/>
    <w:rsid w:val="007337C3"/>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77060"/>
    <w:rsid w:val="008A0309"/>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26F5B"/>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B4E5E"/>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10B1E"/>
    <w:rsid w:val="00C20997"/>
    <w:rsid w:val="00C21A5A"/>
    <w:rsid w:val="00C22AFC"/>
    <w:rsid w:val="00C32ECE"/>
    <w:rsid w:val="00C41CC9"/>
    <w:rsid w:val="00C4275E"/>
    <w:rsid w:val="00C6071A"/>
    <w:rsid w:val="00C64332"/>
    <w:rsid w:val="00C65A5F"/>
    <w:rsid w:val="00C7303D"/>
    <w:rsid w:val="00C760D6"/>
    <w:rsid w:val="00C869B3"/>
    <w:rsid w:val="00C9772C"/>
    <w:rsid w:val="00CA1098"/>
    <w:rsid w:val="00CA5E1E"/>
    <w:rsid w:val="00CA6DDD"/>
    <w:rsid w:val="00CB5806"/>
    <w:rsid w:val="00CC4859"/>
    <w:rsid w:val="00CE4B8D"/>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76AB1"/>
    <w:rsid w:val="00E9253B"/>
    <w:rsid w:val="00E930DD"/>
    <w:rsid w:val="00E9570B"/>
    <w:rsid w:val="00EA477A"/>
    <w:rsid w:val="00EA47D1"/>
    <w:rsid w:val="00EA5757"/>
    <w:rsid w:val="00EB0B16"/>
    <w:rsid w:val="00EB1664"/>
    <w:rsid w:val="00EC4A77"/>
    <w:rsid w:val="00EC5454"/>
    <w:rsid w:val="00EC56E8"/>
    <w:rsid w:val="00EE4536"/>
    <w:rsid w:val="00EF237A"/>
    <w:rsid w:val="00EF62F7"/>
    <w:rsid w:val="00F02F4A"/>
    <w:rsid w:val="00F042CB"/>
    <w:rsid w:val="00F15A65"/>
    <w:rsid w:val="00F3003D"/>
    <w:rsid w:val="00F315D1"/>
    <w:rsid w:val="00F44E24"/>
    <w:rsid w:val="00F4686E"/>
    <w:rsid w:val="00F566F4"/>
    <w:rsid w:val="00F60859"/>
    <w:rsid w:val="00F65FAA"/>
    <w:rsid w:val="00F715D6"/>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4SQX5P7U7WPY-958212181-817393</_dlc_DocId>
    <_dlc_DocIdUrl xmlns="c890fddd-4e87-4e08-8b51-545f2a3f7b06">
      <Url>https://senpr.sharepoint.com/sites/obralegislativa/_layouts/15/DocIdRedir.aspx?ID=4SQX5P7U7WPY-958212181-817393</Url>
      <Description>4SQX5P7U7WPY-958212181-817393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81DA1336-A361-43D8-AD0A-86BC12825A2C}"/>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55F130A5-AC31-4577-9E27-DA37AD3141B9}"/>
</file>

<file path=docProps/app.xml><?xml version="1.0" encoding="utf-8"?>
<Properties xmlns="http://schemas.openxmlformats.org/officeDocument/2006/extended-properties" xmlns:vt="http://schemas.openxmlformats.org/officeDocument/2006/docPropsVTypes">
  <Template>Medida-V2009</Template>
  <TotalTime>10</TotalTime>
  <Pages>5</Pages>
  <Words>1497</Words>
  <Characters>8204</Characters>
  <Application>Microsoft Office Word</Application>
  <DocSecurity>0</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2025-08-14T21:05:00Z</dcterms:created>
  <dcterms:modified xsi:type="dcterms:W3CDTF">2025-08-14T21:05:00Z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c788b295-e6cc-4d7b-a7af-9cab2d416065</vt:lpwstr>
  </property>
  <property fmtid="{D5CDD505-2E9C-101B-9397-08002B2CF9AE}" pid="4" name="MediaServiceImageTags">
    <vt:lpwstr/>
  </property>
</Properties>
</file>