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BD3B2" w14:textId="77777777" w:rsidR="007535BB" w:rsidRPr="00273C49" w:rsidRDefault="007535BB" w:rsidP="007535BB">
      <w:pPr>
        <w:tabs>
          <w:tab w:val="center" w:pos="4680"/>
          <w:tab w:val="left" w:pos="7920"/>
        </w:tabs>
        <w:jc w:val="center"/>
        <w:rPr>
          <w:rFonts w:ascii="Book Antiqua" w:hAnsi="Book Antiqua"/>
          <w:sz w:val="28"/>
          <w:szCs w:val="28"/>
          <w:lang w:val="es-ES"/>
        </w:rPr>
      </w:pPr>
      <w:bookmarkStart w:id="0" w:name="_Hlk183042642"/>
      <w:bookmarkStart w:id="1" w:name="_Hlk183037667"/>
      <w:bookmarkStart w:id="2" w:name="_Hlk183038391"/>
      <w:r w:rsidRPr="00273C49">
        <w:rPr>
          <w:rFonts w:ascii="Book Antiqua" w:hAnsi="Book Antiqua"/>
          <w:sz w:val="28"/>
          <w:szCs w:val="28"/>
          <w:lang w:val="es-ES"/>
        </w:rPr>
        <w:t>GOBIERNO DE PUERTO RICO</w:t>
      </w:r>
    </w:p>
    <w:p w14:paraId="24353140" w14:textId="77777777" w:rsidR="007535BB" w:rsidRPr="00273C49" w:rsidRDefault="007535BB" w:rsidP="007535BB">
      <w:pPr>
        <w:jc w:val="center"/>
        <w:rPr>
          <w:rFonts w:ascii="Book Antiqua" w:hAnsi="Book Antiqua"/>
          <w:sz w:val="36"/>
          <w:lang w:val="es-ES"/>
        </w:rPr>
      </w:pPr>
    </w:p>
    <w:tbl>
      <w:tblPr>
        <w:tblW w:w="9609" w:type="dxa"/>
        <w:tblLook w:val="04A0" w:firstRow="1" w:lastRow="0" w:firstColumn="1" w:lastColumn="0" w:noHBand="0" w:noVBand="1"/>
      </w:tblPr>
      <w:tblGrid>
        <w:gridCol w:w="3170"/>
        <w:gridCol w:w="3171"/>
        <w:gridCol w:w="3268"/>
      </w:tblGrid>
      <w:tr w:rsidR="007535BB" w:rsidRPr="00273C49" w14:paraId="4DE77E24" w14:textId="77777777" w:rsidTr="00D95836">
        <w:trPr>
          <w:trHeight w:val="900"/>
        </w:trPr>
        <w:tc>
          <w:tcPr>
            <w:tcW w:w="3170" w:type="dxa"/>
          </w:tcPr>
          <w:p w14:paraId="27AF3912" w14:textId="77777777" w:rsidR="007535BB" w:rsidRPr="00273C49" w:rsidRDefault="007535BB" w:rsidP="00D95836">
            <w:pPr>
              <w:rPr>
                <w:rFonts w:ascii="Book Antiqua" w:hAnsi="Book Antiqua"/>
                <w:lang w:val="es-ES"/>
              </w:rPr>
            </w:pPr>
            <w:r w:rsidRPr="00273C49">
              <w:rPr>
                <w:rFonts w:ascii="Book Antiqua" w:hAnsi="Book Antiqua"/>
                <w:lang w:val="es-ES"/>
              </w:rPr>
              <w:t>20</w:t>
            </w:r>
            <w:r w:rsidRPr="00273C49">
              <w:rPr>
                <w:rFonts w:ascii="Book Antiqua" w:hAnsi="Book Antiqua"/>
                <w:vertAlign w:val="superscript"/>
                <w:lang w:val="es-ES"/>
              </w:rPr>
              <w:t>ma.</w:t>
            </w:r>
            <w:r w:rsidRPr="00273C49">
              <w:rPr>
                <w:rFonts w:ascii="Book Antiqua" w:hAnsi="Book Antiqua"/>
                <w:lang w:val="es-ES"/>
              </w:rPr>
              <w:tab/>
              <w:t>Asamblea</w:t>
            </w:r>
          </w:p>
          <w:p w14:paraId="082D32B2" w14:textId="77777777" w:rsidR="007535BB" w:rsidRPr="00273C49" w:rsidRDefault="007535BB" w:rsidP="00D95836">
            <w:pPr>
              <w:rPr>
                <w:rFonts w:ascii="Book Antiqua" w:hAnsi="Book Antiqua"/>
                <w:sz w:val="36"/>
                <w:lang w:val="es-ES"/>
              </w:rPr>
            </w:pPr>
            <w:r w:rsidRPr="00273C49">
              <w:rPr>
                <w:rFonts w:ascii="Book Antiqua" w:hAnsi="Book Antiqua"/>
                <w:lang w:val="es-ES"/>
              </w:rPr>
              <w:t xml:space="preserve">         </w:t>
            </w:r>
            <w:r w:rsidRPr="00273C49">
              <w:rPr>
                <w:rFonts w:ascii="Book Antiqua" w:hAnsi="Book Antiqua"/>
                <w:lang w:val="es-ES"/>
              </w:rPr>
              <w:tab/>
              <w:t xml:space="preserve">Legislativa                                                                                                          </w:t>
            </w:r>
          </w:p>
        </w:tc>
        <w:tc>
          <w:tcPr>
            <w:tcW w:w="3171" w:type="dxa"/>
          </w:tcPr>
          <w:p w14:paraId="48FE9142" w14:textId="77777777" w:rsidR="007535BB" w:rsidRPr="00273C49" w:rsidRDefault="007535BB" w:rsidP="00D95836">
            <w:pPr>
              <w:jc w:val="center"/>
              <w:rPr>
                <w:rFonts w:ascii="Book Antiqua" w:hAnsi="Book Antiqua"/>
                <w:sz w:val="36"/>
                <w:lang w:val="es-ES"/>
              </w:rPr>
            </w:pPr>
          </w:p>
        </w:tc>
        <w:tc>
          <w:tcPr>
            <w:tcW w:w="3268" w:type="dxa"/>
          </w:tcPr>
          <w:p w14:paraId="69176C76" w14:textId="2F06252B" w:rsidR="007535BB" w:rsidRPr="00273C49" w:rsidRDefault="007535BB" w:rsidP="00D95836">
            <w:pPr>
              <w:rPr>
                <w:rFonts w:ascii="Book Antiqua" w:hAnsi="Book Antiqua"/>
                <w:lang w:val="es-ES"/>
              </w:rPr>
            </w:pPr>
            <w:r w:rsidRPr="00273C49">
              <w:rPr>
                <w:rFonts w:ascii="Book Antiqua" w:hAnsi="Book Antiqua"/>
                <w:lang w:val="es-ES"/>
              </w:rPr>
              <w:tab/>
            </w:r>
            <w:r w:rsidR="00E17E3B" w:rsidRPr="00273C49">
              <w:rPr>
                <w:rFonts w:ascii="Book Antiqua" w:hAnsi="Book Antiqua"/>
                <w:lang w:val="es-ES"/>
              </w:rPr>
              <w:t>2</w:t>
            </w:r>
            <w:r w:rsidR="00E17E3B" w:rsidRPr="00273C49">
              <w:rPr>
                <w:rFonts w:ascii="Book Antiqua" w:hAnsi="Book Antiqua"/>
                <w:vertAlign w:val="superscript"/>
                <w:lang w:val="es-ES"/>
              </w:rPr>
              <w:t>d</w:t>
            </w:r>
            <w:r w:rsidRPr="00273C49">
              <w:rPr>
                <w:rFonts w:ascii="Book Antiqua" w:hAnsi="Book Antiqua"/>
                <w:vertAlign w:val="superscript"/>
                <w:lang w:val="es-ES"/>
              </w:rPr>
              <w:t>a.</w:t>
            </w:r>
            <w:r w:rsidRPr="00273C49">
              <w:rPr>
                <w:rFonts w:ascii="Book Antiqua" w:hAnsi="Book Antiqua"/>
                <w:lang w:val="es-ES"/>
              </w:rPr>
              <w:t xml:space="preserve"> Sesión</w:t>
            </w:r>
          </w:p>
          <w:p w14:paraId="42A8E2C1" w14:textId="6033C9E1" w:rsidR="007535BB" w:rsidRPr="00273C49" w:rsidRDefault="007535BB" w:rsidP="00D95836">
            <w:pPr>
              <w:rPr>
                <w:rFonts w:ascii="Book Antiqua" w:hAnsi="Book Antiqua"/>
                <w:lang w:val="es-ES"/>
              </w:rPr>
            </w:pPr>
            <w:r w:rsidRPr="00273C49">
              <w:rPr>
                <w:rFonts w:ascii="Book Antiqua" w:hAnsi="Book Antiqua"/>
                <w:lang w:val="es-ES"/>
              </w:rPr>
              <w:tab/>
              <w:t xml:space="preserve">      Ordinaria</w:t>
            </w:r>
          </w:p>
          <w:p w14:paraId="640FD190" w14:textId="77777777" w:rsidR="007535BB" w:rsidRPr="00273C49" w:rsidRDefault="007535BB" w:rsidP="00D95836">
            <w:pPr>
              <w:jc w:val="center"/>
              <w:rPr>
                <w:rFonts w:ascii="Book Antiqua" w:hAnsi="Book Antiqua"/>
                <w:sz w:val="36"/>
                <w:lang w:val="es-ES"/>
              </w:rPr>
            </w:pPr>
          </w:p>
        </w:tc>
      </w:tr>
    </w:tbl>
    <w:bookmarkEnd w:id="0"/>
    <w:p w14:paraId="44DF1C72" w14:textId="77777777" w:rsidR="007535BB" w:rsidRPr="00273C49" w:rsidRDefault="007535BB" w:rsidP="0027212A">
      <w:pPr>
        <w:spacing w:line="360" w:lineRule="auto"/>
        <w:jc w:val="center"/>
        <w:rPr>
          <w:rFonts w:ascii="Book Antiqua" w:hAnsi="Book Antiqua"/>
          <w:b/>
          <w:sz w:val="36"/>
          <w:lang w:val="es-ES"/>
        </w:rPr>
      </w:pPr>
      <w:r w:rsidRPr="00273C49">
        <w:rPr>
          <w:rFonts w:ascii="Book Antiqua" w:hAnsi="Book Antiqua"/>
          <w:b/>
          <w:sz w:val="36"/>
          <w:lang w:val="es-ES"/>
        </w:rPr>
        <w:t>SENADO DE PUERTO RICO</w:t>
      </w:r>
      <w:bookmarkEnd w:id="1"/>
    </w:p>
    <w:p w14:paraId="3E53146F" w14:textId="78662251" w:rsidR="007535BB" w:rsidRPr="00273C49" w:rsidRDefault="00F60859" w:rsidP="0027212A">
      <w:pPr>
        <w:spacing w:line="360" w:lineRule="auto"/>
        <w:jc w:val="center"/>
        <w:rPr>
          <w:rFonts w:ascii="Book Antiqua" w:hAnsi="Book Antiqua"/>
          <w:b/>
          <w:sz w:val="52"/>
          <w:lang w:val="es-ES"/>
        </w:rPr>
      </w:pPr>
      <w:r w:rsidRPr="00273C49">
        <w:rPr>
          <w:rFonts w:ascii="Book Antiqua" w:hAnsi="Book Antiqua"/>
          <w:b/>
          <w:sz w:val="52"/>
          <w:lang w:val="es-ES"/>
        </w:rPr>
        <w:t>P. de la C.</w:t>
      </w:r>
      <w:r w:rsidR="001B77AB" w:rsidRPr="00273C49">
        <w:rPr>
          <w:rFonts w:ascii="Book Antiqua" w:hAnsi="Book Antiqua"/>
          <w:b/>
          <w:sz w:val="52"/>
          <w:lang w:val="es-ES"/>
        </w:rPr>
        <w:t xml:space="preserve"> 13</w:t>
      </w:r>
    </w:p>
    <w:p w14:paraId="1443CA0F" w14:textId="77777777" w:rsidR="007535BB" w:rsidRPr="00273C49" w:rsidRDefault="007535BB" w:rsidP="0027212A">
      <w:pPr>
        <w:spacing w:line="360" w:lineRule="auto"/>
        <w:jc w:val="center"/>
        <w:rPr>
          <w:rFonts w:ascii="Book Antiqua" w:hAnsi="Book Antiqua"/>
          <w:b/>
          <w:bCs/>
          <w:lang w:val="es-ES"/>
        </w:rPr>
      </w:pPr>
      <w:r w:rsidRPr="00273C49">
        <w:rPr>
          <w:rFonts w:ascii="Book Antiqua" w:hAnsi="Book Antiqua"/>
          <w:b/>
          <w:bCs/>
          <w:lang w:val="es-ES"/>
        </w:rPr>
        <w:t xml:space="preserve"> </w:t>
      </w:r>
      <w:bookmarkStart w:id="3" w:name="_Hlk183037684"/>
      <w:r w:rsidR="001B5218" w:rsidRPr="00273C49">
        <w:rPr>
          <w:rFonts w:ascii="Book Antiqua" w:hAnsi="Book Antiqua"/>
          <w:b/>
          <w:bCs/>
          <w:sz w:val="28"/>
          <w:szCs w:val="22"/>
          <w:lang w:val="es-ES"/>
        </w:rPr>
        <w:t xml:space="preserve">INFORME POSITIVO </w:t>
      </w:r>
    </w:p>
    <w:p w14:paraId="07AB4BDD" w14:textId="6AAE0B90" w:rsidR="001B5218" w:rsidRPr="00273C49" w:rsidRDefault="00E41879" w:rsidP="0027212A">
      <w:pPr>
        <w:spacing w:line="360" w:lineRule="auto"/>
        <w:jc w:val="center"/>
        <w:rPr>
          <w:rFonts w:ascii="Book Antiqua" w:hAnsi="Book Antiqua"/>
          <w:lang w:val="es-ES"/>
        </w:rPr>
      </w:pPr>
      <w:r>
        <w:rPr>
          <w:rFonts w:ascii="Book Antiqua" w:hAnsi="Book Antiqua"/>
          <w:lang w:val="es-ES"/>
        </w:rPr>
        <w:t xml:space="preserve">14 </w:t>
      </w:r>
      <w:r w:rsidR="006239E8" w:rsidRPr="00273C49">
        <w:rPr>
          <w:rFonts w:ascii="Book Antiqua" w:hAnsi="Book Antiqua"/>
          <w:lang w:val="es-ES"/>
        </w:rPr>
        <w:t xml:space="preserve">de agosto </w:t>
      </w:r>
      <w:r w:rsidR="00D13D23" w:rsidRPr="00273C49">
        <w:rPr>
          <w:rFonts w:ascii="Book Antiqua" w:hAnsi="Book Antiqua"/>
          <w:lang w:val="es-ES"/>
        </w:rPr>
        <w:t>de 2025</w:t>
      </w:r>
    </w:p>
    <w:bookmarkEnd w:id="2"/>
    <w:bookmarkEnd w:id="3"/>
    <w:p w14:paraId="518A096B" w14:textId="07DCC0DC" w:rsidR="005B2884" w:rsidRPr="00273C49" w:rsidRDefault="001B5218" w:rsidP="00D04412">
      <w:pPr>
        <w:tabs>
          <w:tab w:val="left" w:pos="-720"/>
        </w:tabs>
        <w:suppressAutoHyphens/>
        <w:spacing w:before="240" w:after="240" w:line="276" w:lineRule="auto"/>
        <w:rPr>
          <w:rFonts w:ascii="Book Antiqua" w:hAnsi="Book Antiqua"/>
          <w:szCs w:val="24"/>
          <w:lang w:val="es-ES"/>
        </w:rPr>
      </w:pPr>
      <w:r w:rsidRPr="00273C49">
        <w:rPr>
          <w:rFonts w:ascii="Book Antiqua" w:hAnsi="Book Antiqua"/>
          <w:b/>
          <w:szCs w:val="24"/>
          <w:lang w:val="es-ES"/>
        </w:rPr>
        <w:t xml:space="preserve">AL SENADO DE PUERTO RICO: </w:t>
      </w:r>
    </w:p>
    <w:p w14:paraId="37982730" w14:textId="239402B2" w:rsidR="005B2884" w:rsidRPr="00273C49" w:rsidRDefault="00A52CD9" w:rsidP="00D04412">
      <w:pPr>
        <w:suppressAutoHyphens/>
        <w:spacing w:line="276" w:lineRule="auto"/>
        <w:jc w:val="both"/>
        <w:rPr>
          <w:rFonts w:ascii="Book Antiqua" w:hAnsi="Book Antiqua"/>
          <w:spacing w:val="-3"/>
          <w:lang w:val="es-ES"/>
        </w:rPr>
      </w:pPr>
      <w:r w:rsidRPr="00273C49">
        <w:rPr>
          <w:rFonts w:ascii="Book Antiqua" w:hAnsi="Book Antiqua"/>
          <w:spacing w:val="-3"/>
          <w:lang w:val="es-ES"/>
        </w:rPr>
        <w:t xml:space="preserve">      </w:t>
      </w:r>
      <w:r w:rsidR="009F427F" w:rsidRPr="00273C49">
        <w:rPr>
          <w:rFonts w:ascii="Book Antiqua" w:hAnsi="Book Antiqua"/>
          <w:spacing w:val="-3"/>
          <w:lang w:val="es-ES"/>
        </w:rPr>
        <w:tab/>
      </w:r>
      <w:r w:rsidR="001B5218" w:rsidRPr="00273C49">
        <w:rPr>
          <w:rFonts w:ascii="Book Antiqua" w:hAnsi="Book Antiqua"/>
          <w:spacing w:val="-3"/>
          <w:lang w:val="es-ES"/>
        </w:rPr>
        <w:t xml:space="preserve">La </w:t>
      </w:r>
      <w:r w:rsidR="00E17E3B" w:rsidRPr="00273C49">
        <w:rPr>
          <w:rFonts w:ascii="Book Antiqua" w:hAnsi="Book Antiqua"/>
          <w:spacing w:val="-3"/>
          <w:lang w:val="es-ES"/>
        </w:rPr>
        <w:t>Comisión de lo Jurídico del Senado de Puerto Rico</w:t>
      </w:r>
      <w:r w:rsidR="001B5218" w:rsidRPr="00273C49">
        <w:rPr>
          <w:rFonts w:ascii="Book Antiqua" w:hAnsi="Book Antiqua"/>
          <w:spacing w:val="-3"/>
          <w:lang w:val="es-ES"/>
        </w:rPr>
        <w:t>, previo estudio y consideración</w:t>
      </w:r>
      <w:r w:rsidR="009F427F" w:rsidRPr="00273C49">
        <w:rPr>
          <w:rFonts w:ascii="Book Antiqua" w:hAnsi="Book Antiqua"/>
          <w:spacing w:val="-3"/>
          <w:lang w:val="es-ES"/>
        </w:rPr>
        <w:t xml:space="preserve"> del </w:t>
      </w:r>
      <w:r w:rsidR="001B77AB" w:rsidRPr="00273C49">
        <w:rPr>
          <w:rFonts w:ascii="Book Antiqua" w:hAnsi="Book Antiqua"/>
          <w:spacing w:val="-3"/>
          <w:lang w:val="es-ES"/>
        </w:rPr>
        <w:t>Proyecto de la Cámara 13,</w:t>
      </w:r>
      <w:r w:rsidR="001B5218" w:rsidRPr="00273C49">
        <w:rPr>
          <w:rFonts w:ascii="Book Antiqua" w:hAnsi="Book Antiqua"/>
          <w:spacing w:val="-3"/>
          <w:lang w:val="es-ES"/>
        </w:rPr>
        <w:t xml:space="preserve"> </w:t>
      </w:r>
      <w:r w:rsidR="009F427F" w:rsidRPr="00273C49">
        <w:rPr>
          <w:rFonts w:ascii="Book Antiqua" w:hAnsi="Book Antiqua"/>
          <w:spacing w:val="-3"/>
          <w:lang w:val="es-ES"/>
        </w:rPr>
        <w:t>recomienda a este Alto Cuerpo su</w:t>
      </w:r>
      <w:r w:rsidR="008E051A" w:rsidRPr="00273C49">
        <w:rPr>
          <w:rFonts w:ascii="Book Antiqua" w:hAnsi="Book Antiqua"/>
          <w:spacing w:val="-3"/>
          <w:lang w:val="es-ES"/>
        </w:rPr>
        <w:t xml:space="preserve"> </w:t>
      </w:r>
      <w:r w:rsidR="001B5218" w:rsidRPr="00273C49">
        <w:rPr>
          <w:rFonts w:ascii="Book Antiqua" w:hAnsi="Book Antiqua"/>
          <w:spacing w:val="-3"/>
          <w:lang w:val="es-ES"/>
        </w:rPr>
        <w:t>aprobación, con las enmiendas contenidas en el entirillado electrónico que se acompaña</w:t>
      </w:r>
      <w:r w:rsidR="001B77AB" w:rsidRPr="00273C49">
        <w:rPr>
          <w:rFonts w:ascii="Book Antiqua" w:hAnsi="Book Antiqua"/>
          <w:spacing w:val="-3"/>
          <w:lang w:val="es-ES"/>
        </w:rPr>
        <w:t>.</w:t>
      </w:r>
    </w:p>
    <w:p w14:paraId="1C36686D" w14:textId="77777777" w:rsidR="000C52A1" w:rsidRPr="00273C49" w:rsidRDefault="000C52A1" w:rsidP="00D04412">
      <w:pPr>
        <w:suppressAutoHyphens/>
        <w:spacing w:line="276" w:lineRule="auto"/>
        <w:jc w:val="both"/>
        <w:rPr>
          <w:rFonts w:ascii="Book Antiqua" w:hAnsi="Book Antiqua"/>
          <w:spacing w:val="-3"/>
          <w:lang w:val="es-ES"/>
        </w:rPr>
      </w:pPr>
    </w:p>
    <w:p w14:paraId="632423B1" w14:textId="77777777" w:rsidR="0024131E" w:rsidRPr="00273C49" w:rsidRDefault="001B5218" w:rsidP="00D04412">
      <w:pPr>
        <w:tabs>
          <w:tab w:val="left" w:pos="-720"/>
        </w:tabs>
        <w:suppressAutoHyphens/>
        <w:spacing w:line="276" w:lineRule="auto"/>
        <w:jc w:val="center"/>
        <w:rPr>
          <w:rFonts w:ascii="Book Antiqua" w:hAnsi="Book Antiqua"/>
          <w:b/>
          <w:bCs/>
          <w:szCs w:val="24"/>
          <w:lang w:val="es-ES"/>
        </w:rPr>
      </w:pPr>
      <w:r w:rsidRPr="00273C49">
        <w:rPr>
          <w:rFonts w:ascii="Book Antiqua" w:hAnsi="Book Antiqua"/>
          <w:b/>
          <w:bCs/>
          <w:szCs w:val="24"/>
          <w:lang w:val="es-ES"/>
        </w:rPr>
        <w:t xml:space="preserve">ALCANCE DE LA MEDIDA </w:t>
      </w:r>
    </w:p>
    <w:p w14:paraId="5B5C79B2" w14:textId="77777777" w:rsidR="000C52A1" w:rsidRPr="00273C49" w:rsidRDefault="000C52A1" w:rsidP="00D04412">
      <w:pPr>
        <w:tabs>
          <w:tab w:val="left" w:pos="-720"/>
        </w:tabs>
        <w:suppressAutoHyphens/>
        <w:spacing w:line="276" w:lineRule="auto"/>
        <w:rPr>
          <w:rFonts w:ascii="Book Antiqua" w:hAnsi="Book Antiqua"/>
          <w:b/>
          <w:bCs/>
          <w:szCs w:val="24"/>
          <w:lang w:val="es-ES"/>
        </w:rPr>
      </w:pPr>
    </w:p>
    <w:p w14:paraId="7C7A3389" w14:textId="0EB00DB9" w:rsidR="006F51A8" w:rsidRPr="00273C49" w:rsidRDefault="009F427F" w:rsidP="00D04412">
      <w:pPr>
        <w:tabs>
          <w:tab w:val="left" w:pos="-720"/>
        </w:tabs>
        <w:suppressAutoHyphens/>
        <w:spacing w:line="276" w:lineRule="auto"/>
        <w:ind w:firstLine="360"/>
        <w:jc w:val="both"/>
        <w:rPr>
          <w:rFonts w:ascii="Book Antiqua" w:hAnsi="Book Antiqua"/>
          <w:lang w:val="es-ES"/>
        </w:rPr>
      </w:pPr>
      <w:r w:rsidRPr="00273C49">
        <w:rPr>
          <w:rFonts w:ascii="Book Antiqua" w:hAnsi="Book Antiqua"/>
          <w:lang w:val="es-ES"/>
        </w:rPr>
        <w:tab/>
      </w:r>
      <w:r w:rsidR="001B5218" w:rsidRPr="00273C49">
        <w:rPr>
          <w:rFonts w:ascii="Book Antiqua" w:hAnsi="Book Antiqua"/>
          <w:lang w:val="es-ES"/>
        </w:rPr>
        <w:t xml:space="preserve">El Proyecto </w:t>
      </w:r>
      <w:r w:rsidR="001B77AB" w:rsidRPr="00273C49">
        <w:rPr>
          <w:rFonts w:ascii="Book Antiqua" w:hAnsi="Book Antiqua"/>
          <w:lang w:val="es-ES"/>
        </w:rPr>
        <w:t>de la Cámara 13</w:t>
      </w:r>
      <w:r w:rsidRPr="00273C49">
        <w:rPr>
          <w:rFonts w:ascii="Book Antiqua" w:hAnsi="Book Antiqua"/>
          <w:lang w:val="es-ES"/>
        </w:rPr>
        <w:t xml:space="preserve"> (en adelante, P. </w:t>
      </w:r>
      <w:r w:rsidR="001B77AB" w:rsidRPr="00273C49">
        <w:rPr>
          <w:rFonts w:ascii="Book Antiqua" w:hAnsi="Book Antiqua"/>
          <w:lang w:val="es-ES"/>
        </w:rPr>
        <w:t>de la C. 13),</w:t>
      </w:r>
      <w:r w:rsidR="001B5218" w:rsidRPr="00273C49">
        <w:rPr>
          <w:rFonts w:ascii="Book Antiqua" w:hAnsi="Book Antiqua"/>
          <w:lang w:val="es-ES"/>
        </w:rPr>
        <w:t xml:space="preserve"> según </w:t>
      </w:r>
      <w:r w:rsidR="005354C6" w:rsidRPr="00273C49">
        <w:rPr>
          <w:rFonts w:ascii="Book Antiqua" w:hAnsi="Book Antiqua"/>
          <w:lang w:val="es-ES"/>
        </w:rPr>
        <w:t>presentado</w:t>
      </w:r>
      <w:r w:rsidR="001B5218" w:rsidRPr="00273C49">
        <w:rPr>
          <w:rFonts w:ascii="Book Antiqua" w:hAnsi="Book Antiqua"/>
          <w:lang w:val="es-ES"/>
        </w:rPr>
        <w:t>, tiene como propósito</w:t>
      </w:r>
      <w:bookmarkStart w:id="4" w:name="_Hlk194438498"/>
      <w:r w:rsidR="009060B1" w:rsidRPr="00273C49">
        <w:rPr>
          <w:rFonts w:ascii="Book Antiqua" w:hAnsi="Book Antiqua"/>
          <w:lang w:val="es-ES"/>
        </w:rPr>
        <w:t xml:space="preserve"> </w:t>
      </w:r>
      <w:r w:rsidR="009060B1" w:rsidRPr="00273C49">
        <w:rPr>
          <w:rFonts w:ascii="Book Antiqua" w:hAnsi="Book Antiqua"/>
          <w:szCs w:val="24"/>
          <w:lang w:val="es-ES"/>
        </w:rPr>
        <w:t>enmendar la Regla 23.1 de las de Procedimiento Civil de 2009, según enmendadas, a fin de establecer limitaciones en el descubrimiento de prueba con respecto a: (1) borradores de informes de personas peritas anunciadas como testigos en un procedimiento judicial; (2) comunicaciones entre un representante legal de una parte y las personas peritas anunciadas como testigos en un procedimiento judicial.</w:t>
      </w:r>
    </w:p>
    <w:bookmarkEnd w:id="4"/>
    <w:p w14:paraId="771800BC" w14:textId="77777777" w:rsidR="00A06A16" w:rsidRPr="00273C49" w:rsidRDefault="00A06A16" w:rsidP="00D04412">
      <w:pPr>
        <w:tabs>
          <w:tab w:val="left" w:pos="-720"/>
        </w:tabs>
        <w:suppressAutoHyphens/>
        <w:spacing w:line="276" w:lineRule="auto"/>
        <w:ind w:firstLine="360"/>
        <w:jc w:val="center"/>
        <w:rPr>
          <w:rFonts w:ascii="Book Antiqua" w:hAnsi="Book Antiqua"/>
          <w:b/>
          <w:bCs/>
          <w:lang w:val="es-ES"/>
        </w:rPr>
      </w:pPr>
    </w:p>
    <w:p w14:paraId="6EE110C6" w14:textId="695AAC9E" w:rsidR="006F51A8" w:rsidRPr="00273C49" w:rsidRDefault="009F427F" w:rsidP="00D04412">
      <w:pPr>
        <w:tabs>
          <w:tab w:val="left" w:pos="-720"/>
        </w:tabs>
        <w:suppressAutoHyphens/>
        <w:spacing w:line="276" w:lineRule="auto"/>
        <w:ind w:firstLine="360"/>
        <w:jc w:val="center"/>
        <w:rPr>
          <w:rFonts w:ascii="Book Antiqua" w:hAnsi="Book Antiqua"/>
          <w:b/>
          <w:bCs/>
          <w:lang w:val="es-ES"/>
        </w:rPr>
      </w:pPr>
      <w:r w:rsidRPr="00273C49">
        <w:rPr>
          <w:rFonts w:ascii="Book Antiqua" w:hAnsi="Book Antiqua"/>
          <w:b/>
          <w:bCs/>
          <w:lang w:val="es-ES"/>
        </w:rPr>
        <w:t>ANÁLISIS DE LA MEDIDA</w:t>
      </w:r>
    </w:p>
    <w:p w14:paraId="6FD2A601" w14:textId="77777777" w:rsidR="000C52A1" w:rsidRPr="00273C49" w:rsidRDefault="000C52A1" w:rsidP="00D04412">
      <w:pPr>
        <w:tabs>
          <w:tab w:val="left" w:pos="-720"/>
        </w:tabs>
        <w:suppressAutoHyphens/>
        <w:spacing w:line="276" w:lineRule="auto"/>
        <w:ind w:firstLine="360"/>
        <w:jc w:val="center"/>
        <w:rPr>
          <w:rFonts w:ascii="Book Antiqua" w:hAnsi="Book Antiqua"/>
          <w:b/>
          <w:bCs/>
          <w:lang w:val="es-ES"/>
        </w:rPr>
      </w:pPr>
    </w:p>
    <w:p w14:paraId="57F7453E" w14:textId="75E94FE5" w:rsidR="00FC4778" w:rsidRDefault="009F524F" w:rsidP="00D04412">
      <w:pPr>
        <w:tabs>
          <w:tab w:val="left" w:pos="-720"/>
        </w:tabs>
        <w:suppressAutoHyphens/>
        <w:spacing w:line="276" w:lineRule="auto"/>
        <w:ind w:firstLine="360"/>
        <w:jc w:val="both"/>
        <w:rPr>
          <w:rFonts w:ascii="Book Antiqua" w:hAnsi="Book Antiqua"/>
          <w:lang w:val="es-ES"/>
        </w:rPr>
      </w:pPr>
      <w:r w:rsidRPr="00273C49">
        <w:rPr>
          <w:rFonts w:ascii="Book Antiqua" w:hAnsi="Book Antiqua"/>
          <w:lang w:val="es-ES"/>
        </w:rPr>
        <w:tab/>
      </w:r>
      <w:r w:rsidR="00551F3B" w:rsidRPr="00273C49">
        <w:rPr>
          <w:rFonts w:ascii="Book Antiqua" w:hAnsi="Book Antiqua"/>
          <w:lang w:val="es-ES"/>
        </w:rPr>
        <w:t xml:space="preserve">El P. de la C. 13 tiene iguales </w:t>
      </w:r>
      <w:r w:rsidR="00273C49" w:rsidRPr="00273C49">
        <w:rPr>
          <w:rFonts w:ascii="Book Antiqua" w:hAnsi="Book Antiqua"/>
          <w:lang w:val="es-ES"/>
        </w:rPr>
        <w:t>propósitos</w:t>
      </w:r>
      <w:r w:rsidR="00551F3B" w:rsidRPr="00273C49">
        <w:rPr>
          <w:rFonts w:ascii="Book Antiqua" w:hAnsi="Book Antiqua"/>
          <w:lang w:val="es-ES"/>
        </w:rPr>
        <w:t xml:space="preserve"> que el P. del S. 51, esto es</w:t>
      </w:r>
      <w:r w:rsidR="00F96FA7">
        <w:rPr>
          <w:rFonts w:ascii="Book Antiqua" w:hAnsi="Book Antiqua"/>
          <w:lang w:val="es-ES"/>
        </w:rPr>
        <w:t>:</w:t>
      </w:r>
      <w:r w:rsidR="00551F3B" w:rsidRPr="00273C49">
        <w:rPr>
          <w:rFonts w:ascii="Book Antiqua" w:hAnsi="Book Antiqua"/>
          <w:lang w:val="es-ES"/>
        </w:rPr>
        <w:t xml:space="preserve"> </w:t>
      </w:r>
      <w:r w:rsidR="00273C49" w:rsidRPr="00273C49">
        <w:rPr>
          <w:rFonts w:ascii="Book Antiqua" w:hAnsi="Book Antiqua"/>
          <w:lang w:val="es-ES"/>
        </w:rPr>
        <w:t xml:space="preserve">acoger en Puerto Rico la doctrina del </w:t>
      </w:r>
      <w:proofErr w:type="spellStart"/>
      <w:r w:rsidR="00273C49" w:rsidRPr="00273C49">
        <w:rPr>
          <w:rFonts w:ascii="Book Antiqua" w:hAnsi="Book Antiqua"/>
          <w:i/>
          <w:iCs/>
          <w:lang w:val="es-ES"/>
        </w:rPr>
        <w:t>work</w:t>
      </w:r>
      <w:proofErr w:type="spellEnd"/>
      <w:r w:rsidR="00273C49" w:rsidRPr="00273C49">
        <w:rPr>
          <w:rFonts w:ascii="Book Antiqua" w:hAnsi="Book Antiqua"/>
          <w:i/>
          <w:iCs/>
          <w:lang w:val="es-ES"/>
        </w:rPr>
        <w:t xml:space="preserve"> </w:t>
      </w:r>
      <w:proofErr w:type="spellStart"/>
      <w:r w:rsidR="00273C49" w:rsidRPr="00273C49">
        <w:rPr>
          <w:rFonts w:ascii="Book Antiqua" w:hAnsi="Book Antiqua"/>
          <w:i/>
          <w:iCs/>
          <w:lang w:val="es-ES"/>
        </w:rPr>
        <w:t>product</w:t>
      </w:r>
      <w:proofErr w:type="spellEnd"/>
      <w:r w:rsidR="00273C49" w:rsidRPr="00273C49">
        <w:rPr>
          <w:rFonts w:ascii="Book Antiqua" w:hAnsi="Book Antiqua"/>
          <w:lang w:val="es-ES"/>
        </w:rPr>
        <w:t xml:space="preserve"> en la relación abogado-perito.</w:t>
      </w:r>
      <w:r w:rsidR="00273C49">
        <w:rPr>
          <w:rFonts w:ascii="Book Antiqua" w:hAnsi="Book Antiqua"/>
          <w:lang w:val="es-ES"/>
        </w:rPr>
        <w:t xml:space="preserve"> Esta Comisión de lo Jurídico tuvo la oportunidad de ponderar y analizar las disposiciones y efectos del P. del S. 51. Por ende, acogemos en el presente informe nuestro análisis en cuanto </w:t>
      </w:r>
      <w:r w:rsidR="0036117E">
        <w:rPr>
          <w:rFonts w:ascii="Book Antiqua" w:hAnsi="Book Antiqua"/>
          <w:lang w:val="es-ES"/>
        </w:rPr>
        <w:t>a</w:t>
      </w:r>
      <w:r w:rsidR="00273C49">
        <w:rPr>
          <w:rFonts w:ascii="Book Antiqua" w:hAnsi="Book Antiqua"/>
          <w:lang w:val="es-ES"/>
        </w:rPr>
        <w:t xml:space="preserve"> la </w:t>
      </w:r>
      <w:r w:rsidR="00273C49" w:rsidRPr="00273C49">
        <w:rPr>
          <w:rFonts w:ascii="Book Antiqua" w:hAnsi="Book Antiqua"/>
          <w:lang w:val="es-ES"/>
        </w:rPr>
        <w:t xml:space="preserve">doctrina del </w:t>
      </w:r>
      <w:proofErr w:type="spellStart"/>
      <w:r w:rsidR="00273C49" w:rsidRPr="00273C49">
        <w:rPr>
          <w:rFonts w:ascii="Book Antiqua" w:hAnsi="Book Antiqua"/>
          <w:i/>
          <w:iCs/>
          <w:lang w:val="es-ES"/>
        </w:rPr>
        <w:t>work</w:t>
      </w:r>
      <w:proofErr w:type="spellEnd"/>
      <w:r w:rsidR="00273C49" w:rsidRPr="00273C49">
        <w:rPr>
          <w:rFonts w:ascii="Book Antiqua" w:hAnsi="Book Antiqua"/>
          <w:i/>
          <w:iCs/>
          <w:lang w:val="es-ES"/>
        </w:rPr>
        <w:t xml:space="preserve"> </w:t>
      </w:r>
      <w:proofErr w:type="spellStart"/>
      <w:r w:rsidR="00273C49" w:rsidRPr="00273C49">
        <w:rPr>
          <w:rFonts w:ascii="Book Antiqua" w:hAnsi="Book Antiqua"/>
          <w:i/>
          <w:iCs/>
          <w:lang w:val="es-ES"/>
        </w:rPr>
        <w:t>product</w:t>
      </w:r>
      <w:proofErr w:type="spellEnd"/>
      <w:r w:rsidR="00273C49" w:rsidRPr="00273C49">
        <w:rPr>
          <w:rFonts w:ascii="Book Antiqua" w:hAnsi="Book Antiqua"/>
          <w:lang w:val="es-ES"/>
        </w:rPr>
        <w:t xml:space="preserve"> en la relación abogado-perito</w:t>
      </w:r>
      <w:r w:rsidR="0036117E">
        <w:rPr>
          <w:rFonts w:ascii="Book Antiqua" w:hAnsi="Book Antiqua"/>
          <w:lang w:val="es-ES"/>
        </w:rPr>
        <w:t xml:space="preserve"> y sus efectos en nuestro ordenamiento jurídico local</w:t>
      </w:r>
      <w:r w:rsidR="00273C49">
        <w:rPr>
          <w:rFonts w:ascii="Book Antiqua" w:hAnsi="Book Antiqua"/>
          <w:lang w:val="es-ES"/>
        </w:rPr>
        <w:t>.</w:t>
      </w:r>
    </w:p>
    <w:p w14:paraId="0373AE20" w14:textId="44283D4E" w:rsidR="00903D2A" w:rsidRDefault="00FC4778" w:rsidP="00D04412">
      <w:pPr>
        <w:tabs>
          <w:tab w:val="left" w:pos="-720"/>
        </w:tabs>
        <w:suppressAutoHyphens/>
        <w:spacing w:line="276" w:lineRule="auto"/>
        <w:ind w:firstLine="360"/>
        <w:jc w:val="both"/>
        <w:rPr>
          <w:rFonts w:ascii="Book Antiqua" w:hAnsi="Book Antiqua"/>
          <w:lang w:val="es-ES"/>
        </w:rPr>
      </w:pPr>
      <w:r>
        <w:rPr>
          <w:rFonts w:ascii="Book Antiqua" w:hAnsi="Book Antiqua"/>
          <w:lang w:val="es-ES"/>
        </w:rPr>
        <w:lastRenderedPageBreak/>
        <w:tab/>
      </w:r>
      <w:r w:rsidR="00903D2A">
        <w:rPr>
          <w:rFonts w:ascii="Book Antiqua" w:hAnsi="Book Antiqua"/>
          <w:lang w:val="es-ES"/>
        </w:rPr>
        <w:t xml:space="preserve">En Puerto Rico </w:t>
      </w:r>
      <w:r w:rsidR="00903D2A" w:rsidRPr="002A4187">
        <w:rPr>
          <w:rFonts w:ascii="Book Antiqua" w:hAnsi="Book Antiqua"/>
          <w:lang w:val="es-ES"/>
        </w:rPr>
        <w:t>los peritos consultores</w:t>
      </w:r>
      <w:r w:rsidR="00903D2A">
        <w:rPr>
          <w:rStyle w:val="FootnoteReference"/>
          <w:rFonts w:ascii="Book Antiqua" w:hAnsi="Book Antiqua"/>
          <w:lang w:val="es-ES"/>
        </w:rPr>
        <w:footnoteReference w:id="1"/>
      </w:r>
      <w:r w:rsidR="00903D2A" w:rsidRPr="002A4187">
        <w:rPr>
          <w:rFonts w:ascii="Book Antiqua" w:hAnsi="Book Antiqua"/>
          <w:lang w:val="es-ES"/>
        </w:rPr>
        <w:t xml:space="preserve"> están protegidos por la doctrina </w:t>
      </w:r>
      <w:r w:rsidR="00903D2A" w:rsidRPr="002A4187">
        <w:rPr>
          <w:rFonts w:ascii="Book Antiqua" w:hAnsi="Book Antiqua"/>
          <w:i/>
          <w:iCs/>
          <w:lang w:val="es-ES"/>
        </w:rPr>
        <w:t xml:space="preserve">del </w:t>
      </w:r>
      <w:proofErr w:type="spellStart"/>
      <w:r w:rsidR="00903D2A" w:rsidRPr="002A4187">
        <w:rPr>
          <w:rFonts w:ascii="Book Antiqua" w:hAnsi="Book Antiqua"/>
          <w:i/>
          <w:iCs/>
          <w:lang w:val="es-ES"/>
        </w:rPr>
        <w:t>work</w:t>
      </w:r>
      <w:proofErr w:type="spellEnd"/>
      <w:r w:rsidR="00903D2A" w:rsidRPr="002A4187">
        <w:rPr>
          <w:rFonts w:ascii="Book Antiqua" w:hAnsi="Book Antiqua"/>
          <w:i/>
          <w:iCs/>
          <w:lang w:val="es-ES"/>
        </w:rPr>
        <w:t xml:space="preserve"> </w:t>
      </w:r>
      <w:proofErr w:type="spellStart"/>
      <w:r w:rsidR="00903D2A" w:rsidRPr="002A4187">
        <w:rPr>
          <w:rFonts w:ascii="Book Antiqua" w:hAnsi="Book Antiqua"/>
          <w:i/>
          <w:iCs/>
          <w:lang w:val="es-ES"/>
        </w:rPr>
        <w:t>product</w:t>
      </w:r>
      <w:proofErr w:type="spellEnd"/>
      <w:r w:rsidR="00903D2A" w:rsidRPr="002A4187">
        <w:rPr>
          <w:rFonts w:ascii="Book Antiqua" w:hAnsi="Book Antiqua"/>
          <w:lang w:val="es-ES"/>
        </w:rPr>
        <w:t>.</w:t>
      </w:r>
      <w:r w:rsidR="00903D2A">
        <w:rPr>
          <w:rStyle w:val="FootnoteReference"/>
          <w:rFonts w:ascii="Book Antiqua" w:hAnsi="Book Antiqua"/>
        </w:rPr>
        <w:footnoteReference w:id="2"/>
      </w:r>
      <w:r w:rsidR="00903D2A">
        <w:rPr>
          <w:rFonts w:ascii="Book Antiqua" w:hAnsi="Book Antiqua"/>
          <w:lang w:val="es-ES"/>
        </w:rPr>
        <w:t xml:space="preserve"> El</w:t>
      </w:r>
      <w:r w:rsidR="00903D2A" w:rsidRPr="00072A35">
        <w:rPr>
          <w:rFonts w:ascii="Book Antiqua" w:hAnsi="Book Antiqua"/>
          <w:lang w:val="es-ES"/>
        </w:rPr>
        <w:t xml:space="preserve"> </w:t>
      </w:r>
      <w:proofErr w:type="spellStart"/>
      <w:r w:rsidR="00903D2A" w:rsidRPr="00072A35">
        <w:rPr>
          <w:rFonts w:ascii="Book Antiqua" w:hAnsi="Book Antiqua"/>
          <w:i/>
          <w:iCs/>
          <w:lang w:val="es-ES"/>
        </w:rPr>
        <w:t>work</w:t>
      </w:r>
      <w:proofErr w:type="spellEnd"/>
      <w:r w:rsidR="00903D2A" w:rsidRPr="00072A35">
        <w:rPr>
          <w:rFonts w:ascii="Book Antiqua" w:hAnsi="Book Antiqua"/>
          <w:i/>
          <w:iCs/>
          <w:lang w:val="es-ES"/>
        </w:rPr>
        <w:t xml:space="preserve"> </w:t>
      </w:r>
      <w:proofErr w:type="spellStart"/>
      <w:r w:rsidR="00903D2A" w:rsidRPr="00072A35">
        <w:rPr>
          <w:rFonts w:ascii="Book Antiqua" w:hAnsi="Book Antiqua"/>
          <w:i/>
          <w:iCs/>
          <w:lang w:val="es-ES"/>
        </w:rPr>
        <w:t>product</w:t>
      </w:r>
      <w:proofErr w:type="spellEnd"/>
      <w:r w:rsidR="00903D2A" w:rsidRPr="00072A35">
        <w:rPr>
          <w:rFonts w:ascii="Book Antiqua" w:hAnsi="Book Antiqua"/>
          <w:lang w:val="es-ES"/>
        </w:rPr>
        <w:t xml:space="preserve"> consiste </w:t>
      </w:r>
      <w:r w:rsidR="00903D2A">
        <w:rPr>
          <w:rFonts w:ascii="Book Antiqua" w:hAnsi="Book Antiqua"/>
          <w:lang w:val="es-ES"/>
        </w:rPr>
        <w:t>en</w:t>
      </w:r>
      <w:r w:rsidR="00903D2A" w:rsidRPr="00072A35">
        <w:rPr>
          <w:rFonts w:ascii="Book Antiqua" w:hAnsi="Book Antiqua"/>
          <w:lang w:val="es-ES"/>
        </w:rPr>
        <w:t xml:space="preserve"> </w:t>
      </w:r>
      <w:r w:rsidR="00903D2A">
        <w:rPr>
          <w:rFonts w:ascii="Book Antiqua" w:hAnsi="Book Antiqua"/>
          <w:lang w:val="es-ES"/>
        </w:rPr>
        <w:t>“</w:t>
      </w:r>
      <w:r w:rsidR="00903D2A" w:rsidRPr="00072A35">
        <w:rPr>
          <w:rFonts w:ascii="Book Antiqua" w:hAnsi="Book Antiqua"/>
          <w:lang w:val="es-ES"/>
        </w:rPr>
        <w:t>esa información que [el abogado] ha reunido y las impresiones mentales, teorías legales y estrategia que él persigue o ha adoptado, derivadas de entrevistas, declaraciones, memorándums, correspondencia, resúmenes, investigaciones de hechos o de derecho, creencias personales y otros medios tangibles e intangibles</w:t>
      </w:r>
      <w:r w:rsidR="00903D2A">
        <w:rPr>
          <w:rFonts w:ascii="Book Antiqua" w:hAnsi="Book Antiqua"/>
          <w:lang w:val="es-ES"/>
        </w:rPr>
        <w:t>”.</w:t>
      </w:r>
      <w:r w:rsidR="00903D2A">
        <w:rPr>
          <w:rStyle w:val="FootnoteReference"/>
          <w:rFonts w:ascii="Book Antiqua" w:hAnsi="Book Antiqua"/>
          <w:lang w:val="es-ES"/>
        </w:rPr>
        <w:footnoteReference w:id="3"/>
      </w:r>
      <w:r w:rsidR="00903D2A">
        <w:rPr>
          <w:rFonts w:ascii="Book Antiqua" w:hAnsi="Book Antiqua"/>
          <w:lang w:val="es-ES"/>
        </w:rPr>
        <w:t xml:space="preserve"> </w:t>
      </w:r>
      <w:r w:rsidR="00903D2A" w:rsidRPr="002A4187">
        <w:rPr>
          <w:rFonts w:ascii="Book Antiqua" w:hAnsi="Book Antiqua"/>
          <w:lang w:val="es-ES"/>
        </w:rPr>
        <w:t xml:space="preserve">Sin embargo, </w:t>
      </w:r>
      <w:r w:rsidR="00903D2A">
        <w:rPr>
          <w:rFonts w:ascii="Book Antiqua" w:hAnsi="Book Antiqua"/>
          <w:lang w:val="es-ES"/>
        </w:rPr>
        <w:t xml:space="preserve">los peritos </w:t>
      </w:r>
      <w:r w:rsidR="00903D2A" w:rsidRPr="002A4187">
        <w:rPr>
          <w:rFonts w:ascii="Book Antiqua" w:hAnsi="Book Antiqua"/>
          <w:lang w:val="es-ES"/>
        </w:rPr>
        <w:t>pierden la referida protección cuando el perito consultor es sentado a declarar como testigo.</w:t>
      </w:r>
      <w:r w:rsidR="00903D2A">
        <w:rPr>
          <w:rStyle w:val="FootnoteReference"/>
          <w:rFonts w:ascii="Book Antiqua" w:hAnsi="Book Antiqua"/>
          <w:lang w:val="es-ES"/>
        </w:rPr>
        <w:footnoteReference w:id="4"/>
      </w:r>
      <w:r w:rsidR="00903D2A" w:rsidRPr="002A4187">
        <w:rPr>
          <w:rFonts w:ascii="Book Antiqua" w:hAnsi="Book Antiqua"/>
          <w:lang w:val="es-ES"/>
        </w:rPr>
        <w:t xml:space="preserve"> Conforme a lo anterior, los peritos consultores gozan de ciertas protecciones no disponibles para los peritos testigos.</w:t>
      </w:r>
    </w:p>
    <w:p w14:paraId="07EBB242" w14:textId="77777777" w:rsidR="00903D2A" w:rsidRDefault="00903D2A" w:rsidP="00D04412">
      <w:pPr>
        <w:tabs>
          <w:tab w:val="left" w:pos="-720"/>
        </w:tabs>
        <w:suppressAutoHyphens/>
        <w:spacing w:line="276" w:lineRule="auto"/>
        <w:ind w:firstLine="360"/>
        <w:jc w:val="both"/>
        <w:rPr>
          <w:rFonts w:ascii="Book Antiqua" w:hAnsi="Book Antiqua"/>
          <w:lang w:val="es-ES"/>
        </w:rPr>
      </w:pPr>
      <w:r>
        <w:rPr>
          <w:rFonts w:ascii="Book Antiqua" w:hAnsi="Book Antiqua"/>
          <w:lang w:val="es-ES"/>
        </w:rPr>
        <w:tab/>
        <w:t>Esta norma surge del texto del inciso (C) de la Regla 23.1, sobre alcance del descubrimiento de prueba, de las Reglas de Procedimiento Civil:</w:t>
      </w:r>
    </w:p>
    <w:p w14:paraId="78223D07" w14:textId="77777777" w:rsidR="00903D2A" w:rsidRDefault="00903D2A" w:rsidP="00D04412">
      <w:pPr>
        <w:tabs>
          <w:tab w:val="left" w:pos="-720"/>
        </w:tabs>
        <w:suppressAutoHyphens/>
        <w:spacing w:line="276" w:lineRule="auto"/>
        <w:ind w:firstLine="360"/>
        <w:jc w:val="both"/>
        <w:rPr>
          <w:rFonts w:ascii="Book Antiqua" w:hAnsi="Book Antiqua"/>
          <w:lang w:val="es-ES"/>
        </w:rPr>
      </w:pPr>
    </w:p>
    <w:p w14:paraId="548C3871" w14:textId="77777777" w:rsidR="00903D2A" w:rsidRPr="00B15E45" w:rsidRDefault="00903D2A" w:rsidP="00D04412">
      <w:pPr>
        <w:tabs>
          <w:tab w:val="left" w:pos="-720"/>
        </w:tabs>
        <w:suppressAutoHyphens/>
        <w:spacing w:line="276" w:lineRule="auto"/>
        <w:ind w:left="720" w:right="720"/>
        <w:jc w:val="both"/>
        <w:rPr>
          <w:rFonts w:ascii="Book Antiqua" w:hAnsi="Book Antiqua"/>
          <w:lang w:val="es-ES"/>
        </w:rPr>
      </w:pPr>
      <w:r w:rsidRPr="00B15E45">
        <w:rPr>
          <w:rFonts w:ascii="Book Antiqua" w:hAnsi="Book Antiqua"/>
          <w:lang w:val="es-ES"/>
        </w:rPr>
        <w:t>(c) Persona perita. — El descubrimiento de prueba pericial podrá llevarse a cabo como sigue:</w:t>
      </w:r>
    </w:p>
    <w:p w14:paraId="225E2D7B" w14:textId="77777777" w:rsidR="00903D2A" w:rsidRDefault="00903D2A" w:rsidP="00D04412">
      <w:pPr>
        <w:tabs>
          <w:tab w:val="left" w:pos="-720"/>
        </w:tabs>
        <w:suppressAutoHyphens/>
        <w:spacing w:line="276" w:lineRule="auto"/>
        <w:ind w:left="720" w:right="720"/>
        <w:jc w:val="both"/>
        <w:rPr>
          <w:rFonts w:ascii="Book Antiqua" w:hAnsi="Book Antiqua"/>
          <w:lang w:val="es-ES"/>
        </w:rPr>
      </w:pPr>
    </w:p>
    <w:p w14:paraId="120386C7" w14:textId="77777777" w:rsidR="00903D2A" w:rsidRPr="00B15E45" w:rsidRDefault="00903D2A" w:rsidP="00D04412">
      <w:pPr>
        <w:tabs>
          <w:tab w:val="left" w:pos="-720"/>
        </w:tabs>
        <w:suppressAutoHyphens/>
        <w:spacing w:line="276" w:lineRule="auto"/>
        <w:ind w:left="720" w:right="720"/>
        <w:jc w:val="both"/>
        <w:rPr>
          <w:rFonts w:ascii="Book Antiqua" w:hAnsi="Book Antiqua"/>
          <w:lang w:val="es-ES"/>
        </w:rPr>
      </w:pPr>
      <w:r w:rsidRPr="00B15E45">
        <w:rPr>
          <w:rFonts w:ascii="Book Antiqua" w:hAnsi="Book Antiqua"/>
          <w:lang w:val="es-ES"/>
        </w:rPr>
        <w:t>(1) Una parte podrá, a través de interrogatorios, requerir a cualquier otra parte que</w:t>
      </w:r>
      <w:r>
        <w:rPr>
          <w:rFonts w:ascii="Book Antiqua" w:hAnsi="Book Antiqua"/>
          <w:lang w:val="es-ES"/>
        </w:rPr>
        <w:t xml:space="preserve"> </w:t>
      </w:r>
      <w:r w:rsidRPr="00B15E45">
        <w:rPr>
          <w:rFonts w:ascii="Book Antiqua" w:hAnsi="Book Antiqua"/>
          <w:lang w:val="es-ES"/>
        </w:rPr>
        <w:t>suministre</w:t>
      </w:r>
      <w:r>
        <w:rPr>
          <w:rFonts w:ascii="Book Antiqua" w:hAnsi="Book Antiqua"/>
          <w:lang w:val="es-ES"/>
        </w:rPr>
        <w:t xml:space="preserve"> </w:t>
      </w:r>
      <w:r w:rsidRPr="00B15E45">
        <w:rPr>
          <w:rFonts w:ascii="Book Antiqua" w:hAnsi="Book Antiqua"/>
          <w:lang w:val="es-ES"/>
        </w:rPr>
        <w:t xml:space="preserve">el nombre y la dirección de las personas peritas que haya consultado y </w:t>
      </w:r>
      <w:r w:rsidRPr="00612C81">
        <w:rPr>
          <w:rFonts w:ascii="Book Antiqua" w:hAnsi="Book Antiqua"/>
          <w:b/>
          <w:bCs/>
          <w:lang w:val="es-ES"/>
        </w:rPr>
        <w:t>de las que intente presentar en el juicio</w:t>
      </w:r>
      <w:r w:rsidRPr="00B15E45">
        <w:rPr>
          <w:rFonts w:ascii="Book Antiqua" w:hAnsi="Book Antiqua"/>
          <w:lang w:val="es-ES"/>
        </w:rPr>
        <w:t>. Respecto a estos últimos, podrá requerirse a la parte que exprese la</w:t>
      </w:r>
      <w:r>
        <w:rPr>
          <w:rFonts w:ascii="Book Antiqua" w:hAnsi="Book Antiqua"/>
          <w:lang w:val="es-ES"/>
        </w:rPr>
        <w:t xml:space="preserve"> </w:t>
      </w:r>
      <w:r w:rsidRPr="00B15E45">
        <w:rPr>
          <w:rFonts w:ascii="Book Antiqua" w:hAnsi="Book Antiqua"/>
          <w:lang w:val="es-ES"/>
        </w:rPr>
        <w:t>materia sobre la cual la persona perita se propone declarar, así como un resumen de sus</w:t>
      </w:r>
      <w:r>
        <w:rPr>
          <w:rFonts w:ascii="Book Antiqua" w:hAnsi="Book Antiqua"/>
          <w:lang w:val="es-ES"/>
        </w:rPr>
        <w:t xml:space="preserve"> </w:t>
      </w:r>
      <w:r w:rsidRPr="00B15E45">
        <w:rPr>
          <w:rFonts w:ascii="Book Antiqua" w:hAnsi="Book Antiqua"/>
          <w:lang w:val="es-ES"/>
        </w:rPr>
        <w:t>opiniones y una breve expresión de las teorías, los hechos o los argumentos que sostienen las</w:t>
      </w:r>
      <w:r>
        <w:rPr>
          <w:rFonts w:ascii="Book Antiqua" w:hAnsi="Book Antiqua"/>
          <w:lang w:val="es-ES"/>
        </w:rPr>
        <w:t xml:space="preserve"> </w:t>
      </w:r>
      <w:r w:rsidRPr="00B15E45">
        <w:rPr>
          <w:rFonts w:ascii="Book Antiqua" w:hAnsi="Book Antiqua"/>
          <w:lang w:val="es-ES"/>
        </w:rPr>
        <w:t>opiniones. A solicitud de parte, el tribunal podrá ordenar el descubrimiento de prueba pericial</w:t>
      </w:r>
      <w:r>
        <w:rPr>
          <w:rFonts w:ascii="Book Antiqua" w:hAnsi="Book Antiqua"/>
          <w:lang w:val="es-ES"/>
        </w:rPr>
        <w:t xml:space="preserve"> </w:t>
      </w:r>
      <w:r w:rsidRPr="00B15E45">
        <w:rPr>
          <w:rFonts w:ascii="Book Antiqua" w:hAnsi="Book Antiqua"/>
          <w:lang w:val="es-ES"/>
        </w:rPr>
        <w:t>por cualquier otro medio, sujeto a aquellas condiciones o limitaciones que estime razonables.</w:t>
      </w:r>
    </w:p>
    <w:p w14:paraId="2C563186" w14:textId="77777777" w:rsidR="00903D2A" w:rsidRDefault="00903D2A" w:rsidP="00D04412">
      <w:pPr>
        <w:tabs>
          <w:tab w:val="left" w:pos="-720"/>
        </w:tabs>
        <w:suppressAutoHyphens/>
        <w:spacing w:line="276" w:lineRule="auto"/>
        <w:ind w:left="720" w:right="720"/>
        <w:jc w:val="both"/>
        <w:rPr>
          <w:rFonts w:ascii="Book Antiqua" w:hAnsi="Book Antiqua"/>
          <w:lang w:val="es-ES"/>
        </w:rPr>
      </w:pPr>
    </w:p>
    <w:p w14:paraId="01B6A21F" w14:textId="77777777" w:rsidR="00903D2A" w:rsidRPr="00B15E45" w:rsidRDefault="00903D2A" w:rsidP="00D04412">
      <w:pPr>
        <w:tabs>
          <w:tab w:val="left" w:pos="-720"/>
        </w:tabs>
        <w:suppressAutoHyphens/>
        <w:spacing w:line="276" w:lineRule="auto"/>
        <w:ind w:left="720" w:right="720"/>
        <w:jc w:val="both"/>
        <w:rPr>
          <w:rFonts w:ascii="Book Antiqua" w:hAnsi="Book Antiqua"/>
          <w:lang w:val="es-ES"/>
        </w:rPr>
      </w:pPr>
      <w:r w:rsidRPr="00B15E45">
        <w:rPr>
          <w:rFonts w:ascii="Book Antiqua" w:hAnsi="Book Antiqua"/>
          <w:lang w:val="es-ES"/>
        </w:rPr>
        <w:t>(2) Una parte podrá hacer uso de los métodos de descubrimiento en relación a hechos</w:t>
      </w:r>
      <w:r>
        <w:rPr>
          <w:rFonts w:ascii="Book Antiqua" w:hAnsi="Book Antiqua"/>
          <w:lang w:val="es-ES"/>
        </w:rPr>
        <w:t xml:space="preserve"> </w:t>
      </w:r>
      <w:r w:rsidRPr="00B15E45">
        <w:rPr>
          <w:rFonts w:ascii="Book Antiqua" w:hAnsi="Book Antiqua"/>
          <w:lang w:val="es-ES"/>
        </w:rPr>
        <w:t>conocidos u opiniones de una persona perita que ha sido contratada por otra parte con</w:t>
      </w:r>
      <w:r>
        <w:rPr>
          <w:rFonts w:ascii="Book Antiqua" w:hAnsi="Book Antiqua"/>
          <w:lang w:val="es-ES"/>
        </w:rPr>
        <w:t xml:space="preserve"> </w:t>
      </w:r>
      <w:r w:rsidRPr="00B15E45">
        <w:rPr>
          <w:rFonts w:ascii="Book Antiqua" w:hAnsi="Book Antiqua"/>
          <w:lang w:val="es-ES"/>
        </w:rPr>
        <w:t>anterioridad al pleito o en preparación para el juicio y la cual no habrá de ser llamada a testificar</w:t>
      </w:r>
      <w:r>
        <w:rPr>
          <w:rFonts w:ascii="Book Antiqua" w:hAnsi="Book Antiqua"/>
          <w:lang w:val="es-ES"/>
        </w:rPr>
        <w:t xml:space="preserve"> </w:t>
      </w:r>
      <w:r w:rsidRPr="00B15E45">
        <w:rPr>
          <w:rFonts w:ascii="Book Antiqua" w:hAnsi="Book Antiqua"/>
          <w:lang w:val="es-ES"/>
        </w:rPr>
        <w:t>solamente si se demuestra circunstancias excepcionales que hagan impráctico para la parte que</w:t>
      </w:r>
      <w:r>
        <w:rPr>
          <w:rFonts w:ascii="Book Antiqua" w:hAnsi="Book Antiqua"/>
          <w:lang w:val="es-ES"/>
        </w:rPr>
        <w:t xml:space="preserve"> </w:t>
      </w:r>
      <w:r w:rsidRPr="00B15E45">
        <w:rPr>
          <w:rFonts w:ascii="Book Antiqua" w:hAnsi="Book Antiqua"/>
          <w:lang w:val="es-ES"/>
        </w:rPr>
        <w:t xml:space="preserve">interese el descubrimiento obtener hechos u opiniones sobre </w:t>
      </w:r>
      <w:r w:rsidRPr="00B15E45">
        <w:rPr>
          <w:rFonts w:ascii="Book Antiqua" w:hAnsi="Book Antiqua"/>
          <w:lang w:val="es-ES"/>
        </w:rPr>
        <w:lastRenderedPageBreak/>
        <w:t>la misma materia, por otros</w:t>
      </w:r>
      <w:r>
        <w:rPr>
          <w:rFonts w:ascii="Book Antiqua" w:hAnsi="Book Antiqua"/>
          <w:lang w:val="es-ES"/>
        </w:rPr>
        <w:t xml:space="preserve"> </w:t>
      </w:r>
      <w:r w:rsidRPr="00B15E45">
        <w:rPr>
          <w:rFonts w:ascii="Book Antiqua" w:hAnsi="Book Antiqua"/>
          <w:lang w:val="es-ES"/>
        </w:rPr>
        <w:t>medios o en el caso que dispone la Regla 32.2.</w:t>
      </w:r>
    </w:p>
    <w:p w14:paraId="56763AD4" w14:textId="77777777" w:rsidR="00903D2A" w:rsidRDefault="00903D2A" w:rsidP="00D04412">
      <w:pPr>
        <w:tabs>
          <w:tab w:val="left" w:pos="-720"/>
        </w:tabs>
        <w:suppressAutoHyphens/>
        <w:spacing w:line="276" w:lineRule="auto"/>
        <w:ind w:left="720" w:right="720"/>
        <w:jc w:val="both"/>
        <w:rPr>
          <w:rFonts w:ascii="Book Antiqua" w:hAnsi="Book Antiqua"/>
          <w:lang w:val="es-ES"/>
        </w:rPr>
      </w:pPr>
    </w:p>
    <w:p w14:paraId="10BBC05F" w14:textId="77777777" w:rsidR="00903D2A" w:rsidRPr="00B15E45" w:rsidRDefault="00903D2A" w:rsidP="00D04412">
      <w:pPr>
        <w:tabs>
          <w:tab w:val="left" w:pos="-720"/>
        </w:tabs>
        <w:suppressAutoHyphens/>
        <w:spacing w:line="276" w:lineRule="auto"/>
        <w:ind w:left="720" w:right="720"/>
        <w:jc w:val="both"/>
        <w:rPr>
          <w:rFonts w:ascii="Book Antiqua" w:hAnsi="Book Antiqua"/>
          <w:lang w:val="es-ES"/>
        </w:rPr>
      </w:pPr>
      <w:r w:rsidRPr="00B15E45">
        <w:rPr>
          <w:rFonts w:ascii="Book Antiqua" w:hAnsi="Book Antiqua"/>
          <w:lang w:val="es-ES"/>
        </w:rPr>
        <w:t>(3) El tribunal ordenará a la parte que solicita el descubrimiento que pague a la persona perita</w:t>
      </w:r>
      <w:r>
        <w:rPr>
          <w:rFonts w:ascii="Book Antiqua" w:hAnsi="Book Antiqua"/>
          <w:lang w:val="es-ES"/>
        </w:rPr>
        <w:t xml:space="preserve"> </w:t>
      </w:r>
      <w:r w:rsidRPr="00B15E45">
        <w:rPr>
          <w:rFonts w:ascii="Book Antiqua" w:hAnsi="Book Antiqua"/>
          <w:lang w:val="es-ES"/>
        </w:rPr>
        <w:t>honorarios razonables por el tiempo invertido durante el descubrimiento. Si la parte que</w:t>
      </w:r>
      <w:r>
        <w:rPr>
          <w:rFonts w:ascii="Book Antiqua" w:hAnsi="Book Antiqua"/>
          <w:lang w:val="es-ES"/>
        </w:rPr>
        <w:t xml:space="preserve"> </w:t>
      </w:r>
      <w:r w:rsidRPr="00B15E45">
        <w:rPr>
          <w:rFonts w:ascii="Book Antiqua" w:hAnsi="Book Antiqua"/>
          <w:lang w:val="es-ES"/>
        </w:rPr>
        <w:t>interesa el descubrimiento de prueba pericial demuestra al tribunal que carece de los medios</w:t>
      </w:r>
      <w:r>
        <w:rPr>
          <w:rFonts w:ascii="Book Antiqua" w:hAnsi="Book Antiqua"/>
          <w:lang w:val="es-ES"/>
        </w:rPr>
        <w:t xml:space="preserve"> </w:t>
      </w:r>
      <w:r w:rsidRPr="00B15E45">
        <w:rPr>
          <w:rFonts w:ascii="Book Antiqua" w:hAnsi="Book Antiqua"/>
          <w:lang w:val="es-ES"/>
        </w:rPr>
        <w:t>económicos para sufragar dichos honorarios, el tribunal podrá ordenar el descubrimiento en</w:t>
      </w:r>
      <w:r>
        <w:rPr>
          <w:rFonts w:ascii="Book Antiqua" w:hAnsi="Book Antiqua"/>
          <w:lang w:val="es-ES"/>
        </w:rPr>
        <w:t xml:space="preserve"> </w:t>
      </w:r>
      <w:r w:rsidRPr="00B15E45">
        <w:rPr>
          <w:rFonts w:ascii="Book Antiqua" w:hAnsi="Book Antiqua"/>
          <w:lang w:val="es-ES"/>
        </w:rPr>
        <w:t>los términos y las condiciones que estime justos y razonables.</w:t>
      </w:r>
    </w:p>
    <w:p w14:paraId="0DCFAF77" w14:textId="77777777" w:rsidR="00903D2A" w:rsidRDefault="00903D2A" w:rsidP="00D04412">
      <w:pPr>
        <w:tabs>
          <w:tab w:val="left" w:pos="-720"/>
        </w:tabs>
        <w:suppressAutoHyphens/>
        <w:spacing w:line="276" w:lineRule="auto"/>
        <w:ind w:left="720" w:right="720"/>
        <w:jc w:val="both"/>
        <w:rPr>
          <w:rFonts w:ascii="Book Antiqua" w:hAnsi="Book Antiqua"/>
          <w:lang w:val="es-ES"/>
        </w:rPr>
      </w:pPr>
    </w:p>
    <w:p w14:paraId="738B2F7C" w14:textId="77777777" w:rsidR="00903D2A" w:rsidRDefault="00903D2A" w:rsidP="00D04412">
      <w:pPr>
        <w:tabs>
          <w:tab w:val="left" w:pos="-720"/>
        </w:tabs>
        <w:suppressAutoHyphens/>
        <w:spacing w:line="276" w:lineRule="auto"/>
        <w:ind w:left="720" w:right="720"/>
        <w:jc w:val="both"/>
        <w:rPr>
          <w:rFonts w:ascii="Book Antiqua" w:hAnsi="Book Antiqua"/>
          <w:lang w:val="es-ES"/>
        </w:rPr>
      </w:pPr>
      <w:r w:rsidRPr="00B15E45">
        <w:rPr>
          <w:rFonts w:ascii="Book Antiqua" w:hAnsi="Book Antiqua"/>
          <w:lang w:val="es-ES"/>
        </w:rPr>
        <w:t>(4) El tribunal tendrá facultad para citar testigos periciales ajenos a los de las partes con</w:t>
      </w:r>
      <w:r>
        <w:rPr>
          <w:rFonts w:ascii="Book Antiqua" w:hAnsi="Book Antiqua"/>
          <w:lang w:val="es-ES"/>
        </w:rPr>
        <w:t xml:space="preserve"> </w:t>
      </w:r>
      <w:r w:rsidRPr="00B15E45">
        <w:rPr>
          <w:rFonts w:ascii="Book Antiqua" w:hAnsi="Book Antiqua"/>
          <w:lang w:val="es-ES"/>
        </w:rPr>
        <w:t>sujeción a aquellas condiciones que discrecionalmente considere apropiadas, incluyendo el</w:t>
      </w:r>
      <w:r>
        <w:rPr>
          <w:rFonts w:ascii="Book Antiqua" w:hAnsi="Book Antiqua"/>
          <w:lang w:val="es-ES"/>
        </w:rPr>
        <w:t xml:space="preserve"> </w:t>
      </w:r>
      <w:r w:rsidRPr="00B15E45">
        <w:rPr>
          <w:rFonts w:ascii="Book Antiqua" w:hAnsi="Book Antiqua"/>
          <w:lang w:val="es-ES"/>
        </w:rPr>
        <w:t>disponer su compensación por una o ambas partes litigantes.</w:t>
      </w:r>
    </w:p>
    <w:p w14:paraId="3DA99E49" w14:textId="77777777" w:rsidR="00903D2A" w:rsidRDefault="00903D2A" w:rsidP="00D04412">
      <w:pPr>
        <w:tabs>
          <w:tab w:val="left" w:pos="-720"/>
        </w:tabs>
        <w:suppressAutoHyphens/>
        <w:spacing w:line="276" w:lineRule="auto"/>
        <w:ind w:firstLine="360"/>
        <w:jc w:val="both"/>
        <w:rPr>
          <w:rFonts w:ascii="Book Antiqua" w:hAnsi="Book Antiqua"/>
          <w:lang w:val="es-ES"/>
        </w:rPr>
      </w:pPr>
    </w:p>
    <w:p w14:paraId="2F2A2220" w14:textId="62BADC6B" w:rsidR="00903D2A" w:rsidRDefault="00903D2A" w:rsidP="00D04412">
      <w:pPr>
        <w:tabs>
          <w:tab w:val="left" w:pos="-720"/>
        </w:tabs>
        <w:suppressAutoHyphens/>
        <w:spacing w:line="276" w:lineRule="auto"/>
        <w:ind w:firstLine="360"/>
        <w:jc w:val="both"/>
        <w:rPr>
          <w:rFonts w:ascii="Book Antiqua" w:hAnsi="Book Antiqua"/>
          <w:lang w:val="es-ES"/>
        </w:rPr>
      </w:pPr>
      <w:r>
        <w:rPr>
          <w:rFonts w:ascii="Book Antiqua" w:hAnsi="Book Antiqua"/>
          <w:lang w:val="es-ES"/>
        </w:rPr>
        <w:tab/>
      </w:r>
      <w:r w:rsidRPr="00C74F96">
        <w:rPr>
          <w:rFonts w:ascii="Book Antiqua" w:hAnsi="Book Antiqua"/>
          <w:lang w:val="es-ES"/>
        </w:rPr>
        <w:t xml:space="preserve">El Tribunal Supremo de Puerto Rico ha manifestado que </w:t>
      </w:r>
      <w:r w:rsidRPr="00C03117">
        <w:rPr>
          <w:rFonts w:ascii="Book Antiqua" w:hAnsi="Book Antiqua"/>
          <w:b/>
          <w:bCs/>
          <w:lang w:val="es-ES"/>
        </w:rPr>
        <w:t>ante la ausencia de una protección estatutaria expresa</w:t>
      </w:r>
      <w:r w:rsidRPr="00C03117">
        <w:rPr>
          <w:rFonts w:ascii="Book Antiqua" w:hAnsi="Book Antiqua"/>
          <w:lang w:val="es-ES"/>
        </w:rPr>
        <w:t xml:space="preserve">, los borradores de un perito </w:t>
      </w:r>
      <w:r w:rsidR="00CC19ED" w:rsidRPr="00C03117">
        <w:rPr>
          <w:rFonts w:ascii="Book Antiqua" w:hAnsi="Book Antiqua"/>
          <w:lang w:val="es-ES"/>
        </w:rPr>
        <w:t>testigo,</w:t>
      </w:r>
      <w:r w:rsidRPr="00C03117">
        <w:rPr>
          <w:rFonts w:ascii="Book Antiqua" w:hAnsi="Book Antiqua"/>
          <w:lang w:val="es-ES"/>
        </w:rPr>
        <w:t xml:space="preserve"> así como las comunicaciones entre </w:t>
      </w:r>
      <w:r>
        <w:rPr>
          <w:rFonts w:ascii="Book Antiqua" w:hAnsi="Book Antiqua"/>
          <w:lang w:val="es-ES"/>
        </w:rPr>
        <w:t>e</w:t>
      </w:r>
      <w:r w:rsidRPr="00C03117">
        <w:rPr>
          <w:rFonts w:ascii="Book Antiqua" w:hAnsi="Book Antiqua"/>
          <w:lang w:val="es-ES"/>
        </w:rPr>
        <w:t xml:space="preserve">ste y el abogado de la parte que lo contrata </w:t>
      </w:r>
      <w:r>
        <w:rPr>
          <w:rFonts w:ascii="Book Antiqua" w:hAnsi="Book Antiqua"/>
          <w:lang w:val="es-ES"/>
        </w:rPr>
        <w:t xml:space="preserve">no </w:t>
      </w:r>
      <w:r w:rsidRPr="00C03117">
        <w:rPr>
          <w:rFonts w:ascii="Book Antiqua" w:hAnsi="Book Antiqua"/>
          <w:lang w:val="es-ES"/>
        </w:rPr>
        <w:t>están protegidas bajo la doctrina del producto del trabajo del abogado (</w:t>
      </w:r>
      <w:proofErr w:type="spellStart"/>
      <w:r w:rsidRPr="00870173">
        <w:rPr>
          <w:rFonts w:ascii="Book Antiqua" w:hAnsi="Book Antiqua"/>
          <w:i/>
          <w:iCs/>
          <w:lang w:val="es-ES"/>
        </w:rPr>
        <w:t>work</w:t>
      </w:r>
      <w:proofErr w:type="spellEnd"/>
      <w:r w:rsidRPr="00870173">
        <w:rPr>
          <w:rFonts w:ascii="Book Antiqua" w:hAnsi="Book Antiqua"/>
          <w:i/>
          <w:iCs/>
          <w:lang w:val="es-ES"/>
        </w:rPr>
        <w:t xml:space="preserve"> </w:t>
      </w:r>
      <w:proofErr w:type="spellStart"/>
      <w:r w:rsidRPr="00870173">
        <w:rPr>
          <w:rFonts w:ascii="Book Antiqua" w:hAnsi="Book Antiqua"/>
          <w:i/>
          <w:iCs/>
          <w:lang w:val="es-ES"/>
        </w:rPr>
        <w:t>product</w:t>
      </w:r>
      <w:proofErr w:type="spellEnd"/>
      <w:r w:rsidRPr="00C03117">
        <w:rPr>
          <w:rFonts w:ascii="Book Antiqua" w:hAnsi="Book Antiqua"/>
          <w:lang w:val="es-ES"/>
        </w:rPr>
        <w:t>)</w:t>
      </w:r>
      <w:r>
        <w:rPr>
          <w:rFonts w:ascii="Book Antiqua" w:hAnsi="Book Antiqua"/>
          <w:lang w:val="es-ES"/>
        </w:rPr>
        <w:t xml:space="preserve"> y por tanto</w:t>
      </w:r>
      <w:r w:rsidRPr="00C03117">
        <w:rPr>
          <w:rFonts w:ascii="Book Antiqua" w:hAnsi="Book Antiqua"/>
          <w:lang w:val="es-ES"/>
        </w:rPr>
        <w:t xml:space="preserve"> estos materiales y comunicaciones están sujetas al descubrimiento de prueba amplio y liberal</w:t>
      </w:r>
      <w:r>
        <w:rPr>
          <w:rFonts w:ascii="Book Antiqua" w:hAnsi="Book Antiqua"/>
          <w:lang w:val="es-ES"/>
        </w:rPr>
        <w:t xml:space="preserve"> que rige en nuestro ordenamiento</w:t>
      </w:r>
      <w:r w:rsidRPr="00C03117">
        <w:rPr>
          <w:rFonts w:ascii="Book Antiqua" w:hAnsi="Book Antiqua"/>
          <w:lang w:val="es-ES"/>
        </w:rPr>
        <w:t>.</w:t>
      </w:r>
      <w:r>
        <w:rPr>
          <w:rStyle w:val="FootnoteReference"/>
          <w:rFonts w:ascii="Book Antiqua" w:hAnsi="Book Antiqua"/>
          <w:lang w:val="es-ES"/>
        </w:rPr>
        <w:footnoteReference w:id="5"/>
      </w:r>
    </w:p>
    <w:p w14:paraId="7E6BE3AA" w14:textId="77777777" w:rsidR="00903D2A" w:rsidRPr="007A2023" w:rsidRDefault="00903D2A" w:rsidP="00D04412">
      <w:pPr>
        <w:tabs>
          <w:tab w:val="left" w:pos="-720"/>
        </w:tabs>
        <w:suppressAutoHyphens/>
        <w:spacing w:line="276" w:lineRule="auto"/>
        <w:ind w:firstLine="360"/>
        <w:jc w:val="both"/>
        <w:rPr>
          <w:rFonts w:ascii="Book Antiqua" w:hAnsi="Book Antiqua"/>
          <w:lang w:val="es-ES"/>
        </w:rPr>
      </w:pPr>
      <w:r>
        <w:rPr>
          <w:rFonts w:ascii="Book Antiqua" w:hAnsi="Book Antiqua"/>
          <w:i/>
          <w:iCs/>
          <w:lang w:val="es-ES"/>
        </w:rPr>
        <w:tab/>
      </w:r>
      <w:r w:rsidRPr="007A2023">
        <w:rPr>
          <w:rFonts w:ascii="Book Antiqua" w:hAnsi="Book Antiqua"/>
          <w:i/>
          <w:iCs/>
          <w:lang w:val="es-ES"/>
        </w:rPr>
        <w:t>Contrario sensu</w:t>
      </w:r>
      <w:r>
        <w:rPr>
          <w:rFonts w:ascii="Book Antiqua" w:hAnsi="Book Antiqua"/>
          <w:lang w:val="es-ES"/>
        </w:rPr>
        <w:t>, e</w:t>
      </w:r>
      <w:r w:rsidRPr="007A2023">
        <w:rPr>
          <w:rFonts w:ascii="Book Antiqua" w:hAnsi="Book Antiqua"/>
          <w:lang w:val="es-ES"/>
        </w:rPr>
        <w:t xml:space="preserve">n virtud de la Regla 26(b)(4)(B) de las Reglas Federales de Procedimiento Civil, los borradores de informes periciales preparados por testigos expertos obligados a presentar un informe bajo la Regla 26(a)(2) gozan de protección </w:t>
      </w:r>
      <w:r>
        <w:rPr>
          <w:rFonts w:ascii="Book Antiqua" w:hAnsi="Book Antiqua"/>
          <w:lang w:val="es-ES"/>
        </w:rPr>
        <w:t xml:space="preserve">del </w:t>
      </w:r>
      <w:proofErr w:type="spellStart"/>
      <w:r w:rsidRPr="00EC26B8">
        <w:rPr>
          <w:rFonts w:ascii="Book Antiqua" w:hAnsi="Book Antiqua"/>
          <w:i/>
          <w:iCs/>
          <w:lang w:val="es-ES"/>
        </w:rPr>
        <w:t>work</w:t>
      </w:r>
      <w:proofErr w:type="spellEnd"/>
      <w:r w:rsidRPr="00EC26B8">
        <w:rPr>
          <w:rFonts w:ascii="Book Antiqua" w:hAnsi="Book Antiqua"/>
          <w:i/>
          <w:iCs/>
          <w:lang w:val="es-ES"/>
        </w:rPr>
        <w:t xml:space="preserve"> </w:t>
      </w:r>
      <w:proofErr w:type="spellStart"/>
      <w:r w:rsidRPr="00EC26B8">
        <w:rPr>
          <w:rFonts w:ascii="Book Antiqua" w:hAnsi="Book Antiqua"/>
          <w:i/>
          <w:iCs/>
          <w:lang w:val="es-ES"/>
        </w:rPr>
        <w:t>product</w:t>
      </w:r>
      <w:proofErr w:type="spellEnd"/>
      <w:r>
        <w:rPr>
          <w:rFonts w:ascii="Book Antiqua" w:hAnsi="Book Antiqua"/>
          <w:lang w:val="es-ES"/>
        </w:rPr>
        <w:t xml:space="preserve"> </w:t>
      </w:r>
      <w:r w:rsidRPr="007A2023">
        <w:rPr>
          <w:rFonts w:ascii="Book Antiqua" w:hAnsi="Book Antiqua"/>
          <w:lang w:val="es-ES"/>
        </w:rPr>
        <w:t>contra el descubrimiento, independientemente de la forma en que dichos borradores hayan sido generados. Dicha protección tiene como fin promover una mayor franqueza en las deliberaciones internas del perito y su interacción con la parte que lo contrata, sin temor a que sus notas preliminares o versiones no finales del informe queden sujetas a divulgación obligatoria durante el proceso de descubrimiento.</w:t>
      </w:r>
    </w:p>
    <w:p w14:paraId="0C09D9E3" w14:textId="77777777" w:rsidR="00903D2A" w:rsidRDefault="00903D2A" w:rsidP="00D04412">
      <w:pPr>
        <w:tabs>
          <w:tab w:val="left" w:pos="-720"/>
        </w:tabs>
        <w:suppressAutoHyphens/>
        <w:spacing w:line="276" w:lineRule="auto"/>
        <w:ind w:firstLine="360"/>
        <w:jc w:val="both"/>
        <w:rPr>
          <w:rFonts w:ascii="Book Antiqua" w:hAnsi="Book Antiqua"/>
          <w:lang w:val="es-ES"/>
        </w:rPr>
      </w:pPr>
      <w:r>
        <w:rPr>
          <w:rFonts w:ascii="Book Antiqua" w:hAnsi="Book Antiqua"/>
          <w:lang w:val="es-ES"/>
        </w:rPr>
        <w:tab/>
      </w:r>
      <w:r w:rsidRPr="007A2023">
        <w:rPr>
          <w:rFonts w:ascii="Book Antiqua" w:hAnsi="Book Antiqua"/>
          <w:lang w:val="es-ES"/>
        </w:rPr>
        <w:t xml:space="preserve">Por su parte, la Regla 26(b)(4)(C) extiende esta protección a las comunicaciones entre el abogado de una parte y el perito designado para testificar. Conforme a esta disposición, tales comunicaciones están generalmente exentas de descubrimiento, al reconocer el interés legítimo de las partes en mantener la confidencialidad de su </w:t>
      </w:r>
      <w:r w:rsidRPr="007A2023">
        <w:rPr>
          <w:rFonts w:ascii="Book Antiqua" w:hAnsi="Book Antiqua"/>
          <w:lang w:val="es-ES"/>
        </w:rPr>
        <w:lastRenderedPageBreak/>
        <w:t xml:space="preserve">estrategia </w:t>
      </w:r>
      <w:r>
        <w:rPr>
          <w:rFonts w:ascii="Book Antiqua" w:hAnsi="Book Antiqua"/>
          <w:lang w:val="es-ES"/>
        </w:rPr>
        <w:t>legal</w:t>
      </w:r>
      <w:r w:rsidRPr="007A2023">
        <w:rPr>
          <w:rFonts w:ascii="Book Antiqua" w:hAnsi="Book Antiqua"/>
          <w:lang w:val="es-ES"/>
        </w:rPr>
        <w:t xml:space="preserve"> y la preparación conjunta con el perito. No obstante, la regla reconoce tres excepciones puntuales en las que dichas comunicaciones sí pueden ser objeto de descubrimiento: (1) cuando se refieren a la compensación del </w:t>
      </w:r>
      <w:r>
        <w:rPr>
          <w:rFonts w:ascii="Book Antiqua" w:hAnsi="Book Antiqua"/>
          <w:lang w:val="es-ES"/>
        </w:rPr>
        <w:t>perito</w:t>
      </w:r>
      <w:r w:rsidRPr="007A2023">
        <w:rPr>
          <w:rFonts w:ascii="Book Antiqua" w:hAnsi="Book Antiqua"/>
          <w:lang w:val="es-ES"/>
        </w:rPr>
        <w:t>; (2) cuando revelan hechos o datos específicos que el abogado proveyó al perito y que este consideró en la formación de su opinión; y (3) cuando identifican los supuestos jurídicos o fácticos que el abogado facilitó y que el perito utilizó como base para sus conclusiones periciales.</w:t>
      </w:r>
    </w:p>
    <w:p w14:paraId="70F886F2" w14:textId="777D1288" w:rsidR="00903D2A" w:rsidRPr="00C74F96" w:rsidRDefault="00903D2A" w:rsidP="00D04412">
      <w:pPr>
        <w:tabs>
          <w:tab w:val="left" w:pos="-720"/>
        </w:tabs>
        <w:suppressAutoHyphens/>
        <w:spacing w:line="276" w:lineRule="auto"/>
        <w:ind w:firstLine="360"/>
        <w:jc w:val="both"/>
        <w:rPr>
          <w:rFonts w:ascii="Book Antiqua" w:hAnsi="Book Antiqua"/>
          <w:lang w:val="es-ES"/>
        </w:rPr>
      </w:pPr>
      <w:r>
        <w:rPr>
          <w:rFonts w:ascii="Book Antiqua" w:hAnsi="Book Antiqua"/>
          <w:lang w:val="es-ES"/>
        </w:rPr>
        <w:tab/>
        <w:t xml:space="preserve">El P. </w:t>
      </w:r>
      <w:r w:rsidR="00CC19ED">
        <w:rPr>
          <w:rFonts w:ascii="Book Antiqua" w:hAnsi="Book Antiqua"/>
          <w:lang w:val="es-ES"/>
        </w:rPr>
        <w:t xml:space="preserve">de la C. 13 </w:t>
      </w:r>
      <w:r>
        <w:rPr>
          <w:rFonts w:ascii="Book Antiqua" w:hAnsi="Book Antiqua"/>
          <w:lang w:val="es-ES"/>
        </w:rPr>
        <w:t xml:space="preserve">propone acoger la regla federal del </w:t>
      </w:r>
      <w:proofErr w:type="spellStart"/>
      <w:r w:rsidRPr="008344FB">
        <w:rPr>
          <w:rFonts w:ascii="Book Antiqua" w:hAnsi="Book Antiqua"/>
          <w:i/>
          <w:iCs/>
          <w:lang w:val="es-ES"/>
        </w:rPr>
        <w:t>work</w:t>
      </w:r>
      <w:proofErr w:type="spellEnd"/>
      <w:r w:rsidRPr="008344FB">
        <w:rPr>
          <w:rFonts w:ascii="Book Antiqua" w:hAnsi="Book Antiqua"/>
          <w:i/>
          <w:iCs/>
          <w:lang w:val="es-ES"/>
        </w:rPr>
        <w:t xml:space="preserve"> </w:t>
      </w:r>
      <w:proofErr w:type="spellStart"/>
      <w:r w:rsidRPr="008344FB">
        <w:rPr>
          <w:rFonts w:ascii="Book Antiqua" w:hAnsi="Book Antiqua"/>
          <w:i/>
          <w:iCs/>
          <w:lang w:val="es-ES"/>
        </w:rPr>
        <w:t>product</w:t>
      </w:r>
      <w:proofErr w:type="spellEnd"/>
      <w:r>
        <w:rPr>
          <w:rFonts w:ascii="Book Antiqua" w:hAnsi="Book Antiqua"/>
          <w:lang w:val="es-ES"/>
        </w:rPr>
        <w:t xml:space="preserve"> en Puerto Rico.</w:t>
      </w:r>
    </w:p>
    <w:p w14:paraId="095DD593" w14:textId="5912AF3B" w:rsidR="00903D2A" w:rsidRPr="00C74F96" w:rsidRDefault="00903D2A" w:rsidP="00D04412">
      <w:pPr>
        <w:tabs>
          <w:tab w:val="left" w:pos="-720"/>
        </w:tabs>
        <w:suppressAutoHyphens/>
        <w:spacing w:line="276" w:lineRule="auto"/>
        <w:ind w:firstLine="360"/>
        <w:jc w:val="both"/>
        <w:rPr>
          <w:rFonts w:ascii="Book Antiqua" w:hAnsi="Book Antiqua"/>
          <w:lang w:val="es-ES"/>
        </w:rPr>
      </w:pPr>
      <w:r w:rsidRPr="00C74F96">
        <w:rPr>
          <w:rFonts w:ascii="Book Antiqua" w:hAnsi="Book Antiqua"/>
          <w:lang w:val="es-ES"/>
        </w:rPr>
        <w:tab/>
        <w:t xml:space="preserve">La </w:t>
      </w:r>
      <w:r w:rsidRPr="00C74F96">
        <w:rPr>
          <w:rFonts w:ascii="Book Antiqua" w:hAnsi="Book Antiqua"/>
          <w:spacing w:val="-3"/>
          <w:lang w:val="es-ES"/>
        </w:rPr>
        <w:t xml:space="preserve">Comisión de lo Jurídico del Senado de Puerto Rico, como parte del estudio y evaluación </w:t>
      </w:r>
      <w:r w:rsidR="00CC19ED">
        <w:rPr>
          <w:rFonts w:ascii="Book Antiqua" w:hAnsi="Book Antiqua"/>
          <w:spacing w:val="-3"/>
          <w:lang w:val="es-ES"/>
        </w:rPr>
        <w:t>de la medida ante nuestra consideración</w:t>
      </w:r>
      <w:r>
        <w:rPr>
          <w:rFonts w:ascii="Book Antiqua" w:hAnsi="Book Antiqua"/>
          <w:spacing w:val="-3"/>
          <w:lang w:val="es-ES"/>
        </w:rPr>
        <w:t>,</w:t>
      </w:r>
      <w:r w:rsidRPr="00C74F96">
        <w:rPr>
          <w:rFonts w:ascii="Book Antiqua" w:hAnsi="Book Antiqua"/>
          <w:lang w:val="es-ES"/>
        </w:rPr>
        <w:t xml:space="preserve"> recibió memoriales explicativos a las siguientes agencias y entidades: </w:t>
      </w:r>
      <w:r>
        <w:rPr>
          <w:rFonts w:ascii="Book Antiqua" w:hAnsi="Book Antiqua"/>
          <w:lang w:val="es-ES"/>
        </w:rPr>
        <w:t xml:space="preserve">Colegio de </w:t>
      </w:r>
      <w:proofErr w:type="gramStart"/>
      <w:r>
        <w:rPr>
          <w:rFonts w:ascii="Book Antiqua" w:hAnsi="Book Antiqua"/>
          <w:lang w:val="es-ES"/>
        </w:rPr>
        <w:t>Abogados y Abogadas</w:t>
      </w:r>
      <w:proofErr w:type="gramEnd"/>
      <w:r>
        <w:rPr>
          <w:rFonts w:ascii="Book Antiqua" w:hAnsi="Book Antiqua"/>
          <w:lang w:val="es-ES"/>
        </w:rPr>
        <w:t xml:space="preserve"> de Puerto Rico, Departamento de Justicia y Oficina de Administración de los Tribunales.</w:t>
      </w:r>
      <w:r w:rsidRPr="00C74F96">
        <w:rPr>
          <w:rFonts w:ascii="Book Antiqua" w:hAnsi="Book Antiqua"/>
          <w:lang w:val="es-ES"/>
        </w:rPr>
        <w:t xml:space="preserve"> </w:t>
      </w:r>
    </w:p>
    <w:p w14:paraId="6FD70BD7" w14:textId="77777777" w:rsidR="00903D2A" w:rsidRPr="00C74F96" w:rsidRDefault="00903D2A" w:rsidP="00D04412">
      <w:pPr>
        <w:tabs>
          <w:tab w:val="left" w:pos="-720"/>
        </w:tabs>
        <w:suppressAutoHyphens/>
        <w:spacing w:line="276" w:lineRule="auto"/>
        <w:ind w:firstLine="360"/>
        <w:jc w:val="both"/>
        <w:rPr>
          <w:rFonts w:ascii="Book Antiqua" w:hAnsi="Book Antiqua"/>
          <w:lang w:val="es-ES"/>
        </w:rPr>
      </w:pPr>
      <w:r w:rsidRPr="00C74F96">
        <w:rPr>
          <w:rFonts w:ascii="Book Antiqua" w:hAnsi="Book Antiqua"/>
          <w:lang w:val="es-ES"/>
        </w:rPr>
        <w:tab/>
        <w:t>A continuación, se expone lo expresado por estas entidades gubernamentales.</w:t>
      </w:r>
    </w:p>
    <w:p w14:paraId="27EE3416" w14:textId="77777777" w:rsidR="00903D2A" w:rsidRDefault="00903D2A" w:rsidP="00D04412">
      <w:pPr>
        <w:tabs>
          <w:tab w:val="left" w:pos="-720"/>
        </w:tabs>
        <w:suppressAutoHyphens/>
        <w:spacing w:line="276" w:lineRule="auto"/>
        <w:jc w:val="both"/>
        <w:rPr>
          <w:rFonts w:ascii="Book Antiqua" w:hAnsi="Book Antiqua"/>
          <w:b/>
          <w:bCs/>
          <w:u w:val="single"/>
          <w:lang w:val="es-ES"/>
        </w:rPr>
      </w:pPr>
    </w:p>
    <w:p w14:paraId="785108EE" w14:textId="77777777" w:rsidR="00903D2A" w:rsidRPr="008D14E5" w:rsidRDefault="00903D2A" w:rsidP="00D04412">
      <w:pPr>
        <w:tabs>
          <w:tab w:val="left" w:pos="-720"/>
        </w:tabs>
        <w:suppressAutoHyphens/>
        <w:spacing w:line="276" w:lineRule="auto"/>
        <w:jc w:val="center"/>
        <w:rPr>
          <w:rFonts w:ascii="Book Antiqua" w:hAnsi="Book Antiqua"/>
          <w:b/>
          <w:bCs/>
          <w:lang w:val="es-ES"/>
        </w:rPr>
      </w:pPr>
      <w:r w:rsidRPr="008D14E5">
        <w:rPr>
          <w:rFonts w:ascii="Book Antiqua" w:hAnsi="Book Antiqua"/>
          <w:b/>
          <w:bCs/>
          <w:lang w:val="es-ES"/>
        </w:rPr>
        <w:t xml:space="preserve">COLEGIO DE </w:t>
      </w:r>
      <w:proofErr w:type="gramStart"/>
      <w:r w:rsidRPr="008D14E5">
        <w:rPr>
          <w:rFonts w:ascii="Book Antiqua" w:hAnsi="Book Antiqua"/>
          <w:b/>
          <w:bCs/>
          <w:lang w:val="es-ES"/>
        </w:rPr>
        <w:t>ABOGADOS Y ABOGADAS</w:t>
      </w:r>
      <w:proofErr w:type="gramEnd"/>
      <w:r w:rsidRPr="008D14E5">
        <w:rPr>
          <w:rFonts w:ascii="Book Antiqua" w:hAnsi="Book Antiqua"/>
          <w:b/>
          <w:bCs/>
          <w:lang w:val="es-ES"/>
        </w:rPr>
        <w:t xml:space="preserve"> DE PUERTO RICO</w:t>
      </w:r>
    </w:p>
    <w:p w14:paraId="57D0839A" w14:textId="77777777" w:rsidR="00903D2A" w:rsidRPr="00C74F96" w:rsidRDefault="00903D2A" w:rsidP="00D04412">
      <w:pPr>
        <w:tabs>
          <w:tab w:val="left" w:pos="-720"/>
        </w:tabs>
        <w:suppressAutoHyphens/>
        <w:spacing w:line="276" w:lineRule="auto"/>
        <w:jc w:val="both"/>
        <w:rPr>
          <w:rFonts w:ascii="Book Antiqua" w:hAnsi="Book Antiqua"/>
          <w:b/>
          <w:bCs/>
          <w:u w:val="single"/>
          <w:lang w:val="es-ES"/>
        </w:rPr>
      </w:pPr>
    </w:p>
    <w:p w14:paraId="75558F6C" w14:textId="3CD95E33" w:rsidR="00903D2A" w:rsidRPr="008D14E5" w:rsidRDefault="00903D2A" w:rsidP="00D04412">
      <w:pPr>
        <w:tabs>
          <w:tab w:val="left" w:pos="-720"/>
        </w:tabs>
        <w:suppressAutoHyphens/>
        <w:spacing w:line="276" w:lineRule="auto"/>
        <w:jc w:val="both"/>
        <w:rPr>
          <w:rFonts w:ascii="Book Antiqua" w:hAnsi="Book Antiqua"/>
          <w:lang w:val="es-ES"/>
        </w:rPr>
      </w:pPr>
      <w:r>
        <w:rPr>
          <w:rFonts w:ascii="Book Antiqua" w:hAnsi="Book Antiqua"/>
          <w:lang w:val="es-ES"/>
        </w:rPr>
        <w:tab/>
      </w:r>
      <w:r w:rsidRPr="008D14E5">
        <w:rPr>
          <w:rFonts w:ascii="Book Antiqua" w:hAnsi="Book Antiqua"/>
          <w:lang w:val="es-ES"/>
        </w:rPr>
        <w:t xml:space="preserve">El Colegio de </w:t>
      </w:r>
      <w:proofErr w:type="gramStart"/>
      <w:r w:rsidRPr="008D14E5">
        <w:rPr>
          <w:rFonts w:ascii="Book Antiqua" w:hAnsi="Book Antiqua"/>
          <w:lang w:val="es-ES"/>
        </w:rPr>
        <w:t>Abogados y Abogadas</w:t>
      </w:r>
      <w:proofErr w:type="gramEnd"/>
      <w:r w:rsidRPr="008D14E5">
        <w:rPr>
          <w:rFonts w:ascii="Book Antiqua" w:hAnsi="Book Antiqua"/>
          <w:lang w:val="es-ES"/>
        </w:rPr>
        <w:t xml:space="preserve"> de Puerto Rico (CAAPR) manifestó su respaldo, destacando que la medida representa un avance necesario y prudente. Según la posición institucional del Colegio, la extensión de la doctrina del </w:t>
      </w:r>
      <w:proofErr w:type="spellStart"/>
      <w:r w:rsidRPr="0083700A">
        <w:rPr>
          <w:rFonts w:ascii="Book Antiqua" w:hAnsi="Book Antiqua"/>
          <w:i/>
          <w:iCs/>
          <w:lang w:val="es-ES"/>
        </w:rPr>
        <w:t>work</w:t>
      </w:r>
      <w:proofErr w:type="spellEnd"/>
      <w:r w:rsidRPr="0083700A">
        <w:rPr>
          <w:rFonts w:ascii="Book Antiqua" w:hAnsi="Book Antiqua"/>
          <w:i/>
          <w:iCs/>
          <w:lang w:val="es-ES"/>
        </w:rPr>
        <w:t xml:space="preserve"> </w:t>
      </w:r>
      <w:proofErr w:type="spellStart"/>
      <w:r w:rsidRPr="0083700A">
        <w:rPr>
          <w:rFonts w:ascii="Book Antiqua" w:hAnsi="Book Antiqua"/>
          <w:i/>
          <w:iCs/>
          <w:lang w:val="es-ES"/>
        </w:rPr>
        <w:t>product</w:t>
      </w:r>
      <w:proofErr w:type="spellEnd"/>
      <w:r w:rsidRPr="008D14E5">
        <w:rPr>
          <w:rFonts w:ascii="Book Antiqua" w:hAnsi="Book Antiqua"/>
          <w:lang w:val="es-ES"/>
        </w:rPr>
        <w:t xml:space="preserve"> a los borradores de informes periciales y a las comunicaciones entre abogados y personas peritas es crucial para mantener la integridad del proceso adversativo. El Colegio argumentó que este tipo de protección fomenta una relación franca y estratégica entre los abogados y sus peritos, lo que a su vez asegura la equidad </w:t>
      </w:r>
      <w:r>
        <w:rPr>
          <w:rFonts w:ascii="Book Antiqua" w:hAnsi="Book Antiqua"/>
          <w:lang w:val="es-ES"/>
        </w:rPr>
        <w:t>en los procesos judiciales</w:t>
      </w:r>
      <w:r w:rsidRPr="008D14E5">
        <w:rPr>
          <w:rFonts w:ascii="Book Antiqua" w:hAnsi="Book Antiqua"/>
          <w:lang w:val="es-ES"/>
        </w:rPr>
        <w:t xml:space="preserve">. Además, enfatizó que la medida armoniza el ordenamiento procesal de Puerto Rico con la Regla 26 de </w:t>
      </w:r>
      <w:r w:rsidRPr="00A64A8A">
        <w:rPr>
          <w:rFonts w:ascii="Book Antiqua" w:hAnsi="Book Antiqua"/>
          <w:i/>
          <w:iCs/>
          <w:lang w:val="es-ES"/>
        </w:rPr>
        <w:t xml:space="preserve">las Federal Rules </w:t>
      </w:r>
      <w:proofErr w:type="spellStart"/>
      <w:r w:rsidRPr="00A64A8A">
        <w:rPr>
          <w:rFonts w:ascii="Book Antiqua" w:hAnsi="Book Antiqua"/>
          <w:i/>
          <w:iCs/>
          <w:lang w:val="es-ES"/>
        </w:rPr>
        <w:t>of</w:t>
      </w:r>
      <w:proofErr w:type="spellEnd"/>
      <w:r w:rsidRPr="00A64A8A">
        <w:rPr>
          <w:rFonts w:ascii="Book Antiqua" w:hAnsi="Book Antiqua"/>
          <w:i/>
          <w:iCs/>
          <w:lang w:val="es-ES"/>
        </w:rPr>
        <w:t xml:space="preserve"> Civil </w:t>
      </w:r>
      <w:proofErr w:type="spellStart"/>
      <w:r w:rsidRPr="00A64A8A">
        <w:rPr>
          <w:rFonts w:ascii="Book Antiqua" w:hAnsi="Book Antiqua"/>
          <w:i/>
          <w:iCs/>
          <w:lang w:val="es-ES"/>
        </w:rPr>
        <w:t>Procedure</w:t>
      </w:r>
      <w:proofErr w:type="spellEnd"/>
      <w:r w:rsidRPr="008D14E5">
        <w:rPr>
          <w:rFonts w:ascii="Book Antiqua" w:hAnsi="Book Antiqua"/>
          <w:lang w:val="es-ES"/>
        </w:rPr>
        <w:t>, normativa que ha demostrado ser efectiva en balancear el acceso a pruebas relevantes y la confidencialidad necesaria para la litigación.</w:t>
      </w:r>
    </w:p>
    <w:p w14:paraId="6E6C1253" w14:textId="77777777" w:rsidR="00903D2A" w:rsidRDefault="00903D2A" w:rsidP="00D04412">
      <w:pPr>
        <w:tabs>
          <w:tab w:val="left" w:pos="-720"/>
        </w:tabs>
        <w:suppressAutoHyphens/>
        <w:spacing w:line="276" w:lineRule="auto"/>
        <w:jc w:val="both"/>
        <w:rPr>
          <w:rFonts w:ascii="Book Antiqua" w:hAnsi="Book Antiqua"/>
          <w:lang w:val="es-ES"/>
        </w:rPr>
      </w:pPr>
    </w:p>
    <w:p w14:paraId="4307F02A" w14:textId="77777777" w:rsidR="00903D2A" w:rsidRPr="00A64A8A" w:rsidRDefault="00903D2A" w:rsidP="00D04412">
      <w:pPr>
        <w:tabs>
          <w:tab w:val="left" w:pos="-720"/>
        </w:tabs>
        <w:suppressAutoHyphens/>
        <w:spacing w:line="276" w:lineRule="auto"/>
        <w:jc w:val="center"/>
        <w:rPr>
          <w:rFonts w:ascii="Book Antiqua" w:hAnsi="Book Antiqua"/>
          <w:b/>
          <w:bCs/>
          <w:lang w:val="es-ES"/>
        </w:rPr>
      </w:pPr>
      <w:r w:rsidRPr="00A64A8A">
        <w:rPr>
          <w:rFonts w:ascii="Book Antiqua" w:hAnsi="Book Antiqua"/>
          <w:b/>
          <w:bCs/>
          <w:lang w:val="es-ES"/>
        </w:rPr>
        <w:t>DEPARTAMENTO DE JUSTICIA</w:t>
      </w:r>
    </w:p>
    <w:p w14:paraId="22955865" w14:textId="77777777" w:rsidR="00903D2A" w:rsidRDefault="00903D2A" w:rsidP="00D04412">
      <w:pPr>
        <w:tabs>
          <w:tab w:val="left" w:pos="-720"/>
        </w:tabs>
        <w:suppressAutoHyphens/>
        <w:spacing w:line="276" w:lineRule="auto"/>
        <w:jc w:val="both"/>
        <w:rPr>
          <w:rFonts w:ascii="Book Antiqua" w:hAnsi="Book Antiqua"/>
          <w:lang w:val="es-ES"/>
        </w:rPr>
      </w:pPr>
    </w:p>
    <w:p w14:paraId="566CEC10" w14:textId="152C590B" w:rsidR="00903D2A" w:rsidRPr="008D14E5" w:rsidRDefault="00903D2A" w:rsidP="00D04412">
      <w:pPr>
        <w:tabs>
          <w:tab w:val="left" w:pos="-720"/>
        </w:tabs>
        <w:suppressAutoHyphens/>
        <w:spacing w:line="276" w:lineRule="auto"/>
        <w:jc w:val="both"/>
        <w:rPr>
          <w:rFonts w:ascii="Book Antiqua" w:hAnsi="Book Antiqua"/>
          <w:lang w:val="es-ES"/>
        </w:rPr>
      </w:pPr>
      <w:r>
        <w:rPr>
          <w:rFonts w:ascii="Book Antiqua" w:hAnsi="Book Antiqua"/>
          <w:lang w:val="es-ES"/>
        </w:rPr>
        <w:tab/>
      </w:r>
      <w:r w:rsidRPr="008D14E5">
        <w:rPr>
          <w:rFonts w:ascii="Book Antiqua" w:hAnsi="Book Antiqua"/>
          <w:lang w:val="es-ES"/>
        </w:rPr>
        <w:t xml:space="preserve">Por su parte, el Departamento de Justicia también se expresó a favor. La agencia reconoció que, actualmente, la interpretación de la Regla 23.1 por parte del Tribunal Supremo de Puerto Rico </w:t>
      </w:r>
      <w:r>
        <w:rPr>
          <w:rFonts w:ascii="Book Antiqua" w:hAnsi="Book Antiqua"/>
          <w:lang w:val="es-ES"/>
        </w:rPr>
        <w:t xml:space="preserve">en el </w:t>
      </w:r>
      <w:r w:rsidRPr="008D14E5">
        <w:rPr>
          <w:rFonts w:ascii="Book Antiqua" w:hAnsi="Book Antiqua"/>
          <w:lang w:val="es-ES"/>
        </w:rPr>
        <w:t>caso</w:t>
      </w:r>
      <w:r>
        <w:rPr>
          <w:rFonts w:ascii="Book Antiqua" w:hAnsi="Book Antiqua"/>
          <w:lang w:val="es-ES"/>
        </w:rPr>
        <w:t xml:space="preserve"> de</w:t>
      </w:r>
      <w:r w:rsidRPr="008D14E5">
        <w:rPr>
          <w:rFonts w:ascii="Book Antiqua" w:hAnsi="Book Antiqua"/>
          <w:lang w:val="es-ES"/>
        </w:rPr>
        <w:t xml:space="preserve"> </w:t>
      </w:r>
      <w:r w:rsidRPr="00A64A8A">
        <w:rPr>
          <w:rFonts w:ascii="Book Antiqua" w:hAnsi="Book Antiqua"/>
          <w:i/>
          <w:iCs/>
          <w:lang w:val="es-ES"/>
        </w:rPr>
        <w:t xml:space="preserve">McNeil </w:t>
      </w:r>
      <w:proofErr w:type="spellStart"/>
      <w:r w:rsidRPr="00A64A8A">
        <w:rPr>
          <w:rFonts w:ascii="Book Antiqua" w:hAnsi="Book Antiqua"/>
          <w:i/>
          <w:iCs/>
          <w:lang w:val="es-ES"/>
        </w:rPr>
        <w:t>Healthcare</w:t>
      </w:r>
      <w:proofErr w:type="spellEnd"/>
      <w:r w:rsidRPr="00A64A8A">
        <w:rPr>
          <w:rFonts w:ascii="Book Antiqua" w:hAnsi="Book Antiqua"/>
          <w:i/>
          <w:iCs/>
          <w:lang w:val="es-ES"/>
        </w:rPr>
        <w:t>, LLC v. Municipio de Las Piedras</w:t>
      </w:r>
      <w:r w:rsidRPr="008D14E5">
        <w:rPr>
          <w:rFonts w:ascii="Book Antiqua" w:hAnsi="Book Antiqua"/>
          <w:lang w:val="es-ES"/>
        </w:rPr>
        <w:t xml:space="preserve"> permite que los borradores de informes periciales y las comunicaciones entre peritos testigos y abogados sean objeto de descubrimiento de prueba, dejando así desprotegidos elementos esenciales de la estrategia legal. </w:t>
      </w:r>
      <w:r>
        <w:rPr>
          <w:rFonts w:ascii="Book Antiqua" w:hAnsi="Book Antiqua"/>
          <w:lang w:val="es-ES"/>
        </w:rPr>
        <w:t>El Departamento</w:t>
      </w:r>
      <w:r w:rsidRPr="008D14E5">
        <w:rPr>
          <w:rFonts w:ascii="Book Antiqua" w:hAnsi="Book Antiqua"/>
          <w:lang w:val="es-ES"/>
        </w:rPr>
        <w:t xml:space="preserve"> argumentó que esta laguna normativa afecta la calidad de l</w:t>
      </w:r>
      <w:r>
        <w:rPr>
          <w:rFonts w:ascii="Book Antiqua" w:hAnsi="Book Antiqua"/>
          <w:lang w:val="es-ES"/>
        </w:rPr>
        <w:t>os pleitos</w:t>
      </w:r>
      <w:r w:rsidRPr="008D14E5">
        <w:rPr>
          <w:rFonts w:ascii="Book Antiqua" w:hAnsi="Book Antiqua"/>
          <w:lang w:val="es-ES"/>
        </w:rPr>
        <w:t xml:space="preserve">, ya que obliga a los abogados </w:t>
      </w:r>
      <w:r w:rsidRPr="008D14E5">
        <w:rPr>
          <w:rFonts w:ascii="Book Antiqua" w:hAnsi="Book Antiqua"/>
          <w:lang w:val="es-ES"/>
        </w:rPr>
        <w:lastRenderedPageBreak/>
        <w:t xml:space="preserve">a limitar la franqueza de sus comunicaciones con los peritos. La agencia subrayó que la enmienda propuesta llena ese vacío al extender la protección del </w:t>
      </w:r>
      <w:proofErr w:type="spellStart"/>
      <w:r w:rsidRPr="00265F88">
        <w:rPr>
          <w:rFonts w:ascii="Book Antiqua" w:hAnsi="Book Antiqua"/>
          <w:i/>
          <w:iCs/>
          <w:lang w:val="es-ES"/>
        </w:rPr>
        <w:t>work</w:t>
      </w:r>
      <w:proofErr w:type="spellEnd"/>
      <w:r w:rsidRPr="00265F88">
        <w:rPr>
          <w:rFonts w:ascii="Book Antiqua" w:hAnsi="Book Antiqua"/>
          <w:i/>
          <w:iCs/>
          <w:lang w:val="es-ES"/>
        </w:rPr>
        <w:t xml:space="preserve"> </w:t>
      </w:r>
      <w:proofErr w:type="spellStart"/>
      <w:r w:rsidRPr="00265F88">
        <w:rPr>
          <w:rFonts w:ascii="Book Antiqua" w:hAnsi="Book Antiqua"/>
          <w:i/>
          <w:iCs/>
          <w:lang w:val="es-ES"/>
        </w:rPr>
        <w:t>product</w:t>
      </w:r>
      <w:proofErr w:type="spellEnd"/>
      <w:r w:rsidRPr="008D14E5">
        <w:rPr>
          <w:rFonts w:ascii="Book Antiqua" w:hAnsi="Book Antiqua"/>
          <w:lang w:val="es-ES"/>
        </w:rPr>
        <w:t xml:space="preserve"> a dichos borradores y comunicaciones, y que incorpora excepciones específicas que permiten al tribunal ordenar el descubrimiento cuando sea necesario. En su análisis, Justicia enfatizó que esta modificación garantizará una administración de justicia más justa, rápida y eficaz, alineando las reglas procesales locales con las disposiciones de la Regla 26 de Procedimiento Civil Federal.</w:t>
      </w:r>
    </w:p>
    <w:p w14:paraId="2BA905B2" w14:textId="77777777" w:rsidR="00903D2A" w:rsidRPr="008D14E5" w:rsidRDefault="00903D2A" w:rsidP="00D04412">
      <w:pPr>
        <w:tabs>
          <w:tab w:val="left" w:pos="-720"/>
        </w:tabs>
        <w:suppressAutoHyphens/>
        <w:spacing w:line="276" w:lineRule="auto"/>
        <w:jc w:val="both"/>
        <w:rPr>
          <w:rFonts w:ascii="Book Antiqua" w:hAnsi="Book Antiqua"/>
          <w:lang w:val="es-ES"/>
        </w:rPr>
      </w:pPr>
    </w:p>
    <w:p w14:paraId="0E4C3603" w14:textId="77777777" w:rsidR="00903D2A" w:rsidRPr="0062386F" w:rsidRDefault="00903D2A" w:rsidP="00D04412">
      <w:pPr>
        <w:tabs>
          <w:tab w:val="left" w:pos="-720"/>
        </w:tabs>
        <w:suppressAutoHyphens/>
        <w:spacing w:line="276" w:lineRule="auto"/>
        <w:jc w:val="center"/>
        <w:rPr>
          <w:rFonts w:ascii="Book Antiqua" w:hAnsi="Book Antiqua"/>
          <w:b/>
          <w:bCs/>
          <w:lang w:val="es-ES"/>
        </w:rPr>
      </w:pPr>
      <w:r w:rsidRPr="0062386F">
        <w:rPr>
          <w:rFonts w:ascii="Book Antiqua" w:hAnsi="Book Antiqua"/>
          <w:b/>
          <w:bCs/>
          <w:lang w:val="es-ES"/>
        </w:rPr>
        <w:t>OFICINA DE ADMINISTRACIÓN DE LOS TRIBUNALES</w:t>
      </w:r>
    </w:p>
    <w:p w14:paraId="1C8E71DE" w14:textId="77777777" w:rsidR="00245A79" w:rsidRDefault="00903D2A" w:rsidP="00D04412">
      <w:pPr>
        <w:tabs>
          <w:tab w:val="left" w:pos="-720"/>
        </w:tabs>
        <w:suppressAutoHyphens/>
        <w:spacing w:line="276" w:lineRule="auto"/>
        <w:jc w:val="both"/>
        <w:rPr>
          <w:rFonts w:ascii="Book Antiqua" w:hAnsi="Book Antiqua"/>
          <w:lang w:val="es-ES"/>
        </w:rPr>
      </w:pPr>
      <w:r>
        <w:rPr>
          <w:rFonts w:ascii="Book Antiqua" w:hAnsi="Book Antiqua"/>
          <w:lang w:val="es-ES"/>
        </w:rPr>
        <w:tab/>
      </w:r>
    </w:p>
    <w:p w14:paraId="1CC0DB59" w14:textId="6A1738D5" w:rsidR="00903D2A" w:rsidRPr="008D14E5" w:rsidRDefault="00245A79" w:rsidP="00D04412">
      <w:pPr>
        <w:tabs>
          <w:tab w:val="left" w:pos="-720"/>
        </w:tabs>
        <w:suppressAutoHyphens/>
        <w:spacing w:line="276" w:lineRule="auto"/>
        <w:jc w:val="both"/>
        <w:rPr>
          <w:rFonts w:ascii="Book Antiqua" w:hAnsi="Book Antiqua"/>
          <w:lang w:val="es-ES"/>
        </w:rPr>
      </w:pPr>
      <w:r>
        <w:rPr>
          <w:rFonts w:ascii="Book Antiqua" w:hAnsi="Book Antiqua"/>
          <w:lang w:val="es-ES"/>
        </w:rPr>
        <w:tab/>
      </w:r>
      <w:r w:rsidR="00903D2A" w:rsidRPr="008D14E5">
        <w:rPr>
          <w:rFonts w:ascii="Book Antiqua" w:hAnsi="Book Antiqua"/>
          <w:lang w:val="es-ES"/>
        </w:rPr>
        <w:t xml:space="preserve">Finalmente, </w:t>
      </w:r>
      <w:r w:rsidR="00903D2A">
        <w:rPr>
          <w:rFonts w:ascii="Book Antiqua" w:hAnsi="Book Antiqua"/>
          <w:lang w:val="es-ES"/>
        </w:rPr>
        <w:t>el Poder Judicial, a través de la</w:t>
      </w:r>
      <w:r w:rsidR="00903D2A" w:rsidRPr="008D14E5">
        <w:rPr>
          <w:rFonts w:ascii="Book Antiqua" w:hAnsi="Book Antiqua"/>
          <w:lang w:val="es-ES"/>
        </w:rPr>
        <w:t xml:space="preserve"> Oficina de Administración de los Tribunales (OAT), ofreció comentarios de carácter técnico sin oponerse expresamente. La OAT explicó el marco actual del descubrimiento de prueba en la jurisdicción local, destacando que la Regla 23.1 permite un descubrimiento amplio y liberal con ciertas protecciones bajo la doctrina del </w:t>
      </w:r>
      <w:proofErr w:type="spellStart"/>
      <w:r w:rsidR="00903D2A" w:rsidRPr="00AA4B4D">
        <w:rPr>
          <w:rFonts w:ascii="Book Antiqua" w:hAnsi="Book Antiqua"/>
          <w:i/>
          <w:iCs/>
          <w:lang w:val="es-ES"/>
        </w:rPr>
        <w:t>work</w:t>
      </w:r>
      <w:proofErr w:type="spellEnd"/>
      <w:r w:rsidR="00903D2A" w:rsidRPr="00AA4B4D">
        <w:rPr>
          <w:rFonts w:ascii="Book Antiqua" w:hAnsi="Book Antiqua"/>
          <w:i/>
          <w:iCs/>
          <w:lang w:val="es-ES"/>
        </w:rPr>
        <w:t xml:space="preserve"> </w:t>
      </w:r>
      <w:proofErr w:type="spellStart"/>
      <w:r w:rsidR="00903D2A" w:rsidRPr="00AA4B4D">
        <w:rPr>
          <w:rFonts w:ascii="Book Antiqua" w:hAnsi="Book Antiqua"/>
          <w:i/>
          <w:iCs/>
          <w:lang w:val="es-ES"/>
        </w:rPr>
        <w:t>product</w:t>
      </w:r>
      <w:proofErr w:type="spellEnd"/>
      <w:r w:rsidR="00903D2A" w:rsidRPr="008D14E5">
        <w:rPr>
          <w:rFonts w:ascii="Book Antiqua" w:hAnsi="Book Antiqua"/>
          <w:lang w:val="es-ES"/>
        </w:rPr>
        <w:t xml:space="preserve">. Recordó que, según la interpretación del Tribunal Supremo en el caso </w:t>
      </w:r>
      <w:r w:rsidR="00903D2A" w:rsidRPr="00AA4B4D">
        <w:rPr>
          <w:rFonts w:ascii="Book Antiqua" w:hAnsi="Book Antiqua"/>
          <w:i/>
          <w:iCs/>
          <w:lang w:val="es-ES"/>
        </w:rPr>
        <w:t xml:space="preserve">McNeil </w:t>
      </w:r>
      <w:proofErr w:type="spellStart"/>
      <w:r w:rsidR="00903D2A" w:rsidRPr="00AA4B4D">
        <w:rPr>
          <w:rFonts w:ascii="Book Antiqua" w:hAnsi="Book Antiqua"/>
          <w:i/>
          <w:iCs/>
          <w:lang w:val="es-ES"/>
        </w:rPr>
        <w:t>Healthcare</w:t>
      </w:r>
      <w:proofErr w:type="spellEnd"/>
      <w:r w:rsidR="00903D2A" w:rsidRPr="008D14E5">
        <w:rPr>
          <w:rFonts w:ascii="Book Antiqua" w:hAnsi="Book Antiqua"/>
          <w:lang w:val="es-ES"/>
        </w:rPr>
        <w:t>,</w:t>
      </w:r>
      <w:r w:rsidR="00060204">
        <w:rPr>
          <w:rFonts w:ascii="Book Antiqua" w:hAnsi="Book Antiqua"/>
          <w:lang w:val="es-ES"/>
        </w:rPr>
        <w:t xml:space="preserve"> </w:t>
      </w:r>
      <w:r w:rsidR="00060204" w:rsidRPr="00060204">
        <w:rPr>
          <w:rFonts w:ascii="Book Antiqua" w:hAnsi="Book Antiqua"/>
          <w:i/>
          <w:iCs/>
          <w:lang w:val="es-ES"/>
        </w:rPr>
        <w:t>supra</w:t>
      </w:r>
      <w:r w:rsidR="00060204">
        <w:rPr>
          <w:rFonts w:ascii="Book Antiqua" w:hAnsi="Book Antiqua"/>
          <w:lang w:val="es-ES"/>
        </w:rPr>
        <w:t>,</w:t>
      </w:r>
      <w:r w:rsidR="00903D2A" w:rsidRPr="008D14E5">
        <w:rPr>
          <w:rFonts w:ascii="Book Antiqua" w:hAnsi="Book Antiqua"/>
          <w:lang w:val="es-ES"/>
        </w:rPr>
        <w:t xml:space="preserve"> los borradores de informes periciales y las comunicaciones entre perito testigo y abogado son descubribles bajo la regla vigente. La OAT detalló que, aunque existen mecanismos de órdenes protectoras que los tribunales pueden emitir para evitar abusos en el descubrimiento, la medida legislativa bajo consideración introduce una protección expresa que actualmente no se encuentra en las </w:t>
      </w:r>
      <w:r w:rsidR="00903D2A">
        <w:rPr>
          <w:rFonts w:ascii="Book Antiqua" w:hAnsi="Book Antiqua"/>
          <w:lang w:val="es-ES"/>
        </w:rPr>
        <w:t>R</w:t>
      </w:r>
      <w:r w:rsidR="00903D2A" w:rsidRPr="008D14E5">
        <w:rPr>
          <w:rFonts w:ascii="Book Antiqua" w:hAnsi="Book Antiqua"/>
          <w:lang w:val="es-ES"/>
        </w:rPr>
        <w:t xml:space="preserve">eglas. En su exposición, la </w:t>
      </w:r>
      <w:r w:rsidR="00903D2A">
        <w:rPr>
          <w:rFonts w:ascii="Book Antiqua" w:hAnsi="Book Antiqua"/>
          <w:lang w:val="es-ES"/>
        </w:rPr>
        <w:t>OAT</w:t>
      </w:r>
      <w:r w:rsidR="00903D2A" w:rsidRPr="008D14E5">
        <w:rPr>
          <w:rFonts w:ascii="Book Antiqua" w:hAnsi="Book Antiqua"/>
          <w:lang w:val="es-ES"/>
        </w:rPr>
        <w:t xml:space="preserve"> reconoció la política pública de promover un descubrimiento amplio para lograr juicios justos y económicos, pero no presentó oposición a que la Asamblea Legislativa ejerza su facultad constitucional para enmendar las reglas procesales en aras de fortalecer la confidencialidad y efectividad de la defensa legal.</w:t>
      </w:r>
    </w:p>
    <w:p w14:paraId="35931FC5" w14:textId="77777777" w:rsidR="00940E84" w:rsidRPr="00273C49" w:rsidRDefault="00940E84" w:rsidP="00D04412">
      <w:pPr>
        <w:tabs>
          <w:tab w:val="left" w:pos="-720"/>
        </w:tabs>
        <w:suppressAutoHyphens/>
        <w:spacing w:line="276" w:lineRule="auto"/>
        <w:jc w:val="both"/>
        <w:rPr>
          <w:rFonts w:ascii="Book Antiqua" w:hAnsi="Book Antiqua"/>
          <w:lang w:val="es-ES"/>
        </w:rPr>
      </w:pPr>
    </w:p>
    <w:p w14:paraId="302CAC3A" w14:textId="141F50AB" w:rsidR="00D13D23" w:rsidRPr="00273C49" w:rsidRDefault="0096171F" w:rsidP="00D04412">
      <w:pPr>
        <w:tabs>
          <w:tab w:val="left" w:pos="-720"/>
        </w:tabs>
        <w:suppressAutoHyphens/>
        <w:spacing w:line="276" w:lineRule="auto"/>
        <w:ind w:firstLine="360"/>
        <w:jc w:val="center"/>
        <w:rPr>
          <w:rFonts w:ascii="Book Antiqua" w:hAnsi="Book Antiqua"/>
          <w:b/>
          <w:bCs/>
          <w:lang w:val="es-ES"/>
        </w:rPr>
      </w:pPr>
      <w:r w:rsidRPr="00273C49">
        <w:rPr>
          <w:rFonts w:ascii="Book Antiqua" w:hAnsi="Book Antiqua"/>
          <w:b/>
          <w:bCs/>
          <w:lang w:val="es-ES"/>
        </w:rPr>
        <w:t>I</w:t>
      </w:r>
      <w:r w:rsidR="002C402D" w:rsidRPr="00273C49">
        <w:rPr>
          <w:rFonts w:ascii="Book Antiqua" w:hAnsi="Book Antiqua"/>
          <w:b/>
          <w:bCs/>
          <w:lang w:val="es-ES"/>
        </w:rPr>
        <w:t>MPACTO FISCAL</w:t>
      </w:r>
      <w:r w:rsidR="00D13D23" w:rsidRPr="00273C49">
        <w:rPr>
          <w:rFonts w:ascii="Book Antiqua" w:hAnsi="Book Antiqua"/>
          <w:b/>
          <w:bCs/>
          <w:lang w:val="es-ES"/>
        </w:rPr>
        <w:t xml:space="preserve"> MUNICIPAL </w:t>
      </w:r>
    </w:p>
    <w:p w14:paraId="144378DC" w14:textId="77777777" w:rsidR="000C52A1" w:rsidRPr="00273C49" w:rsidRDefault="000C52A1" w:rsidP="00D04412">
      <w:pPr>
        <w:tabs>
          <w:tab w:val="left" w:pos="-720"/>
        </w:tabs>
        <w:suppressAutoHyphens/>
        <w:spacing w:line="276" w:lineRule="auto"/>
        <w:ind w:firstLine="360"/>
        <w:jc w:val="center"/>
        <w:rPr>
          <w:rFonts w:ascii="Book Antiqua" w:hAnsi="Book Antiqua"/>
          <w:b/>
          <w:bCs/>
          <w:lang w:val="es-ES"/>
        </w:rPr>
      </w:pPr>
    </w:p>
    <w:p w14:paraId="3CD7EB56" w14:textId="3DBBA3B4" w:rsidR="002C402D" w:rsidRPr="00273C49" w:rsidRDefault="004F6E72" w:rsidP="00D04412">
      <w:pPr>
        <w:tabs>
          <w:tab w:val="left" w:pos="-720"/>
        </w:tabs>
        <w:suppressAutoHyphens/>
        <w:spacing w:line="276" w:lineRule="auto"/>
        <w:ind w:firstLine="360"/>
        <w:jc w:val="both"/>
        <w:rPr>
          <w:rFonts w:ascii="Book Antiqua" w:hAnsi="Book Antiqua"/>
          <w:lang w:val="es-ES"/>
        </w:rPr>
      </w:pPr>
      <w:r w:rsidRPr="00273C49">
        <w:rPr>
          <w:rFonts w:ascii="Book Antiqua" w:hAnsi="Book Antiqua"/>
          <w:lang w:val="es-ES"/>
        </w:rPr>
        <w:tab/>
      </w:r>
      <w:r w:rsidR="00D13D23" w:rsidRPr="00273C49">
        <w:rPr>
          <w:rFonts w:ascii="Book Antiqua" w:hAnsi="Book Antiqua"/>
          <w:lang w:val="es-ES"/>
        </w:rPr>
        <w:t xml:space="preserve">En cumplimiento con el Artículo 1.007 de la Ley Núm. 107–2020, según enmendada, conocida como “Código Municipal de Puerto Rico”, la </w:t>
      </w:r>
      <w:r w:rsidR="00BE6740" w:rsidRPr="00273C49">
        <w:rPr>
          <w:rFonts w:ascii="Book Antiqua" w:hAnsi="Book Antiqua"/>
          <w:spacing w:val="-3"/>
          <w:lang w:val="es-ES"/>
        </w:rPr>
        <w:t>Comisión de lo Jurídico del Senado de Puerto Rico</w:t>
      </w:r>
      <w:r w:rsidR="00BE6740" w:rsidRPr="00273C49">
        <w:rPr>
          <w:rFonts w:ascii="Book Antiqua" w:hAnsi="Book Antiqua"/>
          <w:lang w:val="es-ES"/>
        </w:rPr>
        <w:t xml:space="preserve"> </w:t>
      </w:r>
      <w:r w:rsidRPr="00273C49">
        <w:rPr>
          <w:rFonts w:ascii="Book Antiqua" w:hAnsi="Book Antiqua"/>
          <w:lang w:val="es-ES"/>
        </w:rPr>
        <w:t xml:space="preserve">certifica que el </w:t>
      </w:r>
      <w:r w:rsidR="00201567" w:rsidRPr="00273C49">
        <w:rPr>
          <w:rFonts w:ascii="Book Antiqua" w:hAnsi="Book Antiqua"/>
          <w:lang w:val="es-ES"/>
        </w:rPr>
        <w:t xml:space="preserve">P. </w:t>
      </w:r>
      <w:r w:rsidR="00903D2A">
        <w:rPr>
          <w:rFonts w:ascii="Book Antiqua" w:hAnsi="Book Antiqua"/>
          <w:lang w:val="es-ES"/>
        </w:rPr>
        <w:t>de la C</w:t>
      </w:r>
      <w:r w:rsidR="00FC4778">
        <w:rPr>
          <w:rFonts w:ascii="Book Antiqua" w:hAnsi="Book Antiqua"/>
          <w:lang w:val="es-ES"/>
        </w:rPr>
        <w:t>. 13</w:t>
      </w:r>
      <w:r w:rsidR="00201567" w:rsidRPr="00273C49">
        <w:rPr>
          <w:rFonts w:ascii="Book Antiqua" w:hAnsi="Book Antiqua"/>
          <w:lang w:val="es-ES"/>
        </w:rPr>
        <w:t xml:space="preserve"> </w:t>
      </w:r>
      <w:r w:rsidR="00D13D23" w:rsidRPr="00273C49">
        <w:rPr>
          <w:rFonts w:ascii="Book Antiqua" w:hAnsi="Book Antiqua"/>
          <w:lang w:val="es-ES"/>
        </w:rPr>
        <w:t>no impone una obligación económica en el presupuesto</w:t>
      </w:r>
      <w:r w:rsidR="00946BB4" w:rsidRPr="00273C49">
        <w:rPr>
          <w:rFonts w:ascii="Book Antiqua" w:hAnsi="Book Antiqua"/>
          <w:lang w:val="es-ES"/>
        </w:rPr>
        <w:t xml:space="preserve"> de los gobiernos municipales. </w:t>
      </w:r>
    </w:p>
    <w:p w14:paraId="426C19E9" w14:textId="77777777" w:rsidR="00946BB4" w:rsidRPr="00273C49" w:rsidRDefault="00946BB4" w:rsidP="00D04412">
      <w:pPr>
        <w:tabs>
          <w:tab w:val="left" w:pos="-720"/>
        </w:tabs>
        <w:suppressAutoHyphens/>
        <w:spacing w:line="276" w:lineRule="auto"/>
        <w:ind w:firstLine="360"/>
        <w:jc w:val="both"/>
        <w:rPr>
          <w:rFonts w:ascii="Book Antiqua" w:hAnsi="Book Antiqua"/>
          <w:lang w:val="es-ES"/>
        </w:rPr>
      </w:pPr>
    </w:p>
    <w:p w14:paraId="482AC70D" w14:textId="77777777" w:rsidR="0096171F" w:rsidRPr="00273C49" w:rsidRDefault="0096171F" w:rsidP="00D04412">
      <w:pPr>
        <w:tabs>
          <w:tab w:val="left" w:pos="-720"/>
        </w:tabs>
        <w:suppressAutoHyphens/>
        <w:spacing w:line="276" w:lineRule="auto"/>
        <w:ind w:firstLine="360"/>
        <w:jc w:val="center"/>
        <w:rPr>
          <w:rFonts w:ascii="Book Antiqua" w:hAnsi="Book Antiqua"/>
          <w:b/>
          <w:bCs/>
          <w:lang w:val="es-ES"/>
        </w:rPr>
      </w:pPr>
      <w:r w:rsidRPr="00273C49">
        <w:rPr>
          <w:rFonts w:ascii="Book Antiqua" w:hAnsi="Book Antiqua"/>
          <w:b/>
          <w:bCs/>
          <w:lang w:val="es-ES"/>
        </w:rPr>
        <w:t>C</w:t>
      </w:r>
      <w:r w:rsidR="002C402D" w:rsidRPr="00273C49">
        <w:rPr>
          <w:rFonts w:ascii="Book Antiqua" w:hAnsi="Book Antiqua"/>
          <w:b/>
          <w:bCs/>
          <w:lang w:val="es-ES"/>
        </w:rPr>
        <w:t xml:space="preserve">ONCLUSIÓN </w:t>
      </w:r>
    </w:p>
    <w:p w14:paraId="040801D3" w14:textId="77777777" w:rsidR="000C52A1" w:rsidRPr="00273C49" w:rsidRDefault="000C52A1" w:rsidP="00D04412">
      <w:pPr>
        <w:tabs>
          <w:tab w:val="left" w:pos="-720"/>
        </w:tabs>
        <w:suppressAutoHyphens/>
        <w:spacing w:line="276" w:lineRule="auto"/>
        <w:ind w:firstLine="360"/>
        <w:jc w:val="center"/>
        <w:rPr>
          <w:rFonts w:ascii="Book Antiqua" w:hAnsi="Book Antiqua"/>
          <w:b/>
          <w:bCs/>
          <w:lang w:val="es-ES"/>
        </w:rPr>
      </w:pPr>
    </w:p>
    <w:p w14:paraId="5FB2EC60" w14:textId="6E231329" w:rsidR="00BC57FC" w:rsidRDefault="00006DDC" w:rsidP="00D04412">
      <w:pPr>
        <w:tabs>
          <w:tab w:val="left" w:pos="-720"/>
        </w:tabs>
        <w:suppressAutoHyphens/>
        <w:spacing w:line="276" w:lineRule="auto"/>
        <w:ind w:firstLine="360"/>
        <w:jc w:val="both"/>
        <w:rPr>
          <w:rFonts w:ascii="Book Antiqua" w:hAnsi="Book Antiqua"/>
          <w:lang w:val="es-ES"/>
        </w:rPr>
      </w:pPr>
      <w:r w:rsidRPr="00273C49">
        <w:rPr>
          <w:rFonts w:ascii="Book Antiqua" w:hAnsi="Book Antiqua"/>
          <w:lang w:val="es-ES"/>
        </w:rPr>
        <w:tab/>
        <w:t xml:space="preserve">La </w:t>
      </w:r>
      <w:r w:rsidR="00F86C0C" w:rsidRPr="00273C49">
        <w:rPr>
          <w:rFonts w:ascii="Book Antiqua" w:hAnsi="Book Antiqua"/>
          <w:spacing w:val="-3"/>
          <w:lang w:val="es-ES"/>
        </w:rPr>
        <w:t>Comisión de lo Jurídico del Senado de Puerto Rico</w:t>
      </w:r>
      <w:r w:rsidR="006C283C" w:rsidRPr="00273C49">
        <w:rPr>
          <w:rFonts w:ascii="Book Antiqua" w:hAnsi="Book Antiqua"/>
          <w:lang w:val="es-ES"/>
        </w:rPr>
        <w:t xml:space="preserve"> </w:t>
      </w:r>
      <w:r w:rsidR="004F6E72" w:rsidRPr="00273C49">
        <w:rPr>
          <w:rFonts w:ascii="Book Antiqua" w:hAnsi="Book Antiqua"/>
          <w:lang w:val="es-ES"/>
        </w:rPr>
        <w:t xml:space="preserve">efectuó un análisis minucioso </w:t>
      </w:r>
      <w:r w:rsidR="00201567" w:rsidRPr="00273C49">
        <w:rPr>
          <w:rFonts w:ascii="Book Antiqua" w:hAnsi="Book Antiqua"/>
          <w:lang w:val="es-ES"/>
        </w:rPr>
        <w:t xml:space="preserve">del </w:t>
      </w:r>
      <w:r w:rsidR="00060204" w:rsidRPr="00273C49">
        <w:rPr>
          <w:rFonts w:ascii="Book Antiqua" w:hAnsi="Book Antiqua"/>
          <w:lang w:val="es-ES"/>
        </w:rPr>
        <w:t xml:space="preserve">P. </w:t>
      </w:r>
      <w:r w:rsidR="00060204">
        <w:rPr>
          <w:rFonts w:ascii="Book Antiqua" w:hAnsi="Book Antiqua"/>
          <w:lang w:val="es-ES"/>
        </w:rPr>
        <w:t>de la C. 13,</w:t>
      </w:r>
      <w:r w:rsidR="00060204" w:rsidRPr="00273C49">
        <w:rPr>
          <w:rFonts w:ascii="Book Antiqua" w:hAnsi="Book Antiqua"/>
          <w:lang w:val="es-ES"/>
        </w:rPr>
        <w:t xml:space="preserve"> </w:t>
      </w:r>
      <w:r w:rsidR="00B702A0" w:rsidRPr="00273C49">
        <w:rPr>
          <w:rFonts w:ascii="Book Antiqua" w:hAnsi="Book Antiqua"/>
          <w:lang w:val="es-ES"/>
        </w:rPr>
        <w:t>según fue referid</w:t>
      </w:r>
      <w:r w:rsidR="00201567" w:rsidRPr="00273C49">
        <w:rPr>
          <w:rFonts w:ascii="Book Antiqua" w:hAnsi="Book Antiqua"/>
          <w:lang w:val="es-ES"/>
        </w:rPr>
        <w:t>o</w:t>
      </w:r>
      <w:r w:rsidR="001D12A7" w:rsidRPr="00273C49">
        <w:rPr>
          <w:rFonts w:ascii="Book Antiqua" w:hAnsi="Book Antiqua"/>
          <w:lang w:val="es-ES"/>
        </w:rPr>
        <w:t>,</w:t>
      </w:r>
      <w:r w:rsidR="00B702A0" w:rsidRPr="00273C49">
        <w:rPr>
          <w:rFonts w:ascii="Book Antiqua" w:hAnsi="Book Antiqua"/>
          <w:lang w:val="es-ES"/>
        </w:rPr>
        <w:t xml:space="preserve"> también analiz</w:t>
      </w:r>
      <w:r w:rsidR="005354C6" w:rsidRPr="00273C49">
        <w:rPr>
          <w:rFonts w:ascii="Book Antiqua" w:hAnsi="Book Antiqua"/>
          <w:lang w:val="es-ES"/>
        </w:rPr>
        <w:t>ó</w:t>
      </w:r>
      <w:r w:rsidR="00B702A0" w:rsidRPr="00273C49">
        <w:rPr>
          <w:rFonts w:ascii="Book Antiqua" w:hAnsi="Book Antiqua"/>
          <w:lang w:val="es-ES"/>
        </w:rPr>
        <w:t xml:space="preserve"> </w:t>
      </w:r>
      <w:r w:rsidR="00BC57FC">
        <w:rPr>
          <w:rFonts w:ascii="Book Antiqua" w:hAnsi="Book Antiqua"/>
          <w:lang w:val="es-ES"/>
        </w:rPr>
        <w:t xml:space="preserve">las Reglas de </w:t>
      </w:r>
      <w:r w:rsidR="00BC57FC">
        <w:rPr>
          <w:rFonts w:ascii="Book Antiqua" w:hAnsi="Book Antiqua"/>
          <w:lang w:val="es-ES"/>
        </w:rPr>
        <w:lastRenderedPageBreak/>
        <w:t xml:space="preserve">Procedimiento Civil de Puerto Rico, las Reglas Federales de Procedimiento Civil, la jurisprudencia aplicable y los memoriales recibidos. </w:t>
      </w:r>
      <w:r w:rsidR="00BC57FC" w:rsidRPr="00C74F96">
        <w:rPr>
          <w:rFonts w:ascii="Book Antiqua" w:hAnsi="Book Antiqua"/>
          <w:lang w:val="es-ES"/>
        </w:rPr>
        <w:t xml:space="preserve"> </w:t>
      </w:r>
    </w:p>
    <w:p w14:paraId="5DC91378" w14:textId="54ED7F1C" w:rsidR="00D54E5D" w:rsidRPr="00311544" w:rsidRDefault="00D54E5D" w:rsidP="00D04412">
      <w:pPr>
        <w:tabs>
          <w:tab w:val="left" w:pos="-720"/>
        </w:tabs>
        <w:suppressAutoHyphens/>
        <w:spacing w:line="276" w:lineRule="auto"/>
        <w:ind w:firstLine="360"/>
        <w:jc w:val="both"/>
        <w:rPr>
          <w:rFonts w:ascii="Book Antiqua" w:hAnsi="Book Antiqua"/>
          <w:lang w:val="es-ES"/>
        </w:rPr>
      </w:pPr>
      <w:r w:rsidRPr="00311544">
        <w:rPr>
          <w:rFonts w:ascii="Book Antiqua" w:hAnsi="Book Antiqua"/>
          <w:lang w:val="es-ES"/>
        </w:rPr>
        <w:t xml:space="preserve">La Comisión de lo Jurídico coincide en que el Proyecto </w:t>
      </w:r>
      <w:r>
        <w:rPr>
          <w:rFonts w:ascii="Book Antiqua" w:hAnsi="Book Antiqua"/>
          <w:lang w:val="es-ES"/>
        </w:rPr>
        <w:t>de la Cámara 13</w:t>
      </w:r>
      <w:r w:rsidRPr="00311544">
        <w:rPr>
          <w:rFonts w:ascii="Book Antiqua" w:hAnsi="Book Antiqua"/>
          <w:lang w:val="es-ES"/>
        </w:rPr>
        <w:t xml:space="preserve"> constituye una medida necesaria y de alto valor jurídico para fortalecer las garantías procesales en Puerto Rico. Tras evaluar la medida y los memoriales explicativos recibidos, la Comisión reconoce que la normativa vigente, interpretada por el Tribunal Supremo en </w:t>
      </w:r>
      <w:r w:rsidRPr="00311544">
        <w:rPr>
          <w:rFonts w:ascii="Book Antiqua" w:hAnsi="Book Antiqua"/>
          <w:i/>
          <w:iCs/>
          <w:lang w:val="es-ES"/>
        </w:rPr>
        <w:t xml:space="preserve">McNeil </w:t>
      </w:r>
      <w:proofErr w:type="spellStart"/>
      <w:r w:rsidRPr="00311544">
        <w:rPr>
          <w:rFonts w:ascii="Book Antiqua" w:hAnsi="Book Antiqua"/>
          <w:i/>
          <w:iCs/>
          <w:lang w:val="es-ES"/>
        </w:rPr>
        <w:t>Healthcare</w:t>
      </w:r>
      <w:proofErr w:type="spellEnd"/>
      <w:r w:rsidRPr="00311544">
        <w:rPr>
          <w:rFonts w:ascii="Book Antiqua" w:hAnsi="Book Antiqua"/>
          <w:i/>
          <w:iCs/>
          <w:lang w:val="es-ES"/>
        </w:rPr>
        <w:t>, LLC v. Municipio de Las Piedras</w:t>
      </w:r>
      <w:r w:rsidRPr="00311544">
        <w:rPr>
          <w:rFonts w:ascii="Book Antiqua" w:hAnsi="Book Antiqua"/>
          <w:lang w:val="es-ES"/>
        </w:rPr>
        <w:t xml:space="preserve">, </w:t>
      </w:r>
      <w:r w:rsidRPr="00D54E5D">
        <w:rPr>
          <w:rFonts w:ascii="Book Antiqua" w:hAnsi="Book Antiqua"/>
          <w:i/>
          <w:iCs/>
          <w:lang w:val="es-ES"/>
        </w:rPr>
        <w:t>supra</w:t>
      </w:r>
      <w:r>
        <w:rPr>
          <w:rFonts w:ascii="Book Antiqua" w:hAnsi="Book Antiqua"/>
          <w:lang w:val="es-ES"/>
        </w:rPr>
        <w:t xml:space="preserve">, </w:t>
      </w:r>
      <w:r w:rsidRPr="00311544">
        <w:rPr>
          <w:rFonts w:ascii="Book Antiqua" w:hAnsi="Book Antiqua"/>
          <w:lang w:val="es-ES"/>
        </w:rPr>
        <w:t>deja sin protección los borradores de informes periciales y las comunicaciones entre abogados y peritos testigos, exponiéndolos al descubrimiento de prueba. Esta situación crea un vacío normativo que coloca a las partes en una posición de desventaja estratégica y afecta la preparación adecuada de los casos, lo que redunda en un proceso judicial menos equitativo.</w:t>
      </w:r>
    </w:p>
    <w:p w14:paraId="05FCD6D0" w14:textId="77777777" w:rsidR="00D54E5D" w:rsidRDefault="00D54E5D" w:rsidP="00D04412">
      <w:pPr>
        <w:tabs>
          <w:tab w:val="left" w:pos="-720"/>
        </w:tabs>
        <w:suppressAutoHyphens/>
        <w:spacing w:line="276" w:lineRule="auto"/>
        <w:jc w:val="both"/>
        <w:rPr>
          <w:rFonts w:ascii="Book Antiqua" w:hAnsi="Book Antiqua"/>
          <w:lang w:val="es-ES"/>
        </w:rPr>
      </w:pPr>
      <w:r>
        <w:rPr>
          <w:rFonts w:ascii="Book Antiqua" w:hAnsi="Book Antiqua"/>
          <w:lang w:val="es-ES"/>
        </w:rPr>
        <w:tab/>
      </w:r>
      <w:r w:rsidRPr="00311544">
        <w:rPr>
          <w:rFonts w:ascii="Book Antiqua" w:hAnsi="Book Antiqua"/>
          <w:lang w:val="es-ES"/>
        </w:rPr>
        <w:t xml:space="preserve">La Comisión acoge las observaciones del Colegio de </w:t>
      </w:r>
      <w:proofErr w:type="gramStart"/>
      <w:r w:rsidRPr="00311544">
        <w:rPr>
          <w:rFonts w:ascii="Book Antiqua" w:hAnsi="Book Antiqua"/>
          <w:lang w:val="es-ES"/>
        </w:rPr>
        <w:t>Abogados y Abogadas</w:t>
      </w:r>
      <w:proofErr w:type="gramEnd"/>
      <w:r w:rsidRPr="00311544">
        <w:rPr>
          <w:rFonts w:ascii="Book Antiqua" w:hAnsi="Book Antiqua"/>
          <w:lang w:val="es-ES"/>
        </w:rPr>
        <w:t xml:space="preserve"> de Puerto Rico, del Departamento de Justicia y de la Oficina de Administración de los Tribunales, las cuales, de manera unánime, destacan que la medida enmienda la Regla 23.1 de Procedimiento Civil para brindar una protección expresa al </w:t>
      </w:r>
      <w:proofErr w:type="spellStart"/>
      <w:r w:rsidRPr="00DE32EF">
        <w:rPr>
          <w:rFonts w:ascii="Book Antiqua" w:hAnsi="Book Antiqua"/>
          <w:i/>
          <w:iCs/>
          <w:lang w:val="es-ES"/>
        </w:rPr>
        <w:t>work</w:t>
      </w:r>
      <w:proofErr w:type="spellEnd"/>
      <w:r w:rsidRPr="00DE32EF">
        <w:rPr>
          <w:rFonts w:ascii="Book Antiqua" w:hAnsi="Book Antiqua"/>
          <w:i/>
          <w:iCs/>
          <w:lang w:val="es-ES"/>
        </w:rPr>
        <w:t xml:space="preserve"> </w:t>
      </w:r>
      <w:proofErr w:type="spellStart"/>
      <w:r w:rsidRPr="00DE32EF">
        <w:rPr>
          <w:rFonts w:ascii="Book Antiqua" w:hAnsi="Book Antiqua"/>
          <w:i/>
          <w:iCs/>
          <w:lang w:val="es-ES"/>
        </w:rPr>
        <w:t>product</w:t>
      </w:r>
      <w:proofErr w:type="spellEnd"/>
      <w:r w:rsidRPr="00311544">
        <w:rPr>
          <w:rFonts w:ascii="Book Antiqua" w:hAnsi="Book Antiqua"/>
          <w:lang w:val="es-ES"/>
        </w:rPr>
        <w:t xml:space="preserve"> en las relaciones abogado-perito, alineando así nuestro ordenamiento procesal con las disposiciones federales contenidas en la Regla 26. La inclusión de esta protección </w:t>
      </w:r>
      <w:r>
        <w:rPr>
          <w:rFonts w:ascii="Book Antiqua" w:hAnsi="Book Antiqua"/>
          <w:lang w:val="es-ES"/>
        </w:rPr>
        <w:t xml:space="preserve">a nuestro ordenamiento </w:t>
      </w:r>
      <w:r w:rsidRPr="00311544">
        <w:rPr>
          <w:rFonts w:ascii="Book Antiqua" w:hAnsi="Book Antiqua"/>
          <w:lang w:val="es-ES"/>
        </w:rPr>
        <w:t xml:space="preserve">fomenta una relación abierta y estratégica entre abogados y peritos, evita que las estrategias legales sean expuestas prematuramente y, al mismo tiempo, contempla excepciones que permiten balancear la confidencialidad con el </w:t>
      </w:r>
      <w:r>
        <w:rPr>
          <w:rFonts w:ascii="Book Antiqua" w:hAnsi="Book Antiqua"/>
          <w:lang w:val="es-ES"/>
        </w:rPr>
        <w:t>descubrimiento de prueba</w:t>
      </w:r>
      <w:r w:rsidRPr="00311544">
        <w:rPr>
          <w:rFonts w:ascii="Book Antiqua" w:hAnsi="Book Antiqua"/>
          <w:lang w:val="es-ES"/>
        </w:rPr>
        <w:t>.</w:t>
      </w:r>
    </w:p>
    <w:p w14:paraId="12984714" w14:textId="77777777" w:rsidR="000B071A" w:rsidRPr="00273C49" w:rsidRDefault="000B071A" w:rsidP="00D04412">
      <w:pPr>
        <w:tabs>
          <w:tab w:val="left" w:pos="-720"/>
        </w:tabs>
        <w:suppressAutoHyphens/>
        <w:spacing w:line="276" w:lineRule="auto"/>
        <w:ind w:firstLine="360"/>
        <w:jc w:val="both"/>
        <w:rPr>
          <w:rFonts w:ascii="Book Antiqua" w:hAnsi="Book Antiqua"/>
          <w:b/>
          <w:bCs/>
          <w:lang w:val="es-ES"/>
        </w:rPr>
      </w:pPr>
    </w:p>
    <w:p w14:paraId="7885E90D" w14:textId="3AAC5383" w:rsidR="00DF45DC" w:rsidRPr="00273C49" w:rsidRDefault="0096171F" w:rsidP="00D04412">
      <w:pPr>
        <w:tabs>
          <w:tab w:val="left" w:pos="-720"/>
        </w:tabs>
        <w:suppressAutoHyphens/>
        <w:spacing w:line="276" w:lineRule="auto"/>
        <w:ind w:firstLine="360"/>
        <w:jc w:val="both"/>
        <w:rPr>
          <w:rFonts w:ascii="Book Antiqua" w:hAnsi="Book Antiqua"/>
          <w:lang w:val="es-ES"/>
        </w:rPr>
      </w:pPr>
      <w:r w:rsidRPr="00273C49">
        <w:rPr>
          <w:rFonts w:ascii="Book Antiqua" w:hAnsi="Book Antiqua"/>
          <w:b/>
          <w:bCs/>
          <w:lang w:val="es-ES"/>
        </w:rPr>
        <w:t>POR TODO LO ANTES EXPUESTO</w:t>
      </w:r>
      <w:r w:rsidRPr="00273C49">
        <w:rPr>
          <w:rFonts w:ascii="Book Antiqua" w:hAnsi="Book Antiqua"/>
          <w:lang w:val="es-ES"/>
        </w:rPr>
        <w:t xml:space="preserve">, la </w:t>
      </w:r>
      <w:r w:rsidR="001D12A7" w:rsidRPr="00273C49">
        <w:rPr>
          <w:rFonts w:ascii="Book Antiqua" w:hAnsi="Book Antiqua"/>
          <w:spacing w:val="-3"/>
          <w:lang w:val="es-ES"/>
        </w:rPr>
        <w:t>Comisión de lo Jurídico del Senado de Puerto Rico</w:t>
      </w:r>
      <w:r w:rsidR="001D12A7" w:rsidRPr="00273C49">
        <w:rPr>
          <w:rFonts w:ascii="Book Antiqua" w:hAnsi="Book Antiqua"/>
          <w:lang w:val="es-ES"/>
        </w:rPr>
        <w:t xml:space="preserve"> </w:t>
      </w:r>
      <w:r w:rsidR="00006DDC" w:rsidRPr="00273C49">
        <w:rPr>
          <w:rFonts w:ascii="Book Antiqua" w:hAnsi="Book Antiqua"/>
          <w:lang w:val="es-ES"/>
        </w:rPr>
        <w:t xml:space="preserve">tiene a bien presentar ante este Alto Cuerpo el Informe Positivo sobre el </w:t>
      </w:r>
      <w:r w:rsidR="00D04412">
        <w:rPr>
          <w:rFonts w:ascii="Book Antiqua" w:hAnsi="Book Antiqua"/>
          <w:b/>
          <w:bCs/>
          <w:lang w:val="es-ES"/>
        </w:rPr>
        <w:t>Proyecto de la Cámara 13,</w:t>
      </w:r>
      <w:r w:rsidR="00006DDC" w:rsidRPr="00273C49">
        <w:rPr>
          <w:rFonts w:ascii="Book Antiqua" w:hAnsi="Book Antiqua"/>
          <w:lang w:val="es-ES"/>
        </w:rPr>
        <w:t xml:space="preserve"> recomendando su aprobación </w:t>
      </w:r>
      <w:r w:rsidR="00006DDC" w:rsidRPr="00D04412">
        <w:rPr>
          <w:rFonts w:ascii="Book Antiqua" w:hAnsi="Book Antiqua"/>
          <w:lang w:val="es-ES"/>
        </w:rPr>
        <w:t>con las enmiendas contenidas en el entirillado electrónico que se acompañ</w:t>
      </w:r>
      <w:r w:rsidR="00D04412" w:rsidRPr="00D04412">
        <w:rPr>
          <w:rFonts w:ascii="Book Antiqua" w:hAnsi="Book Antiqua"/>
          <w:lang w:val="es-ES"/>
        </w:rPr>
        <w:t>a</w:t>
      </w:r>
      <w:r w:rsidR="00006DDC" w:rsidRPr="00D04412">
        <w:rPr>
          <w:rFonts w:ascii="Book Antiqua" w:hAnsi="Book Antiqua"/>
          <w:lang w:val="es-ES"/>
        </w:rPr>
        <w:t>.</w:t>
      </w:r>
      <w:r w:rsidR="00006DDC" w:rsidRPr="00273C49">
        <w:rPr>
          <w:rFonts w:ascii="Book Antiqua" w:hAnsi="Book Antiqua"/>
          <w:lang w:val="es-ES"/>
        </w:rPr>
        <w:t xml:space="preserve"> </w:t>
      </w:r>
    </w:p>
    <w:p w14:paraId="02F3C812" w14:textId="77777777" w:rsidR="006861CE" w:rsidRPr="00273C49" w:rsidRDefault="006861CE" w:rsidP="00337BB7">
      <w:pPr>
        <w:tabs>
          <w:tab w:val="left" w:pos="-720"/>
        </w:tabs>
        <w:suppressAutoHyphens/>
        <w:spacing w:line="360" w:lineRule="auto"/>
        <w:rPr>
          <w:rFonts w:ascii="Book Antiqua" w:hAnsi="Book Antiqua"/>
          <w:lang w:val="es-ES"/>
        </w:rPr>
      </w:pPr>
    </w:p>
    <w:p w14:paraId="10325F5D" w14:textId="2225106C" w:rsidR="00006DDC" w:rsidRPr="00273C49" w:rsidRDefault="002C402D" w:rsidP="00337BB7">
      <w:pPr>
        <w:tabs>
          <w:tab w:val="left" w:pos="-720"/>
        </w:tabs>
        <w:suppressAutoHyphens/>
        <w:spacing w:line="360" w:lineRule="auto"/>
        <w:rPr>
          <w:rFonts w:ascii="Book Antiqua" w:hAnsi="Book Antiqua"/>
          <w:lang w:val="es-ES"/>
        </w:rPr>
      </w:pPr>
      <w:r w:rsidRPr="00273C49">
        <w:rPr>
          <w:rFonts w:ascii="Book Antiqua" w:hAnsi="Book Antiqua"/>
          <w:lang w:val="es-ES"/>
        </w:rPr>
        <w:t xml:space="preserve">Respetuosamente sometido, </w:t>
      </w:r>
    </w:p>
    <w:p w14:paraId="2444C5B2" w14:textId="77777777" w:rsidR="00552B8A" w:rsidRPr="00273C49" w:rsidRDefault="00552B8A" w:rsidP="00970DEB">
      <w:pPr>
        <w:tabs>
          <w:tab w:val="left" w:pos="-720"/>
        </w:tabs>
        <w:suppressAutoHyphens/>
        <w:spacing w:line="360" w:lineRule="auto"/>
        <w:ind w:firstLine="360"/>
        <w:rPr>
          <w:rFonts w:ascii="Book Antiqua" w:hAnsi="Book Antiqua"/>
          <w:lang w:val="es-ES"/>
        </w:rPr>
      </w:pPr>
    </w:p>
    <w:p w14:paraId="0F282600" w14:textId="77777777" w:rsidR="00242E80" w:rsidRPr="00273C49" w:rsidRDefault="00242E80" w:rsidP="00EE4536">
      <w:pPr>
        <w:tabs>
          <w:tab w:val="left" w:pos="-720"/>
        </w:tabs>
        <w:suppressAutoHyphens/>
        <w:rPr>
          <w:rFonts w:ascii="Book Antiqua" w:hAnsi="Book Antiqua"/>
          <w:b/>
          <w:bCs/>
          <w:lang w:val="es-ES"/>
        </w:rPr>
      </w:pPr>
    </w:p>
    <w:p w14:paraId="6AE93B69" w14:textId="6641F2FE" w:rsidR="00AB2E69" w:rsidRPr="00273C49" w:rsidRDefault="00D8699D" w:rsidP="00EE4536">
      <w:pPr>
        <w:tabs>
          <w:tab w:val="left" w:pos="-720"/>
        </w:tabs>
        <w:suppressAutoHyphens/>
        <w:rPr>
          <w:rFonts w:ascii="Book Antiqua" w:hAnsi="Book Antiqua"/>
          <w:b/>
          <w:bCs/>
          <w:lang w:val="es-ES"/>
        </w:rPr>
      </w:pPr>
      <w:proofErr w:type="spellStart"/>
      <w:r w:rsidRPr="00273C49">
        <w:rPr>
          <w:rFonts w:ascii="Book Antiqua" w:hAnsi="Book Antiqua"/>
          <w:b/>
          <w:bCs/>
          <w:lang w:val="es-ES"/>
        </w:rPr>
        <w:t>Hon</w:t>
      </w:r>
      <w:proofErr w:type="spellEnd"/>
      <w:r w:rsidRPr="00273C49">
        <w:rPr>
          <w:rFonts w:ascii="Book Antiqua" w:hAnsi="Book Antiqua"/>
          <w:b/>
          <w:bCs/>
          <w:lang w:val="es-ES"/>
        </w:rPr>
        <w:t xml:space="preserve">. </w:t>
      </w:r>
      <w:r w:rsidR="001D12A7" w:rsidRPr="00273C49">
        <w:rPr>
          <w:rFonts w:ascii="Book Antiqua" w:hAnsi="Book Antiqua"/>
          <w:b/>
          <w:bCs/>
          <w:lang w:val="es-ES"/>
        </w:rPr>
        <w:t>Ángel A. Toledo López</w:t>
      </w:r>
    </w:p>
    <w:p w14:paraId="1665555A" w14:textId="77777777" w:rsidR="004F6E72" w:rsidRPr="00273C49" w:rsidRDefault="00AB2E69" w:rsidP="00EE4536">
      <w:pPr>
        <w:tabs>
          <w:tab w:val="left" w:pos="-720"/>
        </w:tabs>
        <w:suppressAutoHyphens/>
        <w:rPr>
          <w:rFonts w:ascii="Book Antiqua" w:hAnsi="Book Antiqua"/>
          <w:lang w:val="es-ES"/>
        </w:rPr>
      </w:pPr>
      <w:r w:rsidRPr="00273C49">
        <w:rPr>
          <w:rFonts w:ascii="Book Antiqua" w:hAnsi="Book Antiqua"/>
          <w:lang w:val="es-ES"/>
        </w:rPr>
        <w:t>Presidente</w:t>
      </w:r>
    </w:p>
    <w:p w14:paraId="3FF3D27A" w14:textId="77777777" w:rsidR="001D12A7" w:rsidRPr="00273C49" w:rsidRDefault="001D12A7" w:rsidP="001D12A7">
      <w:pPr>
        <w:tabs>
          <w:tab w:val="left" w:pos="-720"/>
        </w:tabs>
        <w:suppressAutoHyphens/>
        <w:rPr>
          <w:rFonts w:ascii="Book Antiqua" w:hAnsi="Book Antiqua"/>
          <w:spacing w:val="-3"/>
          <w:lang w:val="es-ES"/>
        </w:rPr>
      </w:pPr>
      <w:r w:rsidRPr="00273C49">
        <w:rPr>
          <w:rFonts w:ascii="Book Antiqua" w:hAnsi="Book Antiqua"/>
          <w:spacing w:val="-3"/>
          <w:lang w:val="es-ES"/>
        </w:rPr>
        <w:t xml:space="preserve">Comisión de lo Jurídico </w:t>
      </w:r>
    </w:p>
    <w:p w14:paraId="13BD9EC9" w14:textId="4F317DFF" w:rsidR="000B3411" w:rsidRPr="00D04412" w:rsidRDefault="001D12A7" w:rsidP="00D04412">
      <w:pPr>
        <w:tabs>
          <w:tab w:val="left" w:pos="-720"/>
        </w:tabs>
        <w:suppressAutoHyphens/>
        <w:rPr>
          <w:rFonts w:ascii="Book Antiqua" w:hAnsi="Book Antiqua"/>
          <w:spacing w:val="-3"/>
          <w:lang w:val="es-ES"/>
        </w:rPr>
      </w:pPr>
      <w:r w:rsidRPr="00273C49">
        <w:rPr>
          <w:rFonts w:ascii="Book Antiqua" w:hAnsi="Book Antiqua"/>
          <w:spacing w:val="-3"/>
          <w:lang w:val="es-ES"/>
        </w:rPr>
        <w:t>Senado de Puerto Rico</w:t>
      </w:r>
    </w:p>
    <w:sectPr w:rsidR="000B3411" w:rsidRPr="00D04412" w:rsidSect="00C760D6">
      <w:headerReference w:type="even" r:id="rId11"/>
      <w:headerReference w:type="default" r:id="rId12"/>
      <w:footerReference w:type="even" r:id="rId13"/>
      <w:headerReference w:type="first" r:id="rId14"/>
      <w:footerReference w:type="first" r:id="rId15"/>
      <w:type w:val="continuous"/>
      <w:pgSz w:w="12240" w:h="15840" w:code="1"/>
      <w:pgMar w:top="1440" w:right="1440" w:bottom="1440" w:left="1757"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1AB01D" w14:textId="77777777" w:rsidR="00F26DFD" w:rsidRDefault="00F26DFD">
      <w:r>
        <w:separator/>
      </w:r>
    </w:p>
  </w:endnote>
  <w:endnote w:type="continuationSeparator" w:id="0">
    <w:p w14:paraId="1065E8AD" w14:textId="77777777" w:rsidR="00F26DFD" w:rsidRDefault="00F26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3D36C" w14:textId="753EB275" w:rsidR="00A11ED0" w:rsidRDefault="00A11ED0">
    <w:pPr>
      <w:pStyle w:val="Footer"/>
      <w:jc w:val="center"/>
    </w:pPr>
  </w:p>
  <w:p w14:paraId="617566EC" w14:textId="77777777" w:rsidR="00A11ED0" w:rsidRDefault="00A11E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7894D" w14:textId="6F5C3120" w:rsidR="00A11ED0" w:rsidRDefault="00A11ED0">
    <w:pPr>
      <w:pStyle w:val="Footer"/>
      <w:jc w:val="center"/>
    </w:pPr>
  </w:p>
  <w:p w14:paraId="7EF27189" w14:textId="77777777" w:rsidR="00A11ED0" w:rsidRDefault="00A11E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09318" w14:textId="77777777" w:rsidR="00F26DFD" w:rsidRDefault="00F26DFD">
      <w:r>
        <w:separator/>
      </w:r>
    </w:p>
  </w:footnote>
  <w:footnote w:type="continuationSeparator" w:id="0">
    <w:p w14:paraId="648DEB1F" w14:textId="77777777" w:rsidR="00F26DFD" w:rsidRDefault="00F26DFD">
      <w:r>
        <w:continuationSeparator/>
      </w:r>
    </w:p>
  </w:footnote>
  <w:footnote w:id="1">
    <w:p w14:paraId="2DAB9909" w14:textId="77777777" w:rsidR="00903D2A" w:rsidRPr="00903D2A" w:rsidRDefault="00903D2A" w:rsidP="00903D2A">
      <w:pPr>
        <w:pStyle w:val="FootnoteText"/>
        <w:jc w:val="both"/>
        <w:rPr>
          <w:rFonts w:ascii="Book Antiqua" w:hAnsi="Book Antiqua"/>
          <w:lang w:val="es-ES"/>
        </w:rPr>
      </w:pPr>
      <w:r w:rsidRPr="00D10E4A">
        <w:rPr>
          <w:rStyle w:val="FootnoteReference"/>
          <w:rFonts w:ascii="Book Antiqua" w:hAnsi="Book Antiqua"/>
        </w:rPr>
        <w:footnoteRef/>
      </w:r>
      <w:r w:rsidRPr="00D10E4A">
        <w:rPr>
          <w:rFonts w:ascii="Book Antiqua" w:hAnsi="Book Antiqua"/>
          <w:lang w:val="es-ES"/>
        </w:rPr>
        <w:t xml:space="preserve"> Se considera perito a aquella “persona que, a través de la educación o experiencia, ha desarrollado un conocimiento o destreza sobre una materia de manera que puede formar una opinión que sirva de ayuda al juzgador”. </w:t>
      </w:r>
      <w:r w:rsidRPr="00903D2A">
        <w:rPr>
          <w:rFonts w:ascii="Book Antiqua" w:hAnsi="Book Antiqua"/>
          <w:lang w:val="es-ES"/>
        </w:rPr>
        <w:t>S.L.G. Font-Bardón v. Mini-Warehouse, 179 DPR 322, 338 (2010).</w:t>
      </w:r>
    </w:p>
  </w:footnote>
  <w:footnote w:id="2">
    <w:p w14:paraId="2B1AAE7C" w14:textId="77777777" w:rsidR="00903D2A" w:rsidRPr="00903D2A" w:rsidRDefault="00903D2A" w:rsidP="00903D2A">
      <w:pPr>
        <w:pStyle w:val="FootnoteText"/>
        <w:jc w:val="both"/>
        <w:rPr>
          <w:rFonts w:ascii="Book Antiqua" w:hAnsi="Book Antiqua"/>
          <w:lang w:val="es-ES"/>
        </w:rPr>
      </w:pPr>
      <w:r w:rsidRPr="00D10E4A">
        <w:rPr>
          <w:rStyle w:val="FootnoteReference"/>
          <w:rFonts w:ascii="Book Antiqua" w:hAnsi="Book Antiqua"/>
        </w:rPr>
        <w:footnoteRef/>
      </w:r>
      <w:r w:rsidRPr="00903D2A">
        <w:rPr>
          <w:rFonts w:ascii="Book Antiqua" w:hAnsi="Book Antiqua"/>
          <w:lang w:val="es-ES"/>
        </w:rPr>
        <w:t xml:space="preserve"> </w:t>
      </w:r>
      <w:r w:rsidRPr="00903D2A">
        <w:rPr>
          <w:rFonts w:ascii="Book Antiqua" w:hAnsi="Book Antiqua"/>
          <w:i/>
          <w:iCs/>
          <w:lang w:val="es-ES"/>
        </w:rPr>
        <w:t>Id</w:t>
      </w:r>
      <w:r w:rsidRPr="00903D2A">
        <w:rPr>
          <w:rFonts w:ascii="Book Antiqua" w:hAnsi="Book Antiqua"/>
          <w:lang w:val="es-ES"/>
        </w:rPr>
        <w:t xml:space="preserve">., en la pág. 340 (2010). </w:t>
      </w:r>
    </w:p>
  </w:footnote>
  <w:footnote w:id="3">
    <w:p w14:paraId="39A49813" w14:textId="77777777" w:rsidR="00903D2A" w:rsidRPr="00D10E4A" w:rsidRDefault="00903D2A" w:rsidP="00903D2A">
      <w:pPr>
        <w:pStyle w:val="FootnoteText"/>
        <w:jc w:val="both"/>
        <w:rPr>
          <w:rFonts w:ascii="Book Antiqua" w:hAnsi="Book Antiqua"/>
          <w:lang w:val="es-ES"/>
        </w:rPr>
      </w:pPr>
      <w:r w:rsidRPr="00D10E4A">
        <w:rPr>
          <w:rStyle w:val="FootnoteReference"/>
          <w:rFonts w:ascii="Book Antiqua" w:hAnsi="Book Antiqua"/>
        </w:rPr>
        <w:footnoteRef/>
      </w:r>
      <w:r w:rsidRPr="00D10E4A">
        <w:rPr>
          <w:rFonts w:ascii="Book Antiqua" w:hAnsi="Book Antiqua"/>
          <w:lang w:val="es-ES"/>
        </w:rPr>
        <w:t xml:space="preserve"> McNeil </w:t>
      </w:r>
      <w:proofErr w:type="spellStart"/>
      <w:r w:rsidRPr="00D10E4A">
        <w:rPr>
          <w:rFonts w:ascii="Book Antiqua" w:hAnsi="Book Antiqua"/>
          <w:lang w:val="es-ES"/>
        </w:rPr>
        <w:t>Healthcare</w:t>
      </w:r>
      <w:proofErr w:type="spellEnd"/>
      <w:r w:rsidRPr="00D10E4A">
        <w:rPr>
          <w:rFonts w:ascii="Book Antiqua" w:hAnsi="Book Antiqua"/>
          <w:lang w:val="es-ES"/>
        </w:rPr>
        <w:t>, LLC v. Municipio de Las Piedras, 206 DPR 659, 675 (2021).</w:t>
      </w:r>
    </w:p>
  </w:footnote>
  <w:footnote w:id="4">
    <w:p w14:paraId="7A6AE040" w14:textId="77777777" w:rsidR="00903D2A" w:rsidRPr="00D10E4A" w:rsidRDefault="00903D2A" w:rsidP="00903D2A">
      <w:pPr>
        <w:pStyle w:val="FootnoteText"/>
        <w:jc w:val="both"/>
        <w:rPr>
          <w:rFonts w:ascii="Book Antiqua" w:hAnsi="Book Antiqua"/>
          <w:lang w:val="es-ES"/>
        </w:rPr>
      </w:pPr>
      <w:r w:rsidRPr="00D10E4A">
        <w:rPr>
          <w:rStyle w:val="FootnoteReference"/>
          <w:rFonts w:ascii="Book Antiqua" w:hAnsi="Book Antiqua"/>
        </w:rPr>
        <w:footnoteRef/>
      </w:r>
      <w:r w:rsidRPr="00D10E4A">
        <w:rPr>
          <w:rFonts w:ascii="Book Antiqua" w:hAnsi="Book Antiqua"/>
          <w:lang w:val="es-ES"/>
        </w:rPr>
        <w:t xml:space="preserve"> S.L.G. Font-Bardón v. Mini-</w:t>
      </w:r>
      <w:proofErr w:type="spellStart"/>
      <w:r w:rsidRPr="00D10E4A">
        <w:rPr>
          <w:rFonts w:ascii="Book Antiqua" w:hAnsi="Book Antiqua"/>
          <w:lang w:val="es-ES"/>
        </w:rPr>
        <w:t>Warehouse</w:t>
      </w:r>
      <w:proofErr w:type="spellEnd"/>
      <w:r w:rsidRPr="00D10E4A">
        <w:rPr>
          <w:rFonts w:ascii="Book Antiqua" w:hAnsi="Book Antiqua"/>
          <w:lang w:val="es-ES"/>
        </w:rPr>
        <w:t xml:space="preserve">, </w:t>
      </w:r>
      <w:r w:rsidRPr="00D10E4A">
        <w:rPr>
          <w:rFonts w:ascii="Book Antiqua" w:hAnsi="Book Antiqua"/>
          <w:i/>
          <w:iCs/>
          <w:lang w:val="es-ES"/>
        </w:rPr>
        <w:t>supra</w:t>
      </w:r>
      <w:r w:rsidRPr="00D10E4A">
        <w:rPr>
          <w:rFonts w:ascii="Book Antiqua" w:hAnsi="Book Antiqua"/>
          <w:lang w:val="es-ES"/>
        </w:rPr>
        <w:t>, en la pág. 340 (2010).</w:t>
      </w:r>
    </w:p>
  </w:footnote>
  <w:footnote w:id="5">
    <w:p w14:paraId="7129DECC" w14:textId="77777777" w:rsidR="00903D2A" w:rsidRPr="00D10E4A" w:rsidRDefault="00903D2A" w:rsidP="00903D2A">
      <w:pPr>
        <w:pStyle w:val="FootnoteText"/>
        <w:jc w:val="both"/>
        <w:rPr>
          <w:rFonts w:ascii="Book Antiqua" w:hAnsi="Book Antiqua"/>
          <w:lang w:val="es-ES"/>
        </w:rPr>
      </w:pPr>
      <w:r w:rsidRPr="00D10E4A">
        <w:rPr>
          <w:rStyle w:val="FootnoteReference"/>
          <w:rFonts w:ascii="Book Antiqua" w:hAnsi="Book Antiqua"/>
        </w:rPr>
        <w:footnoteRef/>
      </w:r>
      <w:r w:rsidRPr="00D10E4A">
        <w:rPr>
          <w:rFonts w:ascii="Book Antiqua" w:hAnsi="Book Antiqua"/>
          <w:lang w:val="es-ES"/>
        </w:rPr>
        <w:t xml:space="preserve"> </w:t>
      </w:r>
      <w:r w:rsidRPr="00D10E4A">
        <w:rPr>
          <w:rFonts w:ascii="Book Antiqua" w:hAnsi="Book Antiqua"/>
          <w:i/>
          <w:iCs/>
          <w:lang w:val="es-ES"/>
        </w:rPr>
        <w:t>Véase</w:t>
      </w:r>
      <w:r w:rsidRPr="00D10E4A">
        <w:rPr>
          <w:rFonts w:ascii="Book Antiqua" w:hAnsi="Book Antiqua"/>
          <w:lang w:val="es-ES"/>
        </w:rPr>
        <w:t xml:space="preserve"> McNeil </w:t>
      </w:r>
      <w:proofErr w:type="spellStart"/>
      <w:r w:rsidRPr="00D10E4A">
        <w:rPr>
          <w:rFonts w:ascii="Book Antiqua" w:hAnsi="Book Antiqua"/>
          <w:lang w:val="es-ES"/>
        </w:rPr>
        <w:t>Healthcare</w:t>
      </w:r>
      <w:proofErr w:type="spellEnd"/>
      <w:r w:rsidRPr="00D10E4A">
        <w:rPr>
          <w:rFonts w:ascii="Book Antiqua" w:hAnsi="Book Antiqua"/>
          <w:lang w:val="es-ES"/>
        </w:rPr>
        <w:t>, LLC v. Municipio de Las Piedras, 206 DPR 659, 663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E76FB" w14:textId="6472F23B" w:rsidR="00C760D6" w:rsidRPr="007B4C52" w:rsidRDefault="007B4C52" w:rsidP="007B4C52">
    <w:pPr>
      <w:pStyle w:val="Header"/>
      <w:jc w:val="right"/>
      <w:rPr>
        <w:rFonts w:ascii="Book Antiqua" w:hAnsi="Book Antiqua"/>
        <w:i/>
        <w:iCs/>
        <w:sz w:val="20"/>
        <w:lang w:val="es-PR"/>
      </w:rPr>
    </w:pPr>
    <w:bookmarkStart w:id="5" w:name="_Hlk194440197"/>
    <w:r w:rsidRPr="007B4C52">
      <w:rPr>
        <w:rFonts w:ascii="Book Antiqua" w:hAnsi="Book Antiqua"/>
        <w:i/>
        <w:iCs/>
        <w:sz w:val="20"/>
        <w:lang w:val="es-PR"/>
      </w:rPr>
      <w:t xml:space="preserve">Informe Positivo sobre el </w:t>
    </w:r>
    <w:r w:rsidR="00FC4778">
      <w:rPr>
        <w:rFonts w:ascii="Book Antiqua" w:hAnsi="Book Antiqua"/>
        <w:i/>
        <w:iCs/>
        <w:sz w:val="20"/>
        <w:lang w:val="es-PR"/>
      </w:rPr>
      <w:t>P. de la C. 13</w:t>
    </w:r>
  </w:p>
  <w:p w14:paraId="111244FB" w14:textId="51DDDC6E" w:rsidR="007B4C52" w:rsidRDefault="00393CA6" w:rsidP="007B4C52">
    <w:pPr>
      <w:pStyle w:val="Header"/>
      <w:jc w:val="right"/>
      <w:rPr>
        <w:rFonts w:ascii="Book Antiqua" w:hAnsi="Book Antiqua"/>
        <w:i/>
        <w:iCs/>
        <w:sz w:val="20"/>
        <w:lang w:val="es-PR"/>
      </w:rPr>
    </w:pPr>
    <w:r>
      <w:rPr>
        <w:rFonts w:ascii="Book Antiqua" w:hAnsi="Book Antiqua"/>
        <w:i/>
        <w:iCs/>
        <w:sz w:val="20"/>
        <w:lang w:val="es-PR"/>
      </w:rPr>
      <w:t>Comisión de lo Jurídico</w:t>
    </w:r>
  </w:p>
  <w:p w14:paraId="1D642E09" w14:textId="7C4B8A21" w:rsidR="00242E80" w:rsidRPr="004408DF" w:rsidRDefault="00242E80" w:rsidP="007B4C52">
    <w:pPr>
      <w:pStyle w:val="Header"/>
      <w:jc w:val="right"/>
      <w:rPr>
        <w:rFonts w:ascii="Book Antiqua" w:hAnsi="Book Antiqua"/>
        <w:b/>
        <w:bCs/>
        <w:i/>
        <w:iCs/>
        <w:sz w:val="20"/>
        <w:lang w:val="es-PR"/>
      </w:rPr>
    </w:pPr>
    <w:r w:rsidRPr="004408DF">
      <w:rPr>
        <w:rFonts w:ascii="Book Antiqua" w:hAnsi="Book Antiqua"/>
        <w:b/>
        <w:bCs/>
        <w:i/>
        <w:iCs/>
        <w:sz w:val="20"/>
        <w:lang w:val="es-PR"/>
      </w:rPr>
      <w:t xml:space="preserve">Página </w:t>
    </w:r>
    <w:r w:rsidRPr="004408DF">
      <w:rPr>
        <w:rFonts w:ascii="Book Antiqua" w:hAnsi="Book Antiqua"/>
        <w:b/>
        <w:bCs/>
        <w:i/>
        <w:iCs/>
        <w:sz w:val="20"/>
        <w:lang w:val="es-PR"/>
      </w:rPr>
      <w:fldChar w:fldCharType="begin"/>
    </w:r>
    <w:r w:rsidRPr="004408DF">
      <w:rPr>
        <w:rFonts w:ascii="Book Antiqua" w:hAnsi="Book Antiqua"/>
        <w:b/>
        <w:bCs/>
        <w:i/>
        <w:iCs/>
        <w:sz w:val="20"/>
        <w:lang w:val="es-PR"/>
      </w:rPr>
      <w:instrText xml:space="preserve"> PAGE   \* MERGEFORMAT </w:instrText>
    </w:r>
    <w:r w:rsidRPr="004408DF">
      <w:rPr>
        <w:rFonts w:ascii="Book Antiqua" w:hAnsi="Book Antiqua"/>
        <w:b/>
        <w:bCs/>
        <w:i/>
        <w:iCs/>
        <w:sz w:val="20"/>
        <w:lang w:val="es-PR"/>
      </w:rPr>
      <w:fldChar w:fldCharType="separate"/>
    </w:r>
    <w:r w:rsidRPr="004408DF">
      <w:rPr>
        <w:rFonts w:ascii="Book Antiqua" w:hAnsi="Book Antiqua"/>
        <w:b/>
        <w:bCs/>
        <w:i/>
        <w:iCs/>
        <w:noProof/>
        <w:sz w:val="20"/>
        <w:lang w:val="es-PR"/>
      </w:rPr>
      <w:t>1</w:t>
    </w:r>
    <w:r w:rsidRPr="004408DF">
      <w:rPr>
        <w:rFonts w:ascii="Book Antiqua" w:hAnsi="Book Antiqua"/>
        <w:b/>
        <w:bCs/>
        <w:i/>
        <w:iCs/>
        <w:noProof/>
        <w:sz w:val="20"/>
        <w:lang w:val="es-PR"/>
      </w:rPr>
      <w:fldChar w:fldCharType="end"/>
    </w:r>
  </w:p>
  <w:bookmarkEnd w:id="5"/>
  <w:p w14:paraId="79C74E0D" w14:textId="77777777" w:rsidR="00C760D6" w:rsidRPr="004408DF" w:rsidRDefault="00C760D6">
    <w:pPr>
      <w:pStyle w:val="Header"/>
      <w:rPr>
        <w:b/>
        <w:bCs/>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03E2B" w14:textId="5A19821F" w:rsidR="009F524F" w:rsidRP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 xml:space="preserve">Informe Positivo sobre el </w:t>
    </w:r>
    <w:r w:rsidR="00245A79">
      <w:rPr>
        <w:rFonts w:ascii="Book Antiqua" w:hAnsi="Book Antiqua"/>
        <w:i/>
        <w:iCs/>
        <w:sz w:val="20"/>
        <w:lang w:val="es-PR"/>
      </w:rPr>
      <w:t>P. de la C. 13</w:t>
    </w:r>
  </w:p>
  <w:p w14:paraId="15D76F84" w14:textId="77777777" w:rsidR="009F524F" w:rsidRDefault="009F524F" w:rsidP="009F524F">
    <w:pPr>
      <w:pStyle w:val="Header"/>
      <w:jc w:val="right"/>
      <w:rPr>
        <w:rFonts w:ascii="Book Antiqua" w:hAnsi="Book Antiqua"/>
        <w:i/>
        <w:iCs/>
        <w:sz w:val="20"/>
        <w:lang w:val="es-PR"/>
      </w:rPr>
    </w:pPr>
    <w:r w:rsidRPr="009F524F">
      <w:rPr>
        <w:rFonts w:ascii="Book Antiqua" w:hAnsi="Book Antiqua"/>
        <w:i/>
        <w:iCs/>
        <w:sz w:val="20"/>
        <w:lang w:val="es-PR"/>
      </w:rPr>
      <w:t>Comisión de lo Jurídico</w:t>
    </w:r>
  </w:p>
  <w:p w14:paraId="58E13037" w14:textId="0FC1B8B3" w:rsidR="00242E80" w:rsidRPr="00242E80" w:rsidRDefault="00242E80" w:rsidP="009F524F">
    <w:pPr>
      <w:pStyle w:val="Header"/>
      <w:jc w:val="right"/>
      <w:rPr>
        <w:rFonts w:ascii="Book Antiqua" w:hAnsi="Book Antiqua"/>
        <w:b/>
        <w:bCs/>
        <w:i/>
        <w:iCs/>
        <w:sz w:val="20"/>
        <w:lang w:val="es-PR"/>
      </w:rPr>
    </w:pPr>
    <w:r w:rsidRPr="00242E80">
      <w:rPr>
        <w:rFonts w:ascii="Book Antiqua" w:hAnsi="Book Antiqua"/>
        <w:b/>
        <w:bCs/>
        <w:i/>
        <w:iCs/>
        <w:sz w:val="20"/>
        <w:lang w:val="es-PR"/>
      </w:rPr>
      <w:t xml:space="preserve">Página </w:t>
    </w:r>
    <w:r w:rsidRPr="00242E80">
      <w:rPr>
        <w:rFonts w:ascii="Book Antiqua" w:hAnsi="Book Antiqua"/>
        <w:b/>
        <w:bCs/>
        <w:i/>
        <w:iCs/>
        <w:sz w:val="20"/>
        <w:lang w:val="es-PR"/>
      </w:rPr>
      <w:fldChar w:fldCharType="begin"/>
    </w:r>
    <w:r w:rsidRPr="00242E80">
      <w:rPr>
        <w:rFonts w:ascii="Book Antiqua" w:hAnsi="Book Antiqua"/>
        <w:b/>
        <w:bCs/>
        <w:i/>
        <w:iCs/>
        <w:sz w:val="20"/>
        <w:lang w:val="es-PR"/>
      </w:rPr>
      <w:instrText xml:space="preserve"> PAGE   \* MERGEFORMAT </w:instrText>
    </w:r>
    <w:r w:rsidRPr="00242E80">
      <w:rPr>
        <w:rFonts w:ascii="Book Antiqua" w:hAnsi="Book Antiqua"/>
        <w:b/>
        <w:bCs/>
        <w:i/>
        <w:iCs/>
        <w:sz w:val="20"/>
        <w:lang w:val="es-PR"/>
      </w:rPr>
      <w:fldChar w:fldCharType="separate"/>
    </w:r>
    <w:r w:rsidRPr="00242E80">
      <w:rPr>
        <w:rFonts w:ascii="Book Antiqua" w:hAnsi="Book Antiqua"/>
        <w:b/>
        <w:bCs/>
        <w:i/>
        <w:iCs/>
        <w:noProof/>
        <w:sz w:val="20"/>
        <w:lang w:val="es-PR"/>
      </w:rPr>
      <w:t>1</w:t>
    </w:r>
    <w:r w:rsidRPr="00242E80">
      <w:rPr>
        <w:rFonts w:ascii="Book Antiqua" w:hAnsi="Book Antiqua"/>
        <w:b/>
        <w:bCs/>
        <w:i/>
        <w:iCs/>
        <w:noProof/>
        <w:sz w:val="20"/>
        <w:lang w:val="es-PR"/>
      </w:rPr>
      <w:fldChar w:fldCharType="end"/>
    </w:r>
  </w:p>
  <w:p w14:paraId="3F8F9310" w14:textId="6BF122C1" w:rsidR="007B4C52" w:rsidRPr="007B4C52" w:rsidRDefault="007B4C52" w:rsidP="007B4C52">
    <w:pPr>
      <w:pStyle w:val="Header"/>
      <w:jc w:val="both"/>
      <w:rPr>
        <w:sz w:val="20"/>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08F1D" w14:textId="77777777" w:rsidR="00C760D6" w:rsidRDefault="00C760D6" w:rsidP="00C760D6">
    <w:pPr>
      <w:pStyle w:val="Header"/>
    </w:pPr>
  </w:p>
  <w:p w14:paraId="5DDF2945" w14:textId="77777777" w:rsidR="00C760D6" w:rsidRDefault="00C760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A7C1BA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68030D"/>
    <w:multiLevelType w:val="hybridMultilevel"/>
    <w:tmpl w:val="19808C50"/>
    <w:lvl w:ilvl="0" w:tplc="365855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234552"/>
    <w:multiLevelType w:val="hybridMultilevel"/>
    <w:tmpl w:val="C1F0A50E"/>
    <w:lvl w:ilvl="0" w:tplc="5DAA9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FC0DD0"/>
    <w:multiLevelType w:val="multilevel"/>
    <w:tmpl w:val="0FE28D9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B6671F"/>
    <w:multiLevelType w:val="hybridMultilevel"/>
    <w:tmpl w:val="B808B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3B6815"/>
    <w:multiLevelType w:val="hybridMultilevel"/>
    <w:tmpl w:val="529A6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4389354">
    <w:abstractNumId w:val="0"/>
  </w:num>
  <w:num w:numId="2" w16cid:durableId="402028631">
    <w:abstractNumId w:val="2"/>
  </w:num>
  <w:num w:numId="3" w16cid:durableId="1740246671">
    <w:abstractNumId w:val="3"/>
  </w:num>
  <w:num w:numId="4" w16cid:durableId="1210073537">
    <w:abstractNumId w:val="1"/>
  </w:num>
  <w:num w:numId="5" w16cid:durableId="1052465916">
    <w:abstractNumId w:val="4"/>
  </w:num>
  <w:num w:numId="6" w16cid:durableId="20854522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6DDC"/>
    <w:rsid w:val="00011E09"/>
    <w:rsid w:val="00016AE0"/>
    <w:rsid w:val="00016D64"/>
    <w:rsid w:val="000230E7"/>
    <w:rsid w:val="00043B59"/>
    <w:rsid w:val="00045442"/>
    <w:rsid w:val="00046DD2"/>
    <w:rsid w:val="000533CB"/>
    <w:rsid w:val="0005560C"/>
    <w:rsid w:val="00060204"/>
    <w:rsid w:val="00066916"/>
    <w:rsid w:val="000879BC"/>
    <w:rsid w:val="000902F9"/>
    <w:rsid w:val="000945D3"/>
    <w:rsid w:val="000A0CEF"/>
    <w:rsid w:val="000A135C"/>
    <w:rsid w:val="000B071A"/>
    <w:rsid w:val="000B3411"/>
    <w:rsid w:val="000B39C5"/>
    <w:rsid w:val="000C18B9"/>
    <w:rsid w:val="000C52A1"/>
    <w:rsid w:val="000C5B91"/>
    <w:rsid w:val="000D3899"/>
    <w:rsid w:val="000E0D6C"/>
    <w:rsid w:val="000E4A6D"/>
    <w:rsid w:val="000E6B35"/>
    <w:rsid w:val="000F7663"/>
    <w:rsid w:val="0010073E"/>
    <w:rsid w:val="00104CF6"/>
    <w:rsid w:val="00107712"/>
    <w:rsid w:val="00111E71"/>
    <w:rsid w:val="00114F93"/>
    <w:rsid w:val="001312DC"/>
    <w:rsid w:val="00152956"/>
    <w:rsid w:val="00152AEE"/>
    <w:rsid w:val="00157BC8"/>
    <w:rsid w:val="00172EE0"/>
    <w:rsid w:val="00186AB6"/>
    <w:rsid w:val="001A3D45"/>
    <w:rsid w:val="001A4A02"/>
    <w:rsid w:val="001A7434"/>
    <w:rsid w:val="001B5218"/>
    <w:rsid w:val="001B77AB"/>
    <w:rsid w:val="001B77D6"/>
    <w:rsid w:val="001C0F9B"/>
    <w:rsid w:val="001C2FA8"/>
    <w:rsid w:val="001C31BA"/>
    <w:rsid w:val="001C5DEB"/>
    <w:rsid w:val="001D12A7"/>
    <w:rsid w:val="001D3C1D"/>
    <w:rsid w:val="001D70F5"/>
    <w:rsid w:val="001D79E5"/>
    <w:rsid w:val="001E78B4"/>
    <w:rsid w:val="001F7ABB"/>
    <w:rsid w:val="00200B6F"/>
    <w:rsid w:val="00201567"/>
    <w:rsid w:val="00201B8C"/>
    <w:rsid w:val="00213CAD"/>
    <w:rsid w:val="002214F8"/>
    <w:rsid w:val="0022642B"/>
    <w:rsid w:val="0024131E"/>
    <w:rsid w:val="00242E80"/>
    <w:rsid w:val="00243FD8"/>
    <w:rsid w:val="0024587F"/>
    <w:rsid w:val="00245A79"/>
    <w:rsid w:val="00246C97"/>
    <w:rsid w:val="0025270C"/>
    <w:rsid w:val="00254B92"/>
    <w:rsid w:val="002663EA"/>
    <w:rsid w:val="00266EEC"/>
    <w:rsid w:val="002671BE"/>
    <w:rsid w:val="0027212A"/>
    <w:rsid w:val="0027266F"/>
    <w:rsid w:val="00273C49"/>
    <w:rsid w:val="002779B7"/>
    <w:rsid w:val="002B0B9E"/>
    <w:rsid w:val="002B62DE"/>
    <w:rsid w:val="002C18ED"/>
    <w:rsid w:val="002C402D"/>
    <w:rsid w:val="002D185B"/>
    <w:rsid w:val="002D4AC8"/>
    <w:rsid w:val="002E3F48"/>
    <w:rsid w:val="002E4A52"/>
    <w:rsid w:val="002E66F9"/>
    <w:rsid w:val="002F0440"/>
    <w:rsid w:val="002F79D4"/>
    <w:rsid w:val="00303FA5"/>
    <w:rsid w:val="003059D5"/>
    <w:rsid w:val="00311782"/>
    <w:rsid w:val="00316786"/>
    <w:rsid w:val="003239C5"/>
    <w:rsid w:val="00330372"/>
    <w:rsid w:val="00334935"/>
    <w:rsid w:val="00337BB7"/>
    <w:rsid w:val="0034055D"/>
    <w:rsid w:val="003465C8"/>
    <w:rsid w:val="00352C78"/>
    <w:rsid w:val="0036117E"/>
    <w:rsid w:val="00381F18"/>
    <w:rsid w:val="0038390D"/>
    <w:rsid w:val="003857EC"/>
    <w:rsid w:val="00386D32"/>
    <w:rsid w:val="0039037B"/>
    <w:rsid w:val="003906D8"/>
    <w:rsid w:val="00393CA6"/>
    <w:rsid w:val="003A201A"/>
    <w:rsid w:val="003B0348"/>
    <w:rsid w:val="003D7045"/>
    <w:rsid w:val="00402413"/>
    <w:rsid w:val="004076B9"/>
    <w:rsid w:val="00412A61"/>
    <w:rsid w:val="004227D1"/>
    <w:rsid w:val="00424144"/>
    <w:rsid w:val="004278D1"/>
    <w:rsid w:val="004408DF"/>
    <w:rsid w:val="004440CB"/>
    <w:rsid w:val="00444FD2"/>
    <w:rsid w:val="00445E69"/>
    <w:rsid w:val="004713D2"/>
    <w:rsid w:val="004817F3"/>
    <w:rsid w:val="00481C39"/>
    <w:rsid w:val="00487AC3"/>
    <w:rsid w:val="004918F1"/>
    <w:rsid w:val="004A05FC"/>
    <w:rsid w:val="004A0FD4"/>
    <w:rsid w:val="004A18C6"/>
    <w:rsid w:val="004B0082"/>
    <w:rsid w:val="004C370E"/>
    <w:rsid w:val="004D2BC7"/>
    <w:rsid w:val="004D4E14"/>
    <w:rsid w:val="004E7F65"/>
    <w:rsid w:val="004F6E72"/>
    <w:rsid w:val="004F7173"/>
    <w:rsid w:val="0051050B"/>
    <w:rsid w:val="00530395"/>
    <w:rsid w:val="005354C6"/>
    <w:rsid w:val="00540B6A"/>
    <w:rsid w:val="00540DDE"/>
    <w:rsid w:val="00541FE3"/>
    <w:rsid w:val="005478C9"/>
    <w:rsid w:val="00550023"/>
    <w:rsid w:val="00550412"/>
    <w:rsid w:val="00551F3B"/>
    <w:rsid w:val="00552B8A"/>
    <w:rsid w:val="00555018"/>
    <w:rsid w:val="00571789"/>
    <w:rsid w:val="00573858"/>
    <w:rsid w:val="00573B23"/>
    <w:rsid w:val="005741F6"/>
    <w:rsid w:val="00580EC6"/>
    <w:rsid w:val="005817B7"/>
    <w:rsid w:val="00592B05"/>
    <w:rsid w:val="005A24EF"/>
    <w:rsid w:val="005A4787"/>
    <w:rsid w:val="005B2884"/>
    <w:rsid w:val="005C5E81"/>
    <w:rsid w:val="005D2E57"/>
    <w:rsid w:val="005D4AA7"/>
    <w:rsid w:val="005E150B"/>
    <w:rsid w:val="005E7E85"/>
    <w:rsid w:val="0061550A"/>
    <w:rsid w:val="00615AB1"/>
    <w:rsid w:val="00615E64"/>
    <w:rsid w:val="00622333"/>
    <w:rsid w:val="006239E8"/>
    <w:rsid w:val="00650D8E"/>
    <w:rsid w:val="0066129F"/>
    <w:rsid w:val="00662809"/>
    <w:rsid w:val="006807C0"/>
    <w:rsid w:val="006861CE"/>
    <w:rsid w:val="006A24A9"/>
    <w:rsid w:val="006B3D07"/>
    <w:rsid w:val="006B6346"/>
    <w:rsid w:val="006B7E26"/>
    <w:rsid w:val="006C283C"/>
    <w:rsid w:val="006D01F6"/>
    <w:rsid w:val="006D49D8"/>
    <w:rsid w:val="006D5838"/>
    <w:rsid w:val="006D6359"/>
    <w:rsid w:val="006E25FF"/>
    <w:rsid w:val="006E5B7A"/>
    <w:rsid w:val="006F226E"/>
    <w:rsid w:val="006F51A8"/>
    <w:rsid w:val="00714102"/>
    <w:rsid w:val="007163D8"/>
    <w:rsid w:val="007167F5"/>
    <w:rsid w:val="00720B6F"/>
    <w:rsid w:val="007229E9"/>
    <w:rsid w:val="00725174"/>
    <w:rsid w:val="0073675F"/>
    <w:rsid w:val="007472C1"/>
    <w:rsid w:val="007535BB"/>
    <w:rsid w:val="007611FE"/>
    <w:rsid w:val="00777E1D"/>
    <w:rsid w:val="00785050"/>
    <w:rsid w:val="00793E19"/>
    <w:rsid w:val="007B4C52"/>
    <w:rsid w:val="007C04E5"/>
    <w:rsid w:val="007C156B"/>
    <w:rsid w:val="007C592E"/>
    <w:rsid w:val="007D5A59"/>
    <w:rsid w:val="007E17BE"/>
    <w:rsid w:val="007E3B6D"/>
    <w:rsid w:val="007F0829"/>
    <w:rsid w:val="007F62AB"/>
    <w:rsid w:val="00803A23"/>
    <w:rsid w:val="008061C2"/>
    <w:rsid w:val="00815BF2"/>
    <w:rsid w:val="00820C41"/>
    <w:rsid w:val="008235BE"/>
    <w:rsid w:val="00825070"/>
    <w:rsid w:val="00855CD6"/>
    <w:rsid w:val="0086515A"/>
    <w:rsid w:val="00865634"/>
    <w:rsid w:val="00867243"/>
    <w:rsid w:val="008A154B"/>
    <w:rsid w:val="008A40E0"/>
    <w:rsid w:val="008C18B2"/>
    <w:rsid w:val="008C331F"/>
    <w:rsid w:val="008C39D5"/>
    <w:rsid w:val="008E051A"/>
    <w:rsid w:val="008F717C"/>
    <w:rsid w:val="00903D2A"/>
    <w:rsid w:val="00904165"/>
    <w:rsid w:val="00905655"/>
    <w:rsid w:val="009060B1"/>
    <w:rsid w:val="00907E93"/>
    <w:rsid w:val="009133CF"/>
    <w:rsid w:val="009154BD"/>
    <w:rsid w:val="0092080B"/>
    <w:rsid w:val="009313EE"/>
    <w:rsid w:val="009351B6"/>
    <w:rsid w:val="009374E4"/>
    <w:rsid w:val="00940E84"/>
    <w:rsid w:val="00946BB4"/>
    <w:rsid w:val="00946E55"/>
    <w:rsid w:val="0096171F"/>
    <w:rsid w:val="009645CD"/>
    <w:rsid w:val="00970DEB"/>
    <w:rsid w:val="00981A1F"/>
    <w:rsid w:val="00984F56"/>
    <w:rsid w:val="009A08E8"/>
    <w:rsid w:val="009A4A2C"/>
    <w:rsid w:val="009A4FB3"/>
    <w:rsid w:val="009B5669"/>
    <w:rsid w:val="009B619C"/>
    <w:rsid w:val="009C455C"/>
    <w:rsid w:val="009E20DD"/>
    <w:rsid w:val="009F427F"/>
    <w:rsid w:val="009F524F"/>
    <w:rsid w:val="009F68F4"/>
    <w:rsid w:val="00A049B0"/>
    <w:rsid w:val="00A05EDB"/>
    <w:rsid w:val="00A06A16"/>
    <w:rsid w:val="00A11BDC"/>
    <w:rsid w:val="00A11ED0"/>
    <w:rsid w:val="00A12823"/>
    <w:rsid w:val="00A13CBC"/>
    <w:rsid w:val="00A15144"/>
    <w:rsid w:val="00A30115"/>
    <w:rsid w:val="00A303ED"/>
    <w:rsid w:val="00A30959"/>
    <w:rsid w:val="00A3182D"/>
    <w:rsid w:val="00A35101"/>
    <w:rsid w:val="00A52A66"/>
    <w:rsid w:val="00A52CD9"/>
    <w:rsid w:val="00A6445C"/>
    <w:rsid w:val="00A83C12"/>
    <w:rsid w:val="00A870EF"/>
    <w:rsid w:val="00A90DAD"/>
    <w:rsid w:val="00A93C47"/>
    <w:rsid w:val="00AA0006"/>
    <w:rsid w:val="00AB2E69"/>
    <w:rsid w:val="00AC3813"/>
    <w:rsid w:val="00AD076F"/>
    <w:rsid w:val="00AD4B71"/>
    <w:rsid w:val="00AE555C"/>
    <w:rsid w:val="00AF12FB"/>
    <w:rsid w:val="00AF56F5"/>
    <w:rsid w:val="00B03E1C"/>
    <w:rsid w:val="00B14832"/>
    <w:rsid w:val="00B216D4"/>
    <w:rsid w:val="00B24B05"/>
    <w:rsid w:val="00B25721"/>
    <w:rsid w:val="00B316DC"/>
    <w:rsid w:val="00B36F9D"/>
    <w:rsid w:val="00B37EF9"/>
    <w:rsid w:val="00B46464"/>
    <w:rsid w:val="00B47BDF"/>
    <w:rsid w:val="00B571D9"/>
    <w:rsid w:val="00B57451"/>
    <w:rsid w:val="00B6135D"/>
    <w:rsid w:val="00B702A0"/>
    <w:rsid w:val="00B70EB9"/>
    <w:rsid w:val="00B807DC"/>
    <w:rsid w:val="00B8514B"/>
    <w:rsid w:val="00B8540B"/>
    <w:rsid w:val="00BA0F95"/>
    <w:rsid w:val="00BA43F4"/>
    <w:rsid w:val="00BB20A7"/>
    <w:rsid w:val="00BB6946"/>
    <w:rsid w:val="00BB7826"/>
    <w:rsid w:val="00BC57FC"/>
    <w:rsid w:val="00BC7625"/>
    <w:rsid w:val="00BD3BEF"/>
    <w:rsid w:val="00BE1535"/>
    <w:rsid w:val="00BE6740"/>
    <w:rsid w:val="00BF358A"/>
    <w:rsid w:val="00C0210B"/>
    <w:rsid w:val="00C20997"/>
    <w:rsid w:val="00C21A5A"/>
    <w:rsid w:val="00C22AFC"/>
    <w:rsid w:val="00C32ECE"/>
    <w:rsid w:val="00C41CC9"/>
    <w:rsid w:val="00C4275E"/>
    <w:rsid w:val="00C6071A"/>
    <w:rsid w:val="00C65A5F"/>
    <w:rsid w:val="00C7303D"/>
    <w:rsid w:val="00C760D6"/>
    <w:rsid w:val="00C869B3"/>
    <w:rsid w:val="00C9772C"/>
    <w:rsid w:val="00CA1098"/>
    <w:rsid w:val="00CA5E1E"/>
    <w:rsid w:val="00CA6DDD"/>
    <w:rsid w:val="00CB5806"/>
    <w:rsid w:val="00CC19ED"/>
    <w:rsid w:val="00CC4859"/>
    <w:rsid w:val="00CE532D"/>
    <w:rsid w:val="00CE7DA0"/>
    <w:rsid w:val="00CF32AA"/>
    <w:rsid w:val="00CF4C00"/>
    <w:rsid w:val="00D0004D"/>
    <w:rsid w:val="00D01A55"/>
    <w:rsid w:val="00D04412"/>
    <w:rsid w:val="00D13D23"/>
    <w:rsid w:val="00D16947"/>
    <w:rsid w:val="00D5351E"/>
    <w:rsid w:val="00D54E5D"/>
    <w:rsid w:val="00D61B6F"/>
    <w:rsid w:val="00D759DB"/>
    <w:rsid w:val="00D8699D"/>
    <w:rsid w:val="00D9263A"/>
    <w:rsid w:val="00D93BA6"/>
    <w:rsid w:val="00D95836"/>
    <w:rsid w:val="00D96D40"/>
    <w:rsid w:val="00DA0051"/>
    <w:rsid w:val="00DA1E64"/>
    <w:rsid w:val="00DB25BF"/>
    <w:rsid w:val="00DB3451"/>
    <w:rsid w:val="00DB4C88"/>
    <w:rsid w:val="00DC2909"/>
    <w:rsid w:val="00DC7D84"/>
    <w:rsid w:val="00DD122E"/>
    <w:rsid w:val="00DD48C9"/>
    <w:rsid w:val="00DD58BD"/>
    <w:rsid w:val="00DE189A"/>
    <w:rsid w:val="00DE6362"/>
    <w:rsid w:val="00DF0352"/>
    <w:rsid w:val="00DF45DC"/>
    <w:rsid w:val="00E14B9C"/>
    <w:rsid w:val="00E17E3B"/>
    <w:rsid w:val="00E251EA"/>
    <w:rsid w:val="00E35157"/>
    <w:rsid w:val="00E35171"/>
    <w:rsid w:val="00E36FA6"/>
    <w:rsid w:val="00E41879"/>
    <w:rsid w:val="00E63FA4"/>
    <w:rsid w:val="00E722CA"/>
    <w:rsid w:val="00E73DB1"/>
    <w:rsid w:val="00E930DD"/>
    <w:rsid w:val="00E9570B"/>
    <w:rsid w:val="00EA477A"/>
    <w:rsid w:val="00EA5757"/>
    <w:rsid w:val="00EB0B16"/>
    <w:rsid w:val="00EB1664"/>
    <w:rsid w:val="00EC5454"/>
    <w:rsid w:val="00EC56E8"/>
    <w:rsid w:val="00EE4536"/>
    <w:rsid w:val="00EF237A"/>
    <w:rsid w:val="00EF62F7"/>
    <w:rsid w:val="00F02F4A"/>
    <w:rsid w:val="00F042CB"/>
    <w:rsid w:val="00F26DFD"/>
    <w:rsid w:val="00F3003D"/>
    <w:rsid w:val="00F315D1"/>
    <w:rsid w:val="00F44E24"/>
    <w:rsid w:val="00F4686E"/>
    <w:rsid w:val="00F566F4"/>
    <w:rsid w:val="00F60859"/>
    <w:rsid w:val="00F65FAA"/>
    <w:rsid w:val="00F816B8"/>
    <w:rsid w:val="00F85B37"/>
    <w:rsid w:val="00F86C0C"/>
    <w:rsid w:val="00F90AAD"/>
    <w:rsid w:val="00F969D4"/>
    <w:rsid w:val="00F96FA7"/>
    <w:rsid w:val="00FB10AE"/>
    <w:rsid w:val="00FC4778"/>
    <w:rsid w:val="00FC5FDD"/>
    <w:rsid w:val="00FD19DB"/>
    <w:rsid w:val="00FD4E9F"/>
    <w:rsid w:val="00FE3A8E"/>
    <w:rsid w:val="00FF4D43"/>
    <w:rsid w:val="00FF4DD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3C682D"/>
  <w15:chartTrackingRefBased/>
  <w15:docId w15:val="{6A982F71-6E56-41B4-8962-05CE1BA3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BB7826"/>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3239C5"/>
    <w:pPr>
      <w:spacing w:before="100" w:beforeAutospacing="1" w:after="100" w:afterAutospacing="1"/>
    </w:pPr>
    <w:rPr>
      <w:szCs w:val="24"/>
    </w:rPr>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2F79D4"/>
    <w:rPr>
      <w:sz w:val="20"/>
    </w:rPr>
  </w:style>
  <w:style w:type="character" w:customStyle="1" w:styleId="FootnoteTextChar">
    <w:name w:val="Footnote Text Char"/>
    <w:link w:val="FootnoteText"/>
    <w:uiPriority w:val="99"/>
    <w:semiHidden/>
    <w:rsid w:val="002F79D4"/>
    <w:rPr>
      <w:lang w:val="en-US" w:eastAsia="en-US"/>
    </w:rPr>
  </w:style>
  <w:style w:type="character" w:styleId="FootnoteReference">
    <w:name w:val="footnote reference"/>
    <w:uiPriority w:val="99"/>
    <w:semiHidden/>
    <w:unhideWhenUsed/>
    <w:rsid w:val="002F79D4"/>
    <w:rPr>
      <w:vertAlign w:val="superscript"/>
    </w:rPr>
  </w:style>
  <w:style w:type="character" w:customStyle="1" w:styleId="HeaderChar">
    <w:name w:val="Header Char"/>
    <w:link w:val="Header"/>
    <w:uiPriority w:val="99"/>
    <w:rsid w:val="00970DEB"/>
    <w:rPr>
      <w:sz w:val="24"/>
    </w:rPr>
  </w:style>
  <w:style w:type="paragraph" w:styleId="ListParagraph">
    <w:name w:val="List Paragraph"/>
    <w:basedOn w:val="Normal"/>
    <w:uiPriority w:val="72"/>
    <w:qFormat/>
    <w:rsid w:val="00011E09"/>
    <w:pPr>
      <w:ind w:left="720"/>
      <w:contextualSpacing/>
    </w:pPr>
  </w:style>
  <w:style w:type="paragraph" w:styleId="Revision">
    <w:name w:val="Revision"/>
    <w:hidden/>
    <w:uiPriority w:val="71"/>
    <w:rsid w:val="00A11ED0"/>
    <w:rPr>
      <w:sz w:val="24"/>
    </w:rPr>
  </w:style>
  <w:style w:type="character" w:customStyle="1" w:styleId="FooterChar">
    <w:name w:val="Footer Char"/>
    <w:basedOn w:val="DefaultParagraphFont"/>
    <w:link w:val="Footer"/>
    <w:uiPriority w:val="99"/>
    <w:rsid w:val="00A11E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40288">
      <w:bodyDiv w:val="1"/>
      <w:marLeft w:val="0"/>
      <w:marRight w:val="0"/>
      <w:marTop w:val="0"/>
      <w:marBottom w:val="0"/>
      <w:divBdr>
        <w:top w:val="none" w:sz="0" w:space="0" w:color="auto"/>
        <w:left w:val="none" w:sz="0" w:space="0" w:color="auto"/>
        <w:bottom w:val="none" w:sz="0" w:space="0" w:color="auto"/>
        <w:right w:val="none" w:sz="0" w:space="0" w:color="auto"/>
      </w:divBdr>
      <w:divsChild>
        <w:div w:id="1198280256">
          <w:marLeft w:val="0"/>
          <w:marRight w:val="0"/>
          <w:marTop w:val="0"/>
          <w:marBottom w:val="0"/>
          <w:divBdr>
            <w:top w:val="none" w:sz="0" w:space="0" w:color="auto"/>
            <w:left w:val="none" w:sz="0" w:space="0" w:color="auto"/>
            <w:bottom w:val="none" w:sz="0" w:space="0" w:color="auto"/>
            <w:right w:val="none" w:sz="0" w:space="0" w:color="auto"/>
          </w:divBdr>
          <w:divsChild>
            <w:div w:id="528378425">
              <w:marLeft w:val="0"/>
              <w:marRight w:val="0"/>
              <w:marTop w:val="0"/>
              <w:marBottom w:val="0"/>
              <w:divBdr>
                <w:top w:val="none" w:sz="0" w:space="0" w:color="auto"/>
                <w:left w:val="none" w:sz="0" w:space="0" w:color="auto"/>
                <w:bottom w:val="none" w:sz="0" w:space="0" w:color="auto"/>
                <w:right w:val="none" w:sz="0" w:space="0" w:color="auto"/>
              </w:divBdr>
              <w:divsChild>
                <w:div w:id="72903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43457">
      <w:bodyDiv w:val="1"/>
      <w:marLeft w:val="0"/>
      <w:marRight w:val="0"/>
      <w:marTop w:val="0"/>
      <w:marBottom w:val="0"/>
      <w:divBdr>
        <w:top w:val="none" w:sz="0" w:space="0" w:color="auto"/>
        <w:left w:val="none" w:sz="0" w:space="0" w:color="auto"/>
        <w:bottom w:val="none" w:sz="0" w:space="0" w:color="auto"/>
        <w:right w:val="none" w:sz="0" w:space="0" w:color="auto"/>
      </w:divBdr>
    </w:div>
    <w:div w:id="227306445">
      <w:bodyDiv w:val="1"/>
      <w:marLeft w:val="0"/>
      <w:marRight w:val="0"/>
      <w:marTop w:val="0"/>
      <w:marBottom w:val="0"/>
      <w:divBdr>
        <w:top w:val="none" w:sz="0" w:space="0" w:color="auto"/>
        <w:left w:val="none" w:sz="0" w:space="0" w:color="auto"/>
        <w:bottom w:val="none" w:sz="0" w:space="0" w:color="auto"/>
        <w:right w:val="none" w:sz="0" w:space="0" w:color="auto"/>
      </w:divBdr>
    </w:div>
    <w:div w:id="261113617">
      <w:bodyDiv w:val="1"/>
      <w:marLeft w:val="0"/>
      <w:marRight w:val="0"/>
      <w:marTop w:val="0"/>
      <w:marBottom w:val="0"/>
      <w:divBdr>
        <w:top w:val="none" w:sz="0" w:space="0" w:color="auto"/>
        <w:left w:val="none" w:sz="0" w:space="0" w:color="auto"/>
        <w:bottom w:val="none" w:sz="0" w:space="0" w:color="auto"/>
        <w:right w:val="none" w:sz="0" w:space="0" w:color="auto"/>
      </w:divBdr>
      <w:divsChild>
        <w:div w:id="380598528">
          <w:marLeft w:val="0"/>
          <w:marRight w:val="0"/>
          <w:marTop w:val="0"/>
          <w:marBottom w:val="0"/>
          <w:divBdr>
            <w:top w:val="none" w:sz="0" w:space="0" w:color="auto"/>
            <w:left w:val="none" w:sz="0" w:space="0" w:color="auto"/>
            <w:bottom w:val="none" w:sz="0" w:space="0" w:color="auto"/>
            <w:right w:val="none" w:sz="0" w:space="0" w:color="auto"/>
          </w:divBdr>
          <w:divsChild>
            <w:div w:id="848717979">
              <w:marLeft w:val="0"/>
              <w:marRight w:val="0"/>
              <w:marTop w:val="0"/>
              <w:marBottom w:val="0"/>
              <w:divBdr>
                <w:top w:val="none" w:sz="0" w:space="0" w:color="auto"/>
                <w:left w:val="none" w:sz="0" w:space="0" w:color="auto"/>
                <w:bottom w:val="none" w:sz="0" w:space="0" w:color="auto"/>
                <w:right w:val="none" w:sz="0" w:space="0" w:color="auto"/>
              </w:divBdr>
              <w:divsChild>
                <w:div w:id="120148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025231">
      <w:bodyDiv w:val="1"/>
      <w:marLeft w:val="0"/>
      <w:marRight w:val="0"/>
      <w:marTop w:val="0"/>
      <w:marBottom w:val="0"/>
      <w:divBdr>
        <w:top w:val="none" w:sz="0" w:space="0" w:color="auto"/>
        <w:left w:val="none" w:sz="0" w:space="0" w:color="auto"/>
        <w:bottom w:val="none" w:sz="0" w:space="0" w:color="auto"/>
        <w:right w:val="none" w:sz="0" w:space="0" w:color="auto"/>
      </w:divBdr>
      <w:divsChild>
        <w:div w:id="224994497">
          <w:marLeft w:val="0"/>
          <w:marRight w:val="0"/>
          <w:marTop w:val="0"/>
          <w:marBottom w:val="0"/>
          <w:divBdr>
            <w:top w:val="none" w:sz="0" w:space="0" w:color="auto"/>
            <w:left w:val="none" w:sz="0" w:space="0" w:color="auto"/>
            <w:bottom w:val="none" w:sz="0" w:space="0" w:color="auto"/>
            <w:right w:val="none" w:sz="0" w:space="0" w:color="auto"/>
          </w:divBdr>
          <w:divsChild>
            <w:div w:id="941912693">
              <w:marLeft w:val="0"/>
              <w:marRight w:val="0"/>
              <w:marTop w:val="0"/>
              <w:marBottom w:val="0"/>
              <w:divBdr>
                <w:top w:val="none" w:sz="0" w:space="0" w:color="auto"/>
                <w:left w:val="none" w:sz="0" w:space="0" w:color="auto"/>
                <w:bottom w:val="none" w:sz="0" w:space="0" w:color="auto"/>
                <w:right w:val="none" w:sz="0" w:space="0" w:color="auto"/>
              </w:divBdr>
              <w:divsChild>
                <w:div w:id="111243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021765">
      <w:bodyDiv w:val="1"/>
      <w:marLeft w:val="0"/>
      <w:marRight w:val="0"/>
      <w:marTop w:val="0"/>
      <w:marBottom w:val="0"/>
      <w:divBdr>
        <w:top w:val="none" w:sz="0" w:space="0" w:color="auto"/>
        <w:left w:val="none" w:sz="0" w:space="0" w:color="auto"/>
        <w:bottom w:val="none" w:sz="0" w:space="0" w:color="auto"/>
        <w:right w:val="none" w:sz="0" w:space="0" w:color="auto"/>
      </w:divBdr>
      <w:divsChild>
        <w:div w:id="1139688727">
          <w:marLeft w:val="0"/>
          <w:marRight w:val="0"/>
          <w:marTop w:val="0"/>
          <w:marBottom w:val="0"/>
          <w:divBdr>
            <w:top w:val="none" w:sz="0" w:space="0" w:color="auto"/>
            <w:left w:val="none" w:sz="0" w:space="0" w:color="auto"/>
            <w:bottom w:val="none" w:sz="0" w:space="0" w:color="auto"/>
            <w:right w:val="none" w:sz="0" w:space="0" w:color="auto"/>
          </w:divBdr>
          <w:divsChild>
            <w:div w:id="1250190938">
              <w:marLeft w:val="0"/>
              <w:marRight w:val="0"/>
              <w:marTop w:val="0"/>
              <w:marBottom w:val="0"/>
              <w:divBdr>
                <w:top w:val="none" w:sz="0" w:space="0" w:color="auto"/>
                <w:left w:val="none" w:sz="0" w:space="0" w:color="auto"/>
                <w:bottom w:val="none" w:sz="0" w:space="0" w:color="auto"/>
                <w:right w:val="none" w:sz="0" w:space="0" w:color="auto"/>
              </w:divBdr>
              <w:divsChild>
                <w:div w:id="38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9693174">
      <w:bodyDiv w:val="1"/>
      <w:marLeft w:val="0"/>
      <w:marRight w:val="0"/>
      <w:marTop w:val="0"/>
      <w:marBottom w:val="0"/>
      <w:divBdr>
        <w:top w:val="none" w:sz="0" w:space="0" w:color="auto"/>
        <w:left w:val="none" w:sz="0" w:space="0" w:color="auto"/>
        <w:bottom w:val="none" w:sz="0" w:space="0" w:color="auto"/>
        <w:right w:val="none" w:sz="0" w:space="0" w:color="auto"/>
      </w:divBdr>
      <w:divsChild>
        <w:div w:id="825241197">
          <w:marLeft w:val="0"/>
          <w:marRight w:val="0"/>
          <w:marTop w:val="0"/>
          <w:marBottom w:val="0"/>
          <w:divBdr>
            <w:top w:val="none" w:sz="0" w:space="0" w:color="auto"/>
            <w:left w:val="none" w:sz="0" w:space="0" w:color="auto"/>
            <w:bottom w:val="none" w:sz="0" w:space="0" w:color="auto"/>
            <w:right w:val="none" w:sz="0" w:space="0" w:color="auto"/>
          </w:divBdr>
          <w:divsChild>
            <w:div w:id="676230183">
              <w:marLeft w:val="0"/>
              <w:marRight w:val="0"/>
              <w:marTop w:val="0"/>
              <w:marBottom w:val="0"/>
              <w:divBdr>
                <w:top w:val="none" w:sz="0" w:space="0" w:color="auto"/>
                <w:left w:val="none" w:sz="0" w:space="0" w:color="auto"/>
                <w:bottom w:val="none" w:sz="0" w:space="0" w:color="auto"/>
                <w:right w:val="none" w:sz="0" w:space="0" w:color="auto"/>
              </w:divBdr>
              <w:divsChild>
                <w:div w:id="137615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305467">
      <w:bodyDiv w:val="1"/>
      <w:marLeft w:val="0"/>
      <w:marRight w:val="0"/>
      <w:marTop w:val="0"/>
      <w:marBottom w:val="0"/>
      <w:divBdr>
        <w:top w:val="none" w:sz="0" w:space="0" w:color="auto"/>
        <w:left w:val="none" w:sz="0" w:space="0" w:color="auto"/>
        <w:bottom w:val="none" w:sz="0" w:space="0" w:color="auto"/>
        <w:right w:val="none" w:sz="0" w:space="0" w:color="auto"/>
      </w:divBdr>
      <w:divsChild>
        <w:div w:id="457534672">
          <w:marLeft w:val="0"/>
          <w:marRight w:val="0"/>
          <w:marTop w:val="0"/>
          <w:marBottom w:val="0"/>
          <w:divBdr>
            <w:top w:val="none" w:sz="0" w:space="0" w:color="auto"/>
            <w:left w:val="none" w:sz="0" w:space="0" w:color="auto"/>
            <w:bottom w:val="none" w:sz="0" w:space="0" w:color="auto"/>
            <w:right w:val="none" w:sz="0" w:space="0" w:color="auto"/>
          </w:divBdr>
          <w:divsChild>
            <w:div w:id="61948883">
              <w:marLeft w:val="0"/>
              <w:marRight w:val="0"/>
              <w:marTop w:val="0"/>
              <w:marBottom w:val="0"/>
              <w:divBdr>
                <w:top w:val="none" w:sz="0" w:space="0" w:color="auto"/>
                <w:left w:val="none" w:sz="0" w:space="0" w:color="auto"/>
                <w:bottom w:val="none" w:sz="0" w:space="0" w:color="auto"/>
                <w:right w:val="none" w:sz="0" w:space="0" w:color="auto"/>
              </w:divBdr>
              <w:divsChild>
                <w:div w:id="179925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01181">
      <w:bodyDiv w:val="1"/>
      <w:marLeft w:val="0"/>
      <w:marRight w:val="0"/>
      <w:marTop w:val="0"/>
      <w:marBottom w:val="0"/>
      <w:divBdr>
        <w:top w:val="none" w:sz="0" w:space="0" w:color="auto"/>
        <w:left w:val="none" w:sz="0" w:space="0" w:color="auto"/>
        <w:bottom w:val="none" w:sz="0" w:space="0" w:color="auto"/>
        <w:right w:val="none" w:sz="0" w:space="0" w:color="auto"/>
      </w:divBdr>
      <w:divsChild>
        <w:div w:id="711348684">
          <w:marLeft w:val="0"/>
          <w:marRight w:val="0"/>
          <w:marTop w:val="0"/>
          <w:marBottom w:val="0"/>
          <w:divBdr>
            <w:top w:val="none" w:sz="0" w:space="0" w:color="auto"/>
            <w:left w:val="none" w:sz="0" w:space="0" w:color="auto"/>
            <w:bottom w:val="none" w:sz="0" w:space="0" w:color="auto"/>
            <w:right w:val="none" w:sz="0" w:space="0" w:color="auto"/>
          </w:divBdr>
          <w:divsChild>
            <w:div w:id="1696617252">
              <w:marLeft w:val="0"/>
              <w:marRight w:val="0"/>
              <w:marTop w:val="0"/>
              <w:marBottom w:val="0"/>
              <w:divBdr>
                <w:top w:val="none" w:sz="0" w:space="0" w:color="auto"/>
                <w:left w:val="none" w:sz="0" w:space="0" w:color="auto"/>
                <w:bottom w:val="none" w:sz="0" w:space="0" w:color="auto"/>
                <w:right w:val="none" w:sz="0" w:space="0" w:color="auto"/>
              </w:divBdr>
              <w:divsChild>
                <w:div w:id="97644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61907">
      <w:bodyDiv w:val="1"/>
      <w:marLeft w:val="0"/>
      <w:marRight w:val="0"/>
      <w:marTop w:val="0"/>
      <w:marBottom w:val="0"/>
      <w:divBdr>
        <w:top w:val="none" w:sz="0" w:space="0" w:color="auto"/>
        <w:left w:val="none" w:sz="0" w:space="0" w:color="auto"/>
        <w:bottom w:val="none" w:sz="0" w:space="0" w:color="auto"/>
        <w:right w:val="none" w:sz="0" w:space="0" w:color="auto"/>
      </w:divBdr>
      <w:divsChild>
        <w:div w:id="114298732">
          <w:marLeft w:val="0"/>
          <w:marRight w:val="0"/>
          <w:marTop w:val="0"/>
          <w:marBottom w:val="0"/>
          <w:divBdr>
            <w:top w:val="none" w:sz="0" w:space="0" w:color="auto"/>
            <w:left w:val="none" w:sz="0" w:space="0" w:color="auto"/>
            <w:bottom w:val="none" w:sz="0" w:space="0" w:color="auto"/>
            <w:right w:val="none" w:sz="0" w:space="0" w:color="auto"/>
          </w:divBdr>
          <w:divsChild>
            <w:div w:id="1705279157">
              <w:marLeft w:val="0"/>
              <w:marRight w:val="0"/>
              <w:marTop w:val="0"/>
              <w:marBottom w:val="0"/>
              <w:divBdr>
                <w:top w:val="none" w:sz="0" w:space="0" w:color="auto"/>
                <w:left w:val="none" w:sz="0" w:space="0" w:color="auto"/>
                <w:bottom w:val="none" w:sz="0" w:space="0" w:color="auto"/>
                <w:right w:val="none" w:sz="0" w:space="0" w:color="auto"/>
              </w:divBdr>
              <w:divsChild>
                <w:div w:id="189650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9316">
      <w:bodyDiv w:val="1"/>
      <w:marLeft w:val="0"/>
      <w:marRight w:val="0"/>
      <w:marTop w:val="0"/>
      <w:marBottom w:val="0"/>
      <w:divBdr>
        <w:top w:val="none" w:sz="0" w:space="0" w:color="auto"/>
        <w:left w:val="none" w:sz="0" w:space="0" w:color="auto"/>
        <w:bottom w:val="none" w:sz="0" w:space="0" w:color="auto"/>
        <w:right w:val="none" w:sz="0" w:space="0" w:color="auto"/>
      </w:divBdr>
      <w:divsChild>
        <w:div w:id="1377779127">
          <w:marLeft w:val="0"/>
          <w:marRight w:val="0"/>
          <w:marTop w:val="0"/>
          <w:marBottom w:val="0"/>
          <w:divBdr>
            <w:top w:val="none" w:sz="0" w:space="0" w:color="auto"/>
            <w:left w:val="none" w:sz="0" w:space="0" w:color="auto"/>
            <w:bottom w:val="none" w:sz="0" w:space="0" w:color="auto"/>
            <w:right w:val="none" w:sz="0" w:space="0" w:color="auto"/>
          </w:divBdr>
        </w:div>
      </w:divsChild>
    </w:div>
    <w:div w:id="743839580">
      <w:bodyDiv w:val="1"/>
      <w:marLeft w:val="0"/>
      <w:marRight w:val="0"/>
      <w:marTop w:val="0"/>
      <w:marBottom w:val="0"/>
      <w:divBdr>
        <w:top w:val="none" w:sz="0" w:space="0" w:color="auto"/>
        <w:left w:val="none" w:sz="0" w:space="0" w:color="auto"/>
        <w:bottom w:val="none" w:sz="0" w:space="0" w:color="auto"/>
        <w:right w:val="none" w:sz="0" w:space="0" w:color="auto"/>
      </w:divBdr>
      <w:divsChild>
        <w:div w:id="1455908035">
          <w:marLeft w:val="0"/>
          <w:marRight w:val="0"/>
          <w:marTop w:val="0"/>
          <w:marBottom w:val="0"/>
          <w:divBdr>
            <w:top w:val="none" w:sz="0" w:space="0" w:color="auto"/>
            <w:left w:val="none" w:sz="0" w:space="0" w:color="auto"/>
            <w:bottom w:val="none" w:sz="0" w:space="0" w:color="auto"/>
            <w:right w:val="none" w:sz="0" w:space="0" w:color="auto"/>
          </w:divBdr>
          <w:divsChild>
            <w:div w:id="1347950946">
              <w:marLeft w:val="0"/>
              <w:marRight w:val="0"/>
              <w:marTop w:val="0"/>
              <w:marBottom w:val="0"/>
              <w:divBdr>
                <w:top w:val="none" w:sz="0" w:space="0" w:color="auto"/>
                <w:left w:val="none" w:sz="0" w:space="0" w:color="auto"/>
                <w:bottom w:val="none" w:sz="0" w:space="0" w:color="auto"/>
                <w:right w:val="none" w:sz="0" w:space="0" w:color="auto"/>
              </w:divBdr>
              <w:divsChild>
                <w:div w:id="101858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7907193">
      <w:bodyDiv w:val="1"/>
      <w:marLeft w:val="0"/>
      <w:marRight w:val="0"/>
      <w:marTop w:val="0"/>
      <w:marBottom w:val="0"/>
      <w:divBdr>
        <w:top w:val="none" w:sz="0" w:space="0" w:color="auto"/>
        <w:left w:val="none" w:sz="0" w:space="0" w:color="auto"/>
        <w:bottom w:val="none" w:sz="0" w:space="0" w:color="auto"/>
        <w:right w:val="none" w:sz="0" w:space="0" w:color="auto"/>
      </w:divBdr>
      <w:divsChild>
        <w:div w:id="549266516">
          <w:marLeft w:val="0"/>
          <w:marRight w:val="0"/>
          <w:marTop w:val="0"/>
          <w:marBottom w:val="0"/>
          <w:divBdr>
            <w:top w:val="none" w:sz="0" w:space="0" w:color="auto"/>
            <w:left w:val="none" w:sz="0" w:space="0" w:color="auto"/>
            <w:bottom w:val="none" w:sz="0" w:space="0" w:color="auto"/>
            <w:right w:val="none" w:sz="0" w:space="0" w:color="auto"/>
          </w:divBdr>
          <w:divsChild>
            <w:div w:id="1864512216">
              <w:marLeft w:val="0"/>
              <w:marRight w:val="0"/>
              <w:marTop w:val="0"/>
              <w:marBottom w:val="0"/>
              <w:divBdr>
                <w:top w:val="none" w:sz="0" w:space="0" w:color="auto"/>
                <w:left w:val="none" w:sz="0" w:space="0" w:color="auto"/>
                <w:bottom w:val="none" w:sz="0" w:space="0" w:color="auto"/>
                <w:right w:val="none" w:sz="0" w:space="0" w:color="auto"/>
              </w:divBdr>
              <w:divsChild>
                <w:div w:id="11528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973441">
      <w:bodyDiv w:val="1"/>
      <w:marLeft w:val="0"/>
      <w:marRight w:val="0"/>
      <w:marTop w:val="0"/>
      <w:marBottom w:val="0"/>
      <w:divBdr>
        <w:top w:val="none" w:sz="0" w:space="0" w:color="auto"/>
        <w:left w:val="none" w:sz="0" w:space="0" w:color="auto"/>
        <w:bottom w:val="none" w:sz="0" w:space="0" w:color="auto"/>
        <w:right w:val="none" w:sz="0" w:space="0" w:color="auto"/>
      </w:divBdr>
      <w:divsChild>
        <w:div w:id="1859348272">
          <w:marLeft w:val="0"/>
          <w:marRight w:val="0"/>
          <w:marTop w:val="0"/>
          <w:marBottom w:val="0"/>
          <w:divBdr>
            <w:top w:val="none" w:sz="0" w:space="0" w:color="auto"/>
            <w:left w:val="none" w:sz="0" w:space="0" w:color="auto"/>
            <w:bottom w:val="none" w:sz="0" w:space="0" w:color="auto"/>
            <w:right w:val="none" w:sz="0" w:space="0" w:color="auto"/>
          </w:divBdr>
          <w:divsChild>
            <w:div w:id="22101816">
              <w:marLeft w:val="0"/>
              <w:marRight w:val="0"/>
              <w:marTop w:val="0"/>
              <w:marBottom w:val="0"/>
              <w:divBdr>
                <w:top w:val="none" w:sz="0" w:space="0" w:color="auto"/>
                <w:left w:val="none" w:sz="0" w:space="0" w:color="auto"/>
                <w:bottom w:val="none" w:sz="0" w:space="0" w:color="auto"/>
                <w:right w:val="none" w:sz="0" w:space="0" w:color="auto"/>
              </w:divBdr>
              <w:divsChild>
                <w:div w:id="173003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404739">
      <w:bodyDiv w:val="1"/>
      <w:marLeft w:val="0"/>
      <w:marRight w:val="0"/>
      <w:marTop w:val="0"/>
      <w:marBottom w:val="0"/>
      <w:divBdr>
        <w:top w:val="none" w:sz="0" w:space="0" w:color="auto"/>
        <w:left w:val="none" w:sz="0" w:space="0" w:color="auto"/>
        <w:bottom w:val="none" w:sz="0" w:space="0" w:color="auto"/>
        <w:right w:val="none" w:sz="0" w:space="0" w:color="auto"/>
      </w:divBdr>
      <w:divsChild>
        <w:div w:id="427888068">
          <w:marLeft w:val="0"/>
          <w:marRight w:val="0"/>
          <w:marTop w:val="0"/>
          <w:marBottom w:val="0"/>
          <w:divBdr>
            <w:top w:val="none" w:sz="0" w:space="0" w:color="auto"/>
            <w:left w:val="none" w:sz="0" w:space="0" w:color="auto"/>
            <w:bottom w:val="none" w:sz="0" w:space="0" w:color="auto"/>
            <w:right w:val="none" w:sz="0" w:space="0" w:color="auto"/>
          </w:divBdr>
          <w:divsChild>
            <w:div w:id="2105419719">
              <w:marLeft w:val="0"/>
              <w:marRight w:val="0"/>
              <w:marTop w:val="0"/>
              <w:marBottom w:val="0"/>
              <w:divBdr>
                <w:top w:val="none" w:sz="0" w:space="0" w:color="auto"/>
                <w:left w:val="none" w:sz="0" w:space="0" w:color="auto"/>
                <w:bottom w:val="none" w:sz="0" w:space="0" w:color="auto"/>
                <w:right w:val="none" w:sz="0" w:space="0" w:color="auto"/>
              </w:divBdr>
              <w:divsChild>
                <w:div w:id="12351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542732">
      <w:bodyDiv w:val="1"/>
      <w:marLeft w:val="0"/>
      <w:marRight w:val="0"/>
      <w:marTop w:val="0"/>
      <w:marBottom w:val="0"/>
      <w:divBdr>
        <w:top w:val="none" w:sz="0" w:space="0" w:color="auto"/>
        <w:left w:val="none" w:sz="0" w:space="0" w:color="auto"/>
        <w:bottom w:val="none" w:sz="0" w:space="0" w:color="auto"/>
        <w:right w:val="none" w:sz="0" w:space="0" w:color="auto"/>
      </w:divBdr>
      <w:divsChild>
        <w:div w:id="557479285">
          <w:marLeft w:val="0"/>
          <w:marRight w:val="0"/>
          <w:marTop w:val="0"/>
          <w:marBottom w:val="0"/>
          <w:divBdr>
            <w:top w:val="none" w:sz="0" w:space="0" w:color="auto"/>
            <w:left w:val="none" w:sz="0" w:space="0" w:color="auto"/>
            <w:bottom w:val="none" w:sz="0" w:space="0" w:color="auto"/>
            <w:right w:val="none" w:sz="0" w:space="0" w:color="auto"/>
          </w:divBdr>
          <w:divsChild>
            <w:div w:id="871458360">
              <w:marLeft w:val="0"/>
              <w:marRight w:val="0"/>
              <w:marTop w:val="0"/>
              <w:marBottom w:val="0"/>
              <w:divBdr>
                <w:top w:val="none" w:sz="0" w:space="0" w:color="auto"/>
                <w:left w:val="none" w:sz="0" w:space="0" w:color="auto"/>
                <w:bottom w:val="none" w:sz="0" w:space="0" w:color="auto"/>
                <w:right w:val="none" w:sz="0" w:space="0" w:color="auto"/>
              </w:divBdr>
              <w:divsChild>
                <w:div w:id="237179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999411">
      <w:bodyDiv w:val="1"/>
      <w:marLeft w:val="0"/>
      <w:marRight w:val="0"/>
      <w:marTop w:val="0"/>
      <w:marBottom w:val="0"/>
      <w:divBdr>
        <w:top w:val="none" w:sz="0" w:space="0" w:color="auto"/>
        <w:left w:val="none" w:sz="0" w:space="0" w:color="auto"/>
        <w:bottom w:val="none" w:sz="0" w:space="0" w:color="auto"/>
        <w:right w:val="none" w:sz="0" w:space="0" w:color="auto"/>
      </w:divBdr>
      <w:divsChild>
        <w:div w:id="1277560133">
          <w:marLeft w:val="0"/>
          <w:marRight w:val="0"/>
          <w:marTop w:val="0"/>
          <w:marBottom w:val="0"/>
          <w:divBdr>
            <w:top w:val="none" w:sz="0" w:space="0" w:color="auto"/>
            <w:left w:val="none" w:sz="0" w:space="0" w:color="auto"/>
            <w:bottom w:val="none" w:sz="0" w:space="0" w:color="auto"/>
            <w:right w:val="none" w:sz="0" w:space="0" w:color="auto"/>
          </w:divBdr>
          <w:divsChild>
            <w:div w:id="1482579586">
              <w:marLeft w:val="0"/>
              <w:marRight w:val="0"/>
              <w:marTop w:val="0"/>
              <w:marBottom w:val="0"/>
              <w:divBdr>
                <w:top w:val="none" w:sz="0" w:space="0" w:color="auto"/>
                <w:left w:val="none" w:sz="0" w:space="0" w:color="auto"/>
                <w:bottom w:val="none" w:sz="0" w:space="0" w:color="auto"/>
                <w:right w:val="none" w:sz="0" w:space="0" w:color="auto"/>
              </w:divBdr>
              <w:divsChild>
                <w:div w:id="55307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984730">
      <w:bodyDiv w:val="1"/>
      <w:marLeft w:val="0"/>
      <w:marRight w:val="0"/>
      <w:marTop w:val="0"/>
      <w:marBottom w:val="0"/>
      <w:divBdr>
        <w:top w:val="none" w:sz="0" w:space="0" w:color="auto"/>
        <w:left w:val="none" w:sz="0" w:space="0" w:color="auto"/>
        <w:bottom w:val="none" w:sz="0" w:space="0" w:color="auto"/>
        <w:right w:val="none" w:sz="0" w:space="0" w:color="auto"/>
      </w:divBdr>
      <w:divsChild>
        <w:div w:id="2144690524">
          <w:marLeft w:val="0"/>
          <w:marRight w:val="0"/>
          <w:marTop w:val="0"/>
          <w:marBottom w:val="0"/>
          <w:divBdr>
            <w:top w:val="none" w:sz="0" w:space="0" w:color="auto"/>
            <w:left w:val="none" w:sz="0" w:space="0" w:color="auto"/>
            <w:bottom w:val="none" w:sz="0" w:space="0" w:color="auto"/>
            <w:right w:val="none" w:sz="0" w:space="0" w:color="auto"/>
          </w:divBdr>
          <w:divsChild>
            <w:div w:id="1235777467">
              <w:marLeft w:val="0"/>
              <w:marRight w:val="0"/>
              <w:marTop w:val="0"/>
              <w:marBottom w:val="0"/>
              <w:divBdr>
                <w:top w:val="none" w:sz="0" w:space="0" w:color="auto"/>
                <w:left w:val="none" w:sz="0" w:space="0" w:color="auto"/>
                <w:bottom w:val="none" w:sz="0" w:space="0" w:color="auto"/>
                <w:right w:val="none" w:sz="0" w:space="0" w:color="auto"/>
              </w:divBdr>
              <w:divsChild>
                <w:div w:id="31950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939565">
      <w:bodyDiv w:val="1"/>
      <w:marLeft w:val="0"/>
      <w:marRight w:val="0"/>
      <w:marTop w:val="0"/>
      <w:marBottom w:val="0"/>
      <w:divBdr>
        <w:top w:val="none" w:sz="0" w:space="0" w:color="auto"/>
        <w:left w:val="none" w:sz="0" w:space="0" w:color="auto"/>
        <w:bottom w:val="none" w:sz="0" w:space="0" w:color="auto"/>
        <w:right w:val="none" w:sz="0" w:space="0" w:color="auto"/>
      </w:divBdr>
      <w:divsChild>
        <w:div w:id="2098095566">
          <w:marLeft w:val="0"/>
          <w:marRight w:val="0"/>
          <w:marTop w:val="0"/>
          <w:marBottom w:val="0"/>
          <w:divBdr>
            <w:top w:val="none" w:sz="0" w:space="0" w:color="auto"/>
            <w:left w:val="none" w:sz="0" w:space="0" w:color="auto"/>
            <w:bottom w:val="none" w:sz="0" w:space="0" w:color="auto"/>
            <w:right w:val="none" w:sz="0" w:space="0" w:color="auto"/>
          </w:divBdr>
          <w:divsChild>
            <w:div w:id="1928881349">
              <w:marLeft w:val="0"/>
              <w:marRight w:val="0"/>
              <w:marTop w:val="0"/>
              <w:marBottom w:val="0"/>
              <w:divBdr>
                <w:top w:val="none" w:sz="0" w:space="0" w:color="auto"/>
                <w:left w:val="none" w:sz="0" w:space="0" w:color="auto"/>
                <w:bottom w:val="none" w:sz="0" w:space="0" w:color="auto"/>
                <w:right w:val="none" w:sz="0" w:space="0" w:color="auto"/>
              </w:divBdr>
              <w:divsChild>
                <w:div w:id="1445534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142265">
      <w:bodyDiv w:val="1"/>
      <w:marLeft w:val="0"/>
      <w:marRight w:val="0"/>
      <w:marTop w:val="0"/>
      <w:marBottom w:val="0"/>
      <w:divBdr>
        <w:top w:val="none" w:sz="0" w:space="0" w:color="auto"/>
        <w:left w:val="none" w:sz="0" w:space="0" w:color="auto"/>
        <w:bottom w:val="none" w:sz="0" w:space="0" w:color="auto"/>
        <w:right w:val="none" w:sz="0" w:space="0" w:color="auto"/>
      </w:divBdr>
      <w:divsChild>
        <w:div w:id="310449418">
          <w:marLeft w:val="0"/>
          <w:marRight w:val="0"/>
          <w:marTop w:val="0"/>
          <w:marBottom w:val="0"/>
          <w:divBdr>
            <w:top w:val="none" w:sz="0" w:space="0" w:color="auto"/>
            <w:left w:val="none" w:sz="0" w:space="0" w:color="auto"/>
            <w:bottom w:val="none" w:sz="0" w:space="0" w:color="auto"/>
            <w:right w:val="none" w:sz="0" w:space="0" w:color="auto"/>
          </w:divBdr>
          <w:divsChild>
            <w:div w:id="598559483">
              <w:marLeft w:val="0"/>
              <w:marRight w:val="0"/>
              <w:marTop w:val="0"/>
              <w:marBottom w:val="0"/>
              <w:divBdr>
                <w:top w:val="none" w:sz="0" w:space="0" w:color="auto"/>
                <w:left w:val="none" w:sz="0" w:space="0" w:color="auto"/>
                <w:bottom w:val="none" w:sz="0" w:space="0" w:color="auto"/>
                <w:right w:val="none" w:sz="0" w:space="0" w:color="auto"/>
              </w:divBdr>
              <w:divsChild>
                <w:div w:id="46269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818488">
      <w:bodyDiv w:val="1"/>
      <w:marLeft w:val="0"/>
      <w:marRight w:val="0"/>
      <w:marTop w:val="0"/>
      <w:marBottom w:val="0"/>
      <w:divBdr>
        <w:top w:val="none" w:sz="0" w:space="0" w:color="auto"/>
        <w:left w:val="none" w:sz="0" w:space="0" w:color="auto"/>
        <w:bottom w:val="none" w:sz="0" w:space="0" w:color="auto"/>
        <w:right w:val="none" w:sz="0" w:space="0" w:color="auto"/>
      </w:divBdr>
      <w:divsChild>
        <w:div w:id="125582832">
          <w:marLeft w:val="0"/>
          <w:marRight w:val="0"/>
          <w:marTop w:val="0"/>
          <w:marBottom w:val="0"/>
          <w:divBdr>
            <w:top w:val="none" w:sz="0" w:space="0" w:color="auto"/>
            <w:left w:val="none" w:sz="0" w:space="0" w:color="auto"/>
            <w:bottom w:val="none" w:sz="0" w:space="0" w:color="auto"/>
            <w:right w:val="none" w:sz="0" w:space="0" w:color="auto"/>
          </w:divBdr>
          <w:divsChild>
            <w:div w:id="1088161869">
              <w:marLeft w:val="0"/>
              <w:marRight w:val="0"/>
              <w:marTop w:val="0"/>
              <w:marBottom w:val="0"/>
              <w:divBdr>
                <w:top w:val="none" w:sz="0" w:space="0" w:color="auto"/>
                <w:left w:val="none" w:sz="0" w:space="0" w:color="auto"/>
                <w:bottom w:val="none" w:sz="0" w:space="0" w:color="auto"/>
                <w:right w:val="none" w:sz="0" w:space="0" w:color="auto"/>
              </w:divBdr>
              <w:divsChild>
                <w:div w:id="163967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992089">
      <w:bodyDiv w:val="1"/>
      <w:marLeft w:val="0"/>
      <w:marRight w:val="0"/>
      <w:marTop w:val="0"/>
      <w:marBottom w:val="0"/>
      <w:divBdr>
        <w:top w:val="none" w:sz="0" w:space="0" w:color="auto"/>
        <w:left w:val="none" w:sz="0" w:space="0" w:color="auto"/>
        <w:bottom w:val="none" w:sz="0" w:space="0" w:color="auto"/>
        <w:right w:val="none" w:sz="0" w:space="0" w:color="auto"/>
      </w:divBdr>
      <w:divsChild>
        <w:div w:id="2014608481">
          <w:marLeft w:val="0"/>
          <w:marRight w:val="0"/>
          <w:marTop w:val="0"/>
          <w:marBottom w:val="0"/>
          <w:divBdr>
            <w:top w:val="none" w:sz="0" w:space="0" w:color="auto"/>
            <w:left w:val="none" w:sz="0" w:space="0" w:color="auto"/>
            <w:bottom w:val="none" w:sz="0" w:space="0" w:color="auto"/>
            <w:right w:val="none" w:sz="0" w:space="0" w:color="auto"/>
          </w:divBdr>
          <w:divsChild>
            <w:div w:id="1435176924">
              <w:marLeft w:val="0"/>
              <w:marRight w:val="0"/>
              <w:marTop w:val="0"/>
              <w:marBottom w:val="0"/>
              <w:divBdr>
                <w:top w:val="none" w:sz="0" w:space="0" w:color="auto"/>
                <w:left w:val="none" w:sz="0" w:space="0" w:color="auto"/>
                <w:bottom w:val="none" w:sz="0" w:space="0" w:color="auto"/>
                <w:right w:val="none" w:sz="0" w:space="0" w:color="auto"/>
              </w:divBdr>
              <w:divsChild>
                <w:div w:id="99210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8593">
      <w:bodyDiv w:val="1"/>
      <w:marLeft w:val="0"/>
      <w:marRight w:val="0"/>
      <w:marTop w:val="0"/>
      <w:marBottom w:val="0"/>
      <w:divBdr>
        <w:top w:val="none" w:sz="0" w:space="0" w:color="auto"/>
        <w:left w:val="none" w:sz="0" w:space="0" w:color="auto"/>
        <w:bottom w:val="none" w:sz="0" w:space="0" w:color="auto"/>
        <w:right w:val="none" w:sz="0" w:space="0" w:color="auto"/>
      </w:divBdr>
      <w:divsChild>
        <w:div w:id="194586035">
          <w:marLeft w:val="0"/>
          <w:marRight w:val="0"/>
          <w:marTop w:val="0"/>
          <w:marBottom w:val="0"/>
          <w:divBdr>
            <w:top w:val="none" w:sz="0" w:space="0" w:color="auto"/>
            <w:left w:val="none" w:sz="0" w:space="0" w:color="auto"/>
            <w:bottom w:val="none" w:sz="0" w:space="0" w:color="auto"/>
            <w:right w:val="none" w:sz="0" w:space="0" w:color="auto"/>
          </w:divBdr>
          <w:divsChild>
            <w:div w:id="558714512">
              <w:marLeft w:val="0"/>
              <w:marRight w:val="0"/>
              <w:marTop w:val="0"/>
              <w:marBottom w:val="0"/>
              <w:divBdr>
                <w:top w:val="none" w:sz="0" w:space="0" w:color="auto"/>
                <w:left w:val="none" w:sz="0" w:space="0" w:color="auto"/>
                <w:bottom w:val="none" w:sz="0" w:space="0" w:color="auto"/>
                <w:right w:val="none" w:sz="0" w:space="0" w:color="auto"/>
              </w:divBdr>
              <w:divsChild>
                <w:div w:id="12192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5573954">
      <w:bodyDiv w:val="1"/>
      <w:marLeft w:val="0"/>
      <w:marRight w:val="0"/>
      <w:marTop w:val="0"/>
      <w:marBottom w:val="0"/>
      <w:divBdr>
        <w:top w:val="none" w:sz="0" w:space="0" w:color="auto"/>
        <w:left w:val="none" w:sz="0" w:space="0" w:color="auto"/>
        <w:bottom w:val="none" w:sz="0" w:space="0" w:color="auto"/>
        <w:right w:val="none" w:sz="0" w:space="0" w:color="auto"/>
      </w:divBdr>
      <w:divsChild>
        <w:div w:id="1829520601">
          <w:marLeft w:val="0"/>
          <w:marRight w:val="0"/>
          <w:marTop w:val="0"/>
          <w:marBottom w:val="0"/>
          <w:divBdr>
            <w:top w:val="none" w:sz="0" w:space="0" w:color="auto"/>
            <w:left w:val="none" w:sz="0" w:space="0" w:color="auto"/>
            <w:bottom w:val="none" w:sz="0" w:space="0" w:color="auto"/>
            <w:right w:val="none" w:sz="0" w:space="0" w:color="auto"/>
          </w:divBdr>
          <w:divsChild>
            <w:div w:id="247546317">
              <w:marLeft w:val="0"/>
              <w:marRight w:val="0"/>
              <w:marTop w:val="0"/>
              <w:marBottom w:val="0"/>
              <w:divBdr>
                <w:top w:val="none" w:sz="0" w:space="0" w:color="auto"/>
                <w:left w:val="none" w:sz="0" w:space="0" w:color="auto"/>
                <w:bottom w:val="none" w:sz="0" w:space="0" w:color="auto"/>
                <w:right w:val="none" w:sz="0" w:space="0" w:color="auto"/>
              </w:divBdr>
              <w:divsChild>
                <w:div w:id="160526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384192">
      <w:bodyDiv w:val="1"/>
      <w:marLeft w:val="0"/>
      <w:marRight w:val="0"/>
      <w:marTop w:val="0"/>
      <w:marBottom w:val="0"/>
      <w:divBdr>
        <w:top w:val="none" w:sz="0" w:space="0" w:color="auto"/>
        <w:left w:val="none" w:sz="0" w:space="0" w:color="auto"/>
        <w:bottom w:val="none" w:sz="0" w:space="0" w:color="auto"/>
        <w:right w:val="none" w:sz="0" w:space="0" w:color="auto"/>
      </w:divBdr>
      <w:divsChild>
        <w:div w:id="451241776">
          <w:marLeft w:val="0"/>
          <w:marRight w:val="0"/>
          <w:marTop w:val="0"/>
          <w:marBottom w:val="0"/>
          <w:divBdr>
            <w:top w:val="none" w:sz="0" w:space="0" w:color="auto"/>
            <w:left w:val="none" w:sz="0" w:space="0" w:color="auto"/>
            <w:bottom w:val="none" w:sz="0" w:space="0" w:color="auto"/>
            <w:right w:val="none" w:sz="0" w:space="0" w:color="auto"/>
          </w:divBdr>
          <w:divsChild>
            <w:div w:id="2126188839">
              <w:marLeft w:val="0"/>
              <w:marRight w:val="0"/>
              <w:marTop w:val="0"/>
              <w:marBottom w:val="0"/>
              <w:divBdr>
                <w:top w:val="none" w:sz="0" w:space="0" w:color="auto"/>
                <w:left w:val="none" w:sz="0" w:space="0" w:color="auto"/>
                <w:bottom w:val="none" w:sz="0" w:space="0" w:color="auto"/>
                <w:right w:val="none" w:sz="0" w:space="0" w:color="auto"/>
              </w:divBdr>
              <w:divsChild>
                <w:div w:id="114821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453059">
      <w:bodyDiv w:val="1"/>
      <w:marLeft w:val="0"/>
      <w:marRight w:val="0"/>
      <w:marTop w:val="0"/>
      <w:marBottom w:val="0"/>
      <w:divBdr>
        <w:top w:val="none" w:sz="0" w:space="0" w:color="auto"/>
        <w:left w:val="none" w:sz="0" w:space="0" w:color="auto"/>
        <w:bottom w:val="none" w:sz="0" w:space="0" w:color="auto"/>
        <w:right w:val="none" w:sz="0" w:space="0" w:color="auto"/>
      </w:divBdr>
      <w:divsChild>
        <w:div w:id="986862984">
          <w:marLeft w:val="0"/>
          <w:marRight w:val="0"/>
          <w:marTop w:val="0"/>
          <w:marBottom w:val="0"/>
          <w:divBdr>
            <w:top w:val="none" w:sz="0" w:space="0" w:color="auto"/>
            <w:left w:val="none" w:sz="0" w:space="0" w:color="auto"/>
            <w:bottom w:val="none" w:sz="0" w:space="0" w:color="auto"/>
            <w:right w:val="none" w:sz="0" w:space="0" w:color="auto"/>
          </w:divBdr>
          <w:divsChild>
            <w:div w:id="1980064536">
              <w:marLeft w:val="0"/>
              <w:marRight w:val="0"/>
              <w:marTop w:val="0"/>
              <w:marBottom w:val="0"/>
              <w:divBdr>
                <w:top w:val="none" w:sz="0" w:space="0" w:color="auto"/>
                <w:left w:val="none" w:sz="0" w:space="0" w:color="auto"/>
                <w:bottom w:val="none" w:sz="0" w:space="0" w:color="auto"/>
                <w:right w:val="none" w:sz="0" w:space="0" w:color="auto"/>
              </w:divBdr>
              <w:divsChild>
                <w:div w:id="87932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563273">
      <w:bodyDiv w:val="1"/>
      <w:marLeft w:val="0"/>
      <w:marRight w:val="0"/>
      <w:marTop w:val="0"/>
      <w:marBottom w:val="0"/>
      <w:divBdr>
        <w:top w:val="none" w:sz="0" w:space="0" w:color="auto"/>
        <w:left w:val="none" w:sz="0" w:space="0" w:color="auto"/>
        <w:bottom w:val="none" w:sz="0" w:space="0" w:color="auto"/>
        <w:right w:val="none" w:sz="0" w:space="0" w:color="auto"/>
      </w:divBdr>
      <w:divsChild>
        <w:div w:id="1709524005">
          <w:marLeft w:val="0"/>
          <w:marRight w:val="0"/>
          <w:marTop w:val="0"/>
          <w:marBottom w:val="0"/>
          <w:divBdr>
            <w:top w:val="none" w:sz="0" w:space="0" w:color="auto"/>
            <w:left w:val="none" w:sz="0" w:space="0" w:color="auto"/>
            <w:bottom w:val="none" w:sz="0" w:space="0" w:color="auto"/>
            <w:right w:val="none" w:sz="0" w:space="0" w:color="auto"/>
          </w:divBdr>
          <w:divsChild>
            <w:div w:id="846018583">
              <w:marLeft w:val="0"/>
              <w:marRight w:val="0"/>
              <w:marTop w:val="0"/>
              <w:marBottom w:val="0"/>
              <w:divBdr>
                <w:top w:val="none" w:sz="0" w:space="0" w:color="auto"/>
                <w:left w:val="none" w:sz="0" w:space="0" w:color="auto"/>
                <w:bottom w:val="none" w:sz="0" w:space="0" w:color="auto"/>
                <w:right w:val="none" w:sz="0" w:space="0" w:color="auto"/>
              </w:divBdr>
              <w:divsChild>
                <w:div w:id="1165896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389759">
      <w:bodyDiv w:val="1"/>
      <w:marLeft w:val="0"/>
      <w:marRight w:val="0"/>
      <w:marTop w:val="0"/>
      <w:marBottom w:val="0"/>
      <w:divBdr>
        <w:top w:val="none" w:sz="0" w:space="0" w:color="auto"/>
        <w:left w:val="none" w:sz="0" w:space="0" w:color="auto"/>
        <w:bottom w:val="none" w:sz="0" w:space="0" w:color="auto"/>
        <w:right w:val="none" w:sz="0" w:space="0" w:color="auto"/>
      </w:divBdr>
      <w:divsChild>
        <w:div w:id="1791702339">
          <w:marLeft w:val="0"/>
          <w:marRight w:val="0"/>
          <w:marTop w:val="0"/>
          <w:marBottom w:val="0"/>
          <w:divBdr>
            <w:top w:val="none" w:sz="0" w:space="0" w:color="auto"/>
            <w:left w:val="none" w:sz="0" w:space="0" w:color="auto"/>
            <w:bottom w:val="none" w:sz="0" w:space="0" w:color="auto"/>
            <w:right w:val="none" w:sz="0" w:space="0" w:color="auto"/>
          </w:divBdr>
          <w:divsChild>
            <w:div w:id="686521912">
              <w:marLeft w:val="0"/>
              <w:marRight w:val="0"/>
              <w:marTop w:val="0"/>
              <w:marBottom w:val="0"/>
              <w:divBdr>
                <w:top w:val="none" w:sz="0" w:space="0" w:color="auto"/>
                <w:left w:val="none" w:sz="0" w:space="0" w:color="auto"/>
                <w:bottom w:val="none" w:sz="0" w:space="0" w:color="auto"/>
                <w:right w:val="none" w:sz="0" w:space="0" w:color="auto"/>
              </w:divBdr>
              <w:divsChild>
                <w:div w:id="19878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259937">
      <w:bodyDiv w:val="1"/>
      <w:marLeft w:val="0"/>
      <w:marRight w:val="0"/>
      <w:marTop w:val="0"/>
      <w:marBottom w:val="0"/>
      <w:divBdr>
        <w:top w:val="none" w:sz="0" w:space="0" w:color="auto"/>
        <w:left w:val="none" w:sz="0" w:space="0" w:color="auto"/>
        <w:bottom w:val="none" w:sz="0" w:space="0" w:color="auto"/>
        <w:right w:val="none" w:sz="0" w:space="0" w:color="auto"/>
      </w:divBdr>
      <w:divsChild>
        <w:div w:id="1670326964">
          <w:marLeft w:val="0"/>
          <w:marRight w:val="0"/>
          <w:marTop w:val="0"/>
          <w:marBottom w:val="0"/>
          <w:divBdr>
            <w:top w:val="none" w:sz="0" w:space="0" w:color="auto"/>
            <w:left w:val="none" w:sz="0" w:space="0" w:color="auto"/>
            <w:bottom w:val="none" w:sz="0" w:space="0" w:color="auto"/>
            <w:right w:val="none" w:sz="0" w:space="0" w:color="auto"/>
          </w:divBdr>
          <w:divsChild>
            <w:div w:id="583033362">
              <w:marLeft w:val="0"/>
              <w:marRight w:val="0"/>
              <w:marTop w:val="0"/>
              <w:marBottom w:val="0"/>
              <w:divBdr>
                <w:top w:val="none" w:sz="0" w:space="0" w:color="auto"/>
                <w:left w:val="none" w:sz="0" w:space="0" w:color="auto"/>
                <w:bottom w:val="none" w:sz="0" w:space="0" w:color="auto"/>
                <w:right w:val="none" w:sz="0" w:space="0" w:color="auto"/>
              </w:divBdr>
              <w:divsChild>
                <w:div w:id="70644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8983">
      <w:bodyDiv w:val="1"/>
      <w:marLeft w:val="0"/>
      <w:marRight w:val="0"/>
      <w:marTop w:val="0"/>
      <w:marBottom w:val="0"/>
      <w:divBdr>
        <w:top w:val="none" w:sz="0" w:space="0" w:color="auto"/>
        <w:left w:val="none" w:sz="0" w:space="0" w:color="auto"/>
        <w:bottom w:val="none" w:sz="0" w:space="0" w:color="auto"/>
        <w:right w:val="none" w:sz="0" w:space="0" w:color="auto"/>
      </w:divBdr>
      <w:divsChild>
        <w:div w:id="1217205829">
          <w:marLeft w:val="0"/>
          <w:marRight w:val="0"/>
          <w:marTop w:val="0"/>
          <w:marBottom w:val="0"/>
          <w:divBdr>
            <w:top w:val="none" w:sz="0" w:space="0" w:color="auto"/>
            <w:left w:val="none" w:sz="0" w:space="0" w:color="auto"/>
            <w:bottom w:val="none" w:sz="0" w:space="0" w:color="auto"/>
            <w:right w:val="none" w:sz="0" w:space="0" w:color="auto"/>
          </w:divBdr>
          <w:divsChild>
            <w:div w:id="826553416">
              <w:marLeft w:val="0"/>
              <w:marRight w:val="0"/>
              <w:marTop w:val="0"/>
              <w:marBottom w:val="0"/>
              <w:divBdr>
                <w:top w:val="none" w:sz="0" w:space="0" w:color="auto"/>
                <w:left w:val="none" w:sz="0" w:space="0" w:color="auto"/>
                <w:bottom w:val="none" w:sz="0" w:space="0" w:color="auto"/>
                <w:right w:val="none" w:sz="0" w:space="0" w:color="auto"/>
              </w:divBdr>
              <w:divsChild>
                <w:div w:id="214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099761">
      <w:bodyDiv w:val="1"/>
      <w:marLeft w:val="0"/>
      <w:marRight w:val="0"/>
      <w:marTop w:val="0"/>
      <w:marBottom w:val="0"/>
      <w:divBdr>
        <w:top w:val="none" w:sz="0" w:space="0" w:color="auto"/>
        <w:left w:val="none" w:sz="0" w:space="0" w:color="auto"/>
        <w:bottom w:val="none" w:sz="0" w:space="0" w:color="auto"/>
        <w:right w:val="none" w:sz="0" w:space="0" w:color="auto"/>
      </w:divBdr>
      <w:divsChild>
        <w:div w:id="295647702">
          <w:marLeft w:val="0"/>
          <w:marRight w:val="0"/>
          <w:marTop w:val="0"/>
          <w:marBottom w:val="0"/>
          <w:divBdr>
            <w:top w:val="none" w:sz="0" w:space="0" w:color="auto"/>
            <w:left w:val="none" w:sz="0" w:space="0" w:color="auto"/>
            <w:bottom w:val="none" w:sz="0" w:space="0" w:color="auto"/>
            <w:right w:val="none" w:sz="0" w:space="0" w:color="auto"/>
          </w:divBdr>
          <w:divsChild>
            <w:div w:id="453251083">
              <w:marLeft w:val="0"/>
              <w:marRight w:val="0"/>
              <w:marTop w:val="0"/>
              <w:marBottom w:val="0"/>
              <w:divBdr>
                <w:top w:val="none" w:sz="0" w:space="0" w:color="auto"/>
                <w:left w:val="none" w:sz="0" w:space="0" w:color="auto"/>
                <w:bottom w:val="none" w:sz="0" w:space="0" w:color="auto"/>
                <w:right w:val="none" w:sz="0" w:space="0" w:color="auto"/>
              </w:divBdr>
              <w:divsChild>
                <w:div w:id="447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633184">
      <w:bodyDiv w:val="1"/>
      <w:marLeft w:val="0"/>
      <w:marRight w:val="0"/>
      <w:marTop w:val="0"/>
      <w:marBottom w:val="0"/>
      <w:divBdr>
        <w:top w:val="none" w:sz="0" w:space="0" w:color="auto"/>
        <w:left w:val="none" w:sz="0" w:space="0" w:color="auto"/>
        <w:bottom w:val="none" w:sz="0" w:space="0" w:color="auto"/>
        <w:right w:val="none" w:sz="0" w:space="0" w:color="auto"/>
      </w:divBdr>
      <w:divsChild>
        <w:div w:id="1150832314">
          <w:marLeft w:val="0"/>
          <w:marRight w:val="0"/>
          <w:marTop w:val="0"/>
          <w:marBottom w:val="0"/>
          <w:divBdr>
            <w:top w:val="none" w:sz="0" w:space="0" w:color="auto"/>
            <w:left w:val="none" w:sz="0" w:space="0" w:color="auto"/>
            <w:bottom w:val="none" w:sz="0" w:space="0" w:color="auto"/>
            <w:right w:val="none" w:sz="0" w:space="0" w:color="auto"/>
          </w:divBdr>
          <w:divsChild>
            <w:div w:id="570972074">
              <w:marLeft w:val="0"/>
              <w:marRight w:val="0"/>
              <w:marTop w:val="0"/>
              <w:marBottom w:val="0"/>
              <w:divBdr>
                <w:top w:val="none" w:sz="0" w:space="0" w:color="auto"/>
                <w:left w:val="none" w:sz="0" w:space="0" w:color="auto"/>
                <w:bottom w:val="none" w:sz="0" w:space="0" w:color="auto"/>
                <w:right w:val="none" w:sz="0" w:space="0" w:color="auto"/>
              </w:divBdr>
              <w:divsChild>
                <w:div w:id="96168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607945">
      <w:bodyDiv w:val="1"/>
      <w:marLeft w:val="0"/>
      <w:marRight w:val="0"/>
      <w:marTop w:val="0"/>
      <w:marBottom w:val="0"/>
      <w:divBdr>
        <w:top w:val="none" w:sz="0" w:space="0" w:color="auto"/>
        <w:left w:val="none" w:sz="0" w:space="0" w:color="auto"/>
        <w:bottom w:val="none" w:sz="0" w:space="0" w:color="auto"/>
        <w:right w:val="none" w:sz="0" w:space="0" w:color="auto"/>
      </w:divBdr>
      <w:divsChild>
        <w:div w:id="324672310">
          <w:marLeft w:val="0"/>
          <w:marRight w:val="0"/>
          <w:marTop w:val="0"/>
          <w:marBottom w:val="0"/>
          <w:divBdr>
            <w:top w:val="none" w:sz="0" w:space="0" w:color="auto"/>
            <w:left w:val="none" w:sz="0" w:space="0" w:color="auto"/>
            <w:bottom w:val="none" w:sz="0" w:space="0" w:color="auto"/>
            <w:right w:val="none" w:sz="0" w:space="0" w:color="auto"/>
          </w:divBdr>
          <w:divsChild>
            <w:div w:id="1907102532">
              <w:marLeft w:val="0"/>
              <w:marRight w:val="0"/>
              <w:marTop w:val="0"/>
              <w:marBottom w:val="0"/>
              <w:divBdr>
                <w:top w:val="none" w:sz="0" w:space="0" w:color="auto"/>
                <w:left w:val="none" w:sz="0" w:space="0" w:color="auto"/>
                <w:bottom w:val="none" w:sz="0" w:space="0" w:color="auto"/>
                <w:right w:val="none" w:sz="0" w:space="0" w:color="auto"/>
              </w:divBdr>
              <w:divsChild>
                <w:div w:id="88548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54536">
      <w:bodyDiv w:val="1"/>
      <w:marLeft w:val="0"/>
      <w:marRight w:val="0"/>
      <w:marTop w:val="0"/>
      <w:marBottom w:val="0"/>
      <w:divBdr>
        <w:top w:val="none" w:sz="0" w:space="0" w:color="auto"/>
        <w:left w:val="none" w:sz="0" w:space="0" w:color="auto"/>
        <w:bottom w:val="none" w:sz="0" w:space="0" w:color="auto"/>
        <w:right w:val="none" w:sz="0" w:space="0" w:color="auto"/>
      </w:divBdr>
      <w:divsChild>
        <w:div w:id="56369851">
          <w:marLeft w:val="0"/>
          <w:marRight w:val="0"/>
          <w:marTop w:val="0"/>
          <w:marBottom w:val="0"/>
          <w:divBdr>
            <w:top w:val="none" w:sz="0" w:space="0" w:color="auto"/>
            <w:left w:val="none" w:sz="0" w:space="0" w:color="auto"/>
            <w:bottom w:val="none" w:sz="0" w:space="0" w:color="auto"/>
            <w:right w:val="none" w:sz="0" w:space="0" w:color="auto"/>
          </w:divBdr>
          <w:divsChild>
            <w:div w:id="1065757322">
              <w:marLeft w:val="0"/>
              <w:marRight w:val="0"/>
              <w:marTop w:val="0"/>
              <w:marBottom w:val="0"/>
              <w:divBdr>
                <w:top w:val="none" w:sz="0" w:space="0" w:color="auto"/>
                <w:left w:val="none" w:sz="0" w:space="0" w:color="auto"/>
                <w:bottom w:val="none" w:sz="0" w:space="0" w:color="auto"/>
                <w:right w:val="none" w:sz="0" w:space="0" w:color="auto"/>
              </w:divBdr>
              <w:divsChild>
                <w:div w:id="15104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96177">
      <w:bodyDiv w:val="1"/>
      <w:marLeft w:val="0"/>
      <w:marRight w:val="0"/>
      <w:marTop w:val="0"/>
      <w:marBottom w:val="0"/>
      <w:divBdr>
        <w:top w:val="none" w:sz="0" w:space="0" w:color="auto"/>
        <w:left w:val="none" w:sz="0" w:space="0" w:color="auto"/>
        <w:bottom w:val="none" w:sz="0" w:space="0" w:color="auto"/>
        <w:right w:val="none" w:sz="0" w:space="0" w:color="auto"/>
      </w:divBdr>
      <w:divsChild>
        <w:div w:id="675960514">
          <w:marLeft w:val="0"/>
          <w:marRight w:val="0"/>
          <w:marTop w:val="0"/>
          <w:marBottom w:val="0"/>
          <w:divBdr>
            <w:top w:val="none" w:sz="0" w:space="0" w:color="auto"/>
            <w:left w:val="none" w:sz="0" w:space="0" w:color="auto"/>
            <w:bottom w:val="none" w:sz="0" w:space="0" w:color="auto"/>
            <w:right w:val="none" w:sz="0" w:space="0" w:color="auto"/>
          </w:divBdr>
          <w:divsChild>
            <w:div w:id="957029035">
              <w:marLeft w:val="0"/>
              <w:marRight w:val="0"/>
              <w:marTop w:val="0"/>
              <w:marBottom w:val="0"/>
              <w:divBdr>
                <w:top w:val="none" w:sz="0" w:space="0" w:color="auto"/>
                <w:left w:val="none" w:sz="0" w:space="0" w:color="auto"/>
                <w:bottom w:val="none" w:sz="0" w:space="0" w:color="auto"/>
                <w:right w:val="none" w:sz="0" w:space="0" w:color="auto"/>
              </w:divBdr>
              <w:divsChild>
                <w:div w:id="55805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668730">
      <w:bodyDiv w:val="1"/>
      <w:marLeft w:val="0"/>
      <w:marRight w:val="0"/>
      <w:marTop w:val="0"/>
      <w:marBottom w:val="0"/>
      <w:divBdr>
        <w:top w:val="none" w:sz="0" w:space="0" w:color="auto"/>
        <w:left w:val="none" w:sz="0" w:space="0" w:color="auto"/>
        <w:bottom w:val="none" w:sz="0" w:space="0" w:color="auto"/>
        <w:right w:val="none" w:sz="0" w:space="0" w:color="auto"/>
      </w:divBdr>
      <w:divsChild>
        <w:div w:id="83262236">
          <w:marLeft w:val="0"/>
          <w:marRight w:val="0"/>
          <w:marTop w:val="0"/>
          <w:marBottom w:val="0"/>
          <w:divBdr>
            <w:top w:val="none" w:sz="0" w:space="0" w:color="auto"/>
            <w:left w:val="none" w:sz="0" w:space="0" w:color="auto"/>
            <w:bottom w:val="none" w:sz="0" w:space="0" w:color="auto"/>
            <w:right w:val="none" w:sz="0" w:space="0" w:color="auto"/>
          </w:divBdr>
          <w:divsChild>
            <w:div w:id="295113009">
              <w:marLeft w:val="0"/>
              <w:marRight w:val="0"/>
              <w:marTop w:val="0"/>
              <w:marBottom w:val="0"/>
              <w:divBdr>
                <w:top w:val="none" w:sz="0" w:space="0" w:color="auto"/>
                <w:left w:val="none" w:sz="0" w:space="0" w:color="auto"/>
                <w:bottom w:val="none" w:sz="0" w:space="0" w:color="auto"/>
                <w:right w:val="none" w:sz="0" w:space="0" w:color="auto"/>
              </w:divBdr>
              <w:divsChild>
                <w:div w:id="134030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F:\Medida-V200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4SQX5P7U7WPY-958212181-817395</_dlc_DocId>
    <_dlc_DocIdUrl xmlns="c890fddd-4e87-4e08-8b51-545f2a3f7b06">
      <Url>https://senpr.sharepoint.com/sites/obralegislativa/_layouts/15/DocIdRedir.aspx?ID=4SQX5P7U7WPY-958212181-817395</Url>
      <Description>4SQX5P7U7WPY-958212181-817395</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49DD05-75F4-4D3B-B7D0-F406FB427F05}">
  <ds:schemaRefs>
    <ds:schemaRef ds:uri="http://schemas.microsoft.com/office/2006/metadata/properties"/>
    <ds:schemaRef ds:uri="http://schemas.microsoft.com/office/infopath/2007/PartnerControls"/>
    <ds:schemaRef ds:uri="920f90b9-3042-4a39-9a26-6e30f106d13d"/>
  </ds:schemaRefs>
</ds:datastoreItem>
</file>

<file path=customXml/itemProps2.xml><?xml version="1.0" encoding="utf-8"?>
<ds:datastoreItem xmlns:ds="http://schemas.openxmlformats.org/officeDocument/2006/customXml" ds:itemID="{5DEE1C51-5D97-4BF2-A9D9-A2D7FE768468}">
  <ds:schemaRefs>
    <ds:schemaRef ds:uri="http://schemas.microsoft.com/sharepoint/v3/contenttype/forms"/>
  </ds:schemaRefs>
</ds:datastoreItem>
</file>

<file path=customXml/itemProps3.xml><?xml version="1.0" encoding="utf-8"?>
<ds:datastoreItem xmlns:ds="http://schemas.openxmlformats.org/officeDocument/2006/customXml" ds:itemID="{48DFB457-9561-464D-AB01-957D44C3FF75}"/>
</file>

<file path=customXml/itemProps4.xml><?xml version="1.0" encoding="utf-8"?>
<ds:datastoreItem xmlns:ds="http://schemas.openxmlformats.org/officeDocument/2006/customXml" ds:itemID="{B6E88F06-7AF3-824F-A8C0-6CF70E898463}">
  <ds:schemaRefs>
    <ds:schemaRef ds:uri="http://schemas.openxmlformats.org/officeDocument/2006/bibliography"/>
  </ds:schemaRefs>
</ds:datastoreItem>
</file>

<file path=customXml/itemProps5.xml><?xml version="1.0" encoding="utf-8"?>
<ds:datastoreItem xmlns:ds="http://schemas.openxmlformats.org/officeDocument/2006/customXml" ds:itemID="{C93FF269-0922-48AA-A9CA-218DABFACB42}"/>
</file>

<file path=docProps/app.xml><?xml version="1.0" encoding="utf-8"?>
<Properties xmlns="http://schemas.openxmlformats.org/officeDocument/2006/extended-properties" xmlns:vt="http://schemas.openxmlformats.org/officeDocument/2006/docPropsVTypes">
  <Template>Medida-V2009</Template>
  <TotalTime>13</TotalTime>
  <Pages>6</Pages>
  <Words>1940</Words>
  <Characters>10728</Characters>
  <Application>Microsoft Office Word</Application>
  <DocSecurity>0</DocSecurity>
  <Lines>89</Lines>
  <Paragraphs>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Henry Rodriguez</dc:creator>
  <cp:keywords>Comision APP</cp:keywords>
  <dc:description/>
  <cp:lastModifiedBy>Monica Maldonado Gonzalez (Trámites y Récords)</cp:lastModifiedBy>
  <cp:revision>2</cp:revision>
  <cp:lastPrinted>2025-03-06T13:07:00Z</cp:lastPrinted>
  <dcterms:created xsi:type="dcterms:W3CDTF">2025-08-14T21:50:00Z</dcterms:created>
  <dcterms:modified xsi:type="dcterms:W3CDTF">2025-08-14T21:50:00Z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b2668231-30ff-42a6-a202-6a7787ad2eac</vt:lpwstr>
  </property>
  <property fmtid="{D5CDD505-2E9C-101B-9397-08002B2CF9AE}" pid="4" name="MediaServiceImageTags">
    <vt:lpwstr/>
  </property>
</Properties>
</file>