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E4CC9" w14:textId="77777777" w:rsidR="00C43609" w:rsidRPr="00C43609" w:rsidRDefault="00C43609" w:rsidP="00C43609">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C43609">
        <w:rPr>
          <w:rFonts w:ascii="Book Antiqua" w:eastAsia="Times New Roman" w:hAnsi="Book Antiqua"/>
          <w:b/>
          <w:bCs/>
          <w:sz w:val="24"/>
          <w:szCs w:val="24"/>
          <w:lang w:val="es-PR"/>
        </w:rPr>
        <w:t>(TEXTO DE APROBACIÓN FINAL POR LA CÁMARA)</w:t>
      </w:r>
      <w:r w:rsidRPr="00C43609">
        <w:rPr>
          <w:rFonts w:ascii="Book Antiqua" w:eastAsia="Times New Roman" w:hAnsi="Book Antiqua"/>
          <w:b/>
          <w:bCs/>
          <w:sz w:val="24"/>
          <w:szCs w:val="24"/>
          <w:lang w:val="es-ES_tradnl"/>
        </w:rPr>
        <w:fldChar w:fldCharType="begin"/>
      </w:r>
      <w:r w:rsidRPr="00C43609">
        <w:rPr>
          <w:rFonts w:ascii="Book Antiqua" w:eastAsia="Times New Roman" w:hAnsi="Book Antiqua"/>
          <w:b/>
          <w:bCs/>
          <w:sz w:val="24"/>
          <w:szCs w:val="24"/>
          <w:lang w:val="es-PR"/>
        </w:rPr>
        <w:instrText xml:space="preserve">PRIVATE </w:instrText>
      </w:r>
      <w:r w:rsidRPr="00C43609">
        <w:rPr>
          <w:rFonts w:ascii="Book Antiqua" w:eastAsia="Times New Roman" w:hAnsi="Book Antiqua"/>
          <w:b/>
          <w:bCs/>
          <w:sz w:val="24"/>
          <w:szCs w:val="24"/>
          <w:lang w:val="es-ES_tradnl"/>
        </w:rPr>
        <w:fldChar w:fldCharType="end"/>
      </w:r>
    </w:p>
    <w:p w14:paraId="74B48426" w14:textId="77777777" w:rsidR="00C43609" w:rsidRPr="00C43609" w:rsidRDefault="00C43609" w:rsidP="00C43609">
      <w:pPr>
        <w:suppressLineNumbers/>
        <w:tabs>
          <w:tab w:val="center" w:pos="4680"/>
        </w:tabs>
        <w:spacing w:after="0" w:line="240" w:lineRule="auto"/>
        <w:jc w:val="center"/>
        <w:rPr>
          <w:rFonts w:ascii="Book Antiqua" w:eastAsia="Times New Roman" w:hAnsi="Book Antiqua"/>
          <w:b/>
          <w:bCs/>
          <w:sz w:val="24"/>
          <w:szCs w:val="24"/>
          <w:lang w:val="es-PR"/>
        </w:rPr>
      </w:pPr>
      <w:r w:rsidRPr="00C43609">
        <w:rPr>
          <w:rFonts w:ascii="Book Antiqua" w:eastAsia="Times New Roman" w:hAnsi="Book Antiqua"/>
          <w:b/>
          <w:bCs/>
          <w:sz w:val="24"/>
          <w:szCs w:val="24"/>
          <w:lang w:val="es-PR"/>
        </w:rPr>
        <w:t>(10 DE JUNIO DE 2025)</w:t>
      </w:r>
    </w:p>
    <w:p w14:paraId="4C3E8A6F" w14:textId="77777777" w:rsidR="00C43609" w:rsidRPr="00C43609" w:rsidRDefault="00C43609" w:rsidP="00C43609">
      <w:pPr>
        <w:suppressLineNumbers/>
        <w:tabs>
          <w:tab w:val="center" w:pos="4680"/>
        </w:tabs>
        <w:spacing w:after="0" w:line="240" w:lineRule="auto"/>
        <w:jc w:val="center"/>
        <w:rPr>
          <w:rFonts w:ascii="Book Antiqua" w:eastAsia="Times New Roman" w:hAnsi="Book Antiqua"/>
          <w:b/>
          <w:bCs/>
          <w:sz w:val="24"/>
          <w:szCs w:val="24"/>
          <w:lang w:val="es-ES_tradnl"/>
        </w:rPr>
      </w:pPr>
      <w:r w:rsidRPr="00C43609">
        <w:rPr>
          <w:rFonts w:ascii="Times New Roman" w:eastAsia="Times New Roman" w:hAnsi="Times New Roman"/>
          <w:noProof/>
          <w:sz w:val="24"/>
          <w:szCs w:val="24"/>
        </w:rPr>
        <mc:AlternateContent>
          <mc:Choice Requires="wps">
            <w:drawing>
              <wp:anchor distT="0" distB="0" distL="114300" distR="114300" simplePos="0" relativeHeight="251659264" behindDoc="1" locked="0" layoutInCell="0" allowOverlap="1" wp14:anchorId="16519C11" wp14:editId="53DD068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4305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38605601" w14:textId="77777777" w:rsidR="009F031E" w:rsidRDefault="009F031E" w:rsidP="00071D16">
      <w:pPr>
        <w:spacing w:after="0" w:line="240" w:lineRule="auto"/>
        <w:jc w:val="center"/>
        <w:rPr>
          <w:rFonts w:ascii="Book Antiqua" w:eastAsia="Times New Roman" w:hAnsi="Book Antiqua"/>
          <w:sz w:val="28"/>
          <w:szCs w:val="36"/>
          <w:lang w:val="es-PR"/>
        </w:rPr>
      </w:pPr>
      <w:r>
        <w:rPr>
          <w:rFonts w:ascii="Book Antiqua" w:eastAsia="Times New Roman" w:hAnsi="Book Antiqua"/>
          <w:sz w:val="28"/>
          <w:szCs w:val="36"/>
          <w:lang w:val="es-PR"/>
        </w:rPr>
        <w:t>GOBIERNO DE PUERTO RICO</w:t>
      </w:r>
    </w:p>
    <w:p w14:paraId="62D03B5A" w14:textId="77777777" w:rsidR="009F031E" w:rsidRDefault="009F031E" w:rsidP="00071D16">
      <w:pPr>
        <w:spacing w:after="0" w:line="240" w:lineRule="auto"/>
        <w:jc w:val="center"/>
        <w:rPr>
          <w:rFonts w:ascii="Book Antiqua" w:eastAsia="Times New Roman" w:hAnsi="Book Antiqua"/>
          <w:sz w:val="24"/>
          <w:szCs w:val="20"/>
          <w:lang w:val="es-PR"/>
        </w:rPr>
      </w:pPr>
    </w:p>
    <w:p w14:paraId="6981E77A" w14:textId="77777777" w:rsidR="009F031E" w:rsidRPr="006932E9" w:rsidRDefault="009F031E" w:rsidP="00071D16">
      <w:pPr>
        <w:tabs>
          <w:tab w:val="left" w:pos="648"/>
          <w:tab w:val="left" w:pos="7848"/>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20</w:t>
      </w:r>
      <w:r w:rsidRPr="006932E9">
        <w:rPr>
          <w:rFonts w:ascii="Book Antiqua" w:eastAsia="Times New Roman" w:hAnsi="Book Antiqua"/>
          <w:sz w:val="24"/>
          <w:szCs w:val="20"/>
          <w:vertAlign w:val="superscript"/>
          <w:lang w:val="es-ES"/>
        </w:rPr>
        <w:t>ma</w:t>
      </w:r>
      <w:r w:rsidRPr="006932E9">
        <w:rPr>
          <w:rFonts w:ascii="Book Antiqua" w:eastAsia="Times New Roman" w:hAnsi="Book Antiqua"/>
          <w:sz w:val="24"/>
          <w:szCs w:val="20"/>
          <w:lang w:val="es-ES"/>
        </w:rPr>
        <w:t xml:space="preserve"> Asamblea</w:t>
      </w:r>
      <w:r w:rsidRPr="006932E9">
        <w:rPr>
          <w:rFonts w:ascii="Book Antiqua" w:eastAsia="Times New Roman" w:hAnsi="Book Antiqua"/>
          <w:sz w:val="24"/>
          <w:szCs w:val="20"/>
          <w:lang w:val="es-ES"/>
        </w:rPr>
        <w:tab/>
        <w:t>1</w:t>
      </w:r>
      <w:r w:rsidRPr="006932E9">
        <w:rPr>
          <w:rFonts w:ascii="Book Antiqua" w:eastAsia="Times New Roman" w:hAnsi="Book Antiqua"/>
          <w:sz w:val="24"/>
          <w:szCs w:val="20"/>
          <w:vertAlign w:val="superscript"/>
          <w:lang w:val="es-ES"/>
        </w:rPr>
        <w:t>ra</w:t>
      </w:r>
      <w:r w:rsidRPr="006932E9">
        <w:rPr>
          <w:rFonts w:ascii="Book Antiqua" w:eastAsia="Times New Roman" w:hAnsi="Book Antiqua"/>
          <w:sz w:val="24"/>
          <w:szCs w:val="20"/>
          <w:lang w:val="es-ES"/>
        </w:rPr>
        <w:t xml:space="preserve"> Sesión</w:t>
      </w:r>
    </w:p>
    <w:p w14:paraId="379A0FDC" w14:textId="77777777" w:rsidR="009F031E" w:rsidRPr="006932E9" w:rsidRDefault="009F031E" w:rsidP="00071D16">
      <w:pPr>
        <w:tabs>
          <w:tab w:val="left" w:pos="648"/>
          <w:tab w:val="left" w:pos="7110"/>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ab/>
        <w:t>Legislativa</w:t>
      </w:r>
      <w:r w:rsidRPr="006932E9">
        <w:rPr>
          <w:rFonts w:ascii="Book Antiqua" w:eastAsia="Times New Roman" w:hAnsi="Book Antiqua"/>
          <w:sz w:val="24"/>
          <w:szCs w:val="20"/>
          <w:lang w:val="es-ES"/>
        </w:rPr>
        <w:tab/>
      </w:r>
      <w:r w:rsidRPr="006932E9">
        <w:rPr>
          <w:rFonts w:ascii="Book Antiqua" w:eastAsia="Times New Roman" w:hAnsi="Book Antiqua"/>
          <w:sz w:val="24"/>
          <w:szCs w:val="20"/>
          <w:lang w:val="es-ES"/>
        </w:rPr>
        <w:tab/>
        <w:t xml:space="preserve">                  Ordinaria</w:t>
      </w:r>
    </w:p>
    <w:p w14:paraId="2C5F2AEA" w14:textId="77777777" w:rsidR="009F031E" w:rsidRPr="006932E9" w:rsidRDefault="009F031E" w:rsidP="00071D16">
      <w:pPr>
        <w:spacing w:after="0" w:line="240" w:lineRule="auto"/>
        <w:rPr>
          <w:rFonts w:ascii="Book Antiqua" w:eastAsia="Times New Roman" w:hAnsi="Book Antiqua"/>
          <w:sz w:val="24"/>
          <w:szCs w:val="20"/>
          <w:lang w:val="es-ES"/>
        </w:rPr>
      </w:pPr>
    </w:p>
    <w:p w14:paraId="59FE0B21" w14:textId="77777777" w:rsidR="009F031E" w:rsidRDefault="009F031E" w:rsidP="00071D16">
      <w:pPr>
        <w:widowControl w:val="0"/>
        <w:suppressLineNumbers/>
        <w:spacing w:after="0" w:line="240" w:lineRule="auto"/>
        <w:jc w:val="center"/>
        <w:rPr>
          <w:rFonts w:ascii="Book Antiqua" w:eastAsia="Book Antiqua" w:hAnsi="Book Antiqua"/>
          <w:b/>
          <w:sz w:val="36"/>
          <w:szCs w:val="24"/>
          <w:lang w:val="es-PR"/>
        </w:rPr>
      </w:pPr>
      <w:r>
        <w:rPr>
          <w:rFonts w:ascii="Book Antiqua" w:eastAsia="Times New Roman" w:hAnsi="Book Antiqua"/>
          <w:b/>
          <w:sz w:val="36"/>
          <w:szCs w:val="24"/>
          <w:lang w:val="es-PR"/>
        </w:rPr>
        <w:t>CÁMARA DE REPRESENTANTES</w:t>
      </w:r>
    </w:p>
    <w:p w14:paraId="01FDCCB4" w14:textId="77777777" w:rsidR="009F031E" w:rsidRDefault="009F031E" w:rsidP="00071D16">
      <w:pPr>
        <w:widowControl w:val="0"/>
        <w:suppressLineNumbers/>
        <w:spacing w:after="0" w:line="240" w:lineRule="auto"/>
        <w:jc w:val="center"/>
        <w:rPr>
          <w:rFonts w:ascii="Book Antiqua" w:eastAsia="Book Antiqua" w:hAnsi="Book Antiqua" w:cs="Book Antiqua"/>
          <w:noProof/>
          <w:sz w:val="24"/>
          <w:szCs w:val="24"/>
          <w:lang w:val="es-PR"/>
        </w:rPr>
      </w:pPr>
    </w:p>
    <w:p w14:paraId="00A2D575" w14:textId="3AB253AB" w:rsidR="009F031E" w:rsidRDefault="009F031E" w:rsidP="00071D16">
      <w:pPr>
        <w:widowControl w:val="0"/>
        <w:suppressLineNumbers/>
        <w:spacing w:after="0" w:line="240" w:lineRule="auto"/>
        <w:jc w:val="center"/>
        <w:rPr>
          <w:rFonts w:ascii="Book Antiqua" w:eastAsia="Book Antiqua" w:hAnsi="Book Antiqua"/>
          <w:b/>
          <w:sz w:val="52"/>
          <w:szCs w:val="24"/>
          <w:lang w:val="es-PR"/>
        </w:rPr>
      </w:pPr>
      <w:r>
        <w:rPr>
          <w:rFonts w:ascii="Book Antiqua" w:eastAsia="Times New Roman" w:hAnsi="Book Antiqua"/>
          <w:b/>
          <w:sz w:val="52"/>
          <w:szCs w:val="24"/>
          <w:lang w:val="es-PR"/>
        </w:rPr>
        <w:t xml:space="preserve">P. de la C. </w:t>
      </w:r>
      <w:r w:rsidR="006932E9">
        <w:rPr>
          <w:rFonts w:ascii="Book Antiqua" w:eastAsia="Times New Roman" w:hAnsi="Book Antiqua"/>
          <w:b/>
          <w:sz w:val="52"/>
          <w:szCs w:val="24"/>
          <w:lang w:val="es-PR"/>
        </w:rPr>
        <w:t>14</w:t>
      </w:r>
    </w:p>
    <w:p w14:paraId="01E3A89A" w14:textId="77777777" w:rsidR="009F031E" w:rsidRDefault="009F031E" w:rsidP="00071D16">
      <w:pPr>
        <w:widowControl w:val="0"/>
        <w:suppressLineNumbers/>
        <w:spacing w:after="0" w:line="240" w:lineRule="auto"/>
        <w:jc w:val="center"/>
        <w:rPr>
          <w:rFonts w:ascii="Book Antiqua" w:eastAsia="Book Antiqua" w:hAnsi="Book Antiqua" w:cs="Book Antiqua"/>
          <w:noProof/>
          <w:sz w:val="24"/>
          <w:szCs w:val="24"/>
          <w:lang w:val="es-PR"/>
        </w:rPr>
      </w:pPr>
    </w:p>
    <w:p w14:paraId="15C7BDCF" w14:textId="04557701" w:rsidR="009F031E" w:rsidRDefault="006932E9" w:rsidP="00071D16">
      <w:pPr>
        <w:widowControl w:val="0"/>
        <w:suppressLineNumbers/>
        <w:tabs>
          <w:tab w:val="left" w:pos="8186"/>
        </w:tabs>
        <w:spacing w:after="0" w:line="240" w:lineRule="auto"/>
        <w:jc w:val="center"/>
        <w:rPr>
          <w:rFonts w:ascii="Book Antiqua" w:eastAsia="Book Antiqua" w:hAnsi="Book Antiqua" w:cs="Book Antiqua"/>
          <w:noProof/>
          <w:sz w:val="24"/>
          <w:szCs w:val="24"/>
          <w:lang w:val="es-PR"/>
        </w:rPr>
      </w:pPr>
      <w:r>
        <w:rPr>
          <w:rFonts w:ascii="Book Antiqua" w:eastAsia="Times New Roman" w:hAnsi="Book Antiqua"/>
          <w:noProof/>
          <w:sz w:val="24"/>
          <w:szCs w:val="24"/>
          <w:lang w:val="es-PR"/>
        </w:rPr>
        <w:t xml:space="preserve">2 </w:t>
      </w:r>
      <w:r w:rsidR="009F031E">
        <w:rPr>
          <w:rFonts w:ascii="Book Antiqua" w:eastAsia="Times New Roman" w:hAnsi="Book Antiqua"/>
          <w:noProof/>
          <w:sz w:val="24"/>
          <w:szCs w:val="24"/>
          <w:lang w:val="es-PR"/>
        </w:rPr>
        <w:t>DE ENERO DE 2025</w:t>
      </w:r>
    </w:p>
    <w:p w14:paraId="2AC978D0" w14:textId="77777777" w:rsidR="009F031E" w:rsidRDefault="009F031E" w:rsidP="00071D16">
      <w:pPr>
        <w:widowControl w:val="0"/>
        <w:suppressLineNumbers/>
        <w:spacing w:after="0" w:line="240" w:lineRule="auto"/>
        <w:jc w:val="center"/>
        <w:rPr>
          <w:rFonts w:ascii="Book Antiqua" w:eastAsia="Book Antiqua" w:hAnsi="Book Antiqua" w:cs="Book Antiqua"/>
          <w:i/>
          <w:iCs/>
          <w:noProof/>
          <w:sz w:val="24"/>
          <w:szCs w:val="24"/>
          <w:lang w:val="es-PR"/>
        </w:rPr>
      </w:pPr>
    </w:p>
    <w:p w14:paraId="0E2C9299" w14:textId="77777777" w:rsidR="009F031E" w:rsidRDefault="009F031E" w:rsidP="00152DB5">
      <w:pPr>
        <w:suppressLineNumbers/>
        <w:spacing w:after="0" w:line="240" w:lineRule="auto"/>
        <w:jc w:val="center"/>
        <w:rPr>
          <w:rFonts w:ascii="Book Antiqua" w:hAnsi="Book Antiqua"/>
          <w:i/>
          <w:iCs/>
          <w:color w:val="1D2228"/>
          <w:sz w:val="24"/>
          <w:szCs w:val="24"/>
          <w:shd w:val="clear" w:color="auto" w:fill="FFFFFF"/>
          <w:lang w:val="es-PR"/>
        </w:rPr>
      </w:pPr>
      <w:r>
        <w:rPr>
          <w:rFonts w:ascii="Book Antiqua" w:hAnsi="Book Antiqua"/>
          <w:color w:val="1D2228"/>
          <w:sz w:val="24"/>
          <w:szCs w:val="24"/>
          <w:shd w:val="clear" w:color="auto" w:fill="FFFFFF"/>
          <w:lang w:val="es-PR"/>
        </w:rPr>
        <w:t xml:space="preserve">Presentado por el representante </w:t>
      </w:r>
      <w:r>
        <w:rPr>
          <w:rFonts w:ascii="Book Antiqua" w:hAnsi="Book Antiqua"/>
          <w:i/>
          <w:iCs/>
          <w:color w:val="1D2228"/>
          <w:sz w:val="24"/>
          <w:szCs w:val="24"/>
          <w:shd w:val="clear" w:color="auto" w:fill="FFFFFF"/>
          <w:lang w:val="es-PR"/>
        </w:rPr>
        <w:t>Méndez Núñez</w:t>
      </w:r>
    </w:p>
    <w:p w14:paraId="5F00A4C3" w14:textId="77777777" w:rsidR="009F031E" w:rsidRDefault="009F031E" w:rsidP="00152DB5">
      <w:pPr>
        <w:suppressLineNumbers/>
        <w:spacing w:after="0" w:line="240" w:lineRule="auto"/>
        <w:jc w:val="center"/>
        <w:rPr>
          <w:rFonts w:ascii="Book Antiqua" w:eastAsia="Times New Roman" w:hAnsi="Book Antiqua"/>
          <w:sz w:val="24"/>
          <w:szCs w:val="20"/>
          <w:lang w:val="es-PR"/>
        </w:rPr>
      </w:pPr>
    </w:p>
    <w:p w14:paraId="36BDBAFC" w14:textId="41F11811" w:rsidR="009F031E" w:rsidRDefault="009F031E" w:rsidP="00152DB5">
      <w:pPr>
        <w:suppressLineNumbers/>
        <w:spacing w:after="0" w:line="240" w:lineRule="auto"/>
        <w:jc w:val="center"/>
        <w:rPr>
          <w:rFonts w:ascii="Book Antiqua" w:eastAsia="Times New Roman" w:hAnsi="Book Antiqua"/>
          <w:sz w:val="24"/>
          <w:szCs w:val="20"/>
          <w:lang w:val="es-PR"/>
        </w:rPr>
      </w:pPr>
      <w:r>
        <w:rPr>
          <w:rFonts w:ascii="Book Antiqua" w:eastAsia="Times New Roman" w:hAnsi="Book Antiqua"/>
          <w:sz w:val="24"/>
          <w:szCs w:val="20"/>
          <w:lang w:val="es-PR"/>
        </w:rPr>
        <w:t xml:space="preserve">Referido a </w:t>
      </w:r>
      <w:r w:rsidR="006932E9">
        <w:rPr>
          <w:rFonts w:ascii="Book Antiqua" w:eastAsia="Times New Roman" w:hAnsi="Book Antiqua"/>
          <w:sz w:val="24"/>
          <w:szCs w:val="20"/>
          <w:lang w:val="es-PR"/>
        </w:rPr>
        <w:t>la Comisión de Salud</w:t>
      </w:r>
    </w:p>
    <w:p w14:paraId="27BB2FD6" w14:textId="77777777" w:rsidR="009F031E" w:rsidRPr="006932E9" w:rsidRDefault="009F031E" w:rsidP="00152DB5">
      <w:pPr>
        <w:spacing w:after="0" w:line="240" w:lineRule="auto"/>
        <w:jc w:val="center"/>
        <w:rPr>
          <w:rFonts w:ascii="Book Antiqua" w:eastAsia="Times New Roman" w:hAnsi="Book Antiqua"/>
          <w:b/>
          <w:sz w:val="24"/>
          <w:szCs w:val="18"/>
          <w:lang w:val="es-PR"/>
        </w:rPr>
      </w:pPr>
    </w:p>
    <w:p w14:paraId="5326F9DC" w14:textId="77777777" w:rsidR="009F031E" w:rsidRDefault="009F031E" w:rsidP="00071D16">
      <w:pPr>
        <w:spacing w:after="0" w:line="240" w:lineRule="auto"/>
        <w:jc w:val="center"/>
        <w:rPr>
          <w:rFonts w:ascii="Book Antiqua" w:eastAsia="Times New Roman" w:hAnsi="Book Antiqua"/>
          <w:b/>
          <w:sz w:val="28"/>
          <w:szCs w:val="20"/>
          <w:lang w:val="es-PR"/>
        </w:rPr>
      </w:pPr>
      <w:r>
        <w:rPr>
          <w:rFonts w:ascii="Book Antiqua" w:eastAsia="Times New Roman" w:hAnsi="Book Antiqua"/>
          <w:b/>
          <w:sz w:val="28"/>
          <w:szCs w:val="20"/>
          <w:lang w:val="es-PR"/>
        </w:rPr>
        <w:t>LEY</w:t>
      </w:r>
    </w:p>
    <w:p w14:paraId="194C53F3" w14:textId="77777777" w:rsidR="009F031E" w:rsidRPr="00071D16" w:rsidRDefault="009F031E" w:rsidP="00071D16">
      <w:pPr>
        <w:spacing w:after="0" w:line="240" w:lineRule="auto"/>
        <w:jc w:val="center"/>
        <w:rPr>
          <w:rFonts w:ascii="Book Antiqua" w:eastAsia="Times New Roman" w:hAnsi="Book Antiqua"/>
          <w:b/>
          <w:sz w:val="24"/>
          <w:szCs w:val="24"/>
          <w:lang w:val="es-PR"/>
        </w:rPr>
      </w:pPr>
    </w:p>
    <w:p w14:paraId="203D61C1" w14:textId="195CEA53" w:rsidR="009F031E" w:rsidRDefault="009F031E" w:rsidP="00071D16">
      <w:pPr>
        <w:suppressLineNumbers/>
        <w:spacing w:after="0" w:line="240" w:lineRule="auto"/>
        <w:ind w:hanging="540"/>
        <w:jc w:val="both"/>
        <w:rPr>
          <w:rFonts w:ascii="Book Antiqua" w:hAnsi="Book Antiqua"/>
          <w:sz w:val="24"/>
          <w:szCs w:val="24"/>
          <w:lang w:val="es-PR"/>
        </w:rPr>
      </w:pPr>
      <w:r>
        <w:rPr>
          <w:rFonts w:ascii="Book Antiqua" w:hAnsi="Book Antiqua"/>
          <w:sz w:val="24"/>
          <w:szCs w:val="24"/>
          <w:lang w:val="es-PR"/>
        </w:rPr>
        <w:t>Para enmendar los Artículos 1, 2, 3, 4, 5 y 9;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w:t>
      </w:r>
    </w:p>
    <w:p w14:paraId="6DDBDFBC" w14:textId="77777777" w:rsidR="009F031E" w:rsidRDefault="009F031E" w:rsidP="00071D16">
      <w:pPr>
        <w:spacing w:after="0" w:line="240" w:lineRule="auto"/>
        <w:ind w:hanging="360"/>
        <w:jc w:val="both"/>
        <w:rPr>
          <w:rFonts w:ascii="Book Antiqua" w:hAnsi="Book Antiqua"/>
          <w:sz w:val="24"/>
          <w:szCs w:val="24"/>
          <w:lang w:val="es-PR"/>
        </w:rPr>
      </w:pPr>
    </w:p>
    <w:p w14:paraId="27231919" w14:textId="77777777" w:rsidR="009F031E" w:rsidRDefault="009F031E" w:rsidP="00071D16">
      <w:pPr>
        <w:spacing w:after="0" w:line="240" w:lineRule="auto"/>
        <w:jc w:val="center"/>
        <w:rPr>
          <w:rFonts w:ascii="Book Antiqua" w:hAnsi="Book Antiqua"/>
          <w:sz w:val="24"/>
          <w:szCs w:val="24"/>
          <w:lang w:val="es-PR"/>
        </w:rPr>
      </w:pPr>
      <w:r w:rsidRPr="006932E9">
        <w:rPr>
          <w:rFonts w:ascii="Book Antiqua" w:hAnsi="Book Antiqua"/>
          <w:sz w:val="24"/>
          <w:szCs w:val="24"/>
          <w:lang w:val="es-PR"/>
        </w:rPr>
        <w:t>EXPOSICIÓN DE MOTIVOS</w:t>
      </w:r>
    </w:p>
    <w:p w14:paraId="285ED87E" w14:textId="77777777" w:rsidR="006932E9" w:rsidRPr="006932E9" w:rsidRDefault="006932E9" w:rsidP="00071D16">
      <w:pPr>
        <w:spacing w:after="0" w:line="240" w:lineRule="auto"/>
        <w:jc w:val="center"/>
        <w:rPr>
          <w:rFonts w:ascii="Book Antiqua" w:hAnsi="Book Antiqua"/>
          <w:sz w:val="24"/>
          <w:szCs w:val="24"/>
          <w:lang w:val="es-PR"/>
        </w:rPr>
      </w:pPr>
    </w:p>
    <w:p w14:paraId="088699D8" w14:textId="77777777" w:rsidR="009F031E" w:rsidRPr="00071D16" w:rsidRDefault="009F031E" w:rsidP="00071D16">
      <w:pPr>
        <w:suppressLineNumbers/>
        <w:spacing w:after="0" w:line="240" w:lineRule="auto"/>
        <w:ind w:firstLine="720"/>
        <w:jc w:val="both"/>
        <w:rPr>
          <w:rFonts w:ascii="Book Antiqua" w:hAnsi="Book Antiqua"/>
          <w:color w:val="000000"/>
          <w:sz w:val="24"/>
          <w:szCs w:val="24"/>
          <w:lang w:val="es-PR"/>
        </w:rPr>
      </w:pPr>
      <w:r w:rsidRPr="00071D16">
        <w:rPr>
          <w:rFonts w:ascii="Book Antiqua" w:hAnsi="Book Antiqua"/>
          <w:color w:val="000000"/>
          <w:sz w:val="24"/>
          <w:szCs w:val="24"/>
          <w:lang w:val="es-PR"/>
        </w:rPr>
        <w:t>Con el fin de garantizar un trato digno y libre de discrimen a las personas viviendo con VIH en cualquiera de sus etapas, se aprobó la Ley 248-2018.  Mediante la referida Ley se estableció la “Carta de Derechos de las Personas Viviendo con VIH en cualquiera de sus etapas en Puerto Rico”.  De esta manera se procuraba garantizar la solidaridad necesaria para evitar el discrimen, estigma, exclusión social y prejuicio.  Además, esta Ley garantiza calidad de servicios y de tratamiento médico en personas viviendo con el Virus de Inmunodeficiencia Humana (VIH) en cualquiera de sus etapas.</w:t>
      </w:r>
    </w:p>
    <w:p w14:paraId="56DCAD82" w14:textId="77777777" w:rsidR="006932E9" w:rsidRPr="00071D16" w:rsidRDefault="006932E9" w:rsidP="00071D16">
      <w:pPr>
        <w:suppressLineNumbers/>
        <w:spacing w:after="0" w:line="240" w:lineRule="auto"/>
        <w:ind w:firstLine="720"/>
        <w:jc w:val="both"/>
        <w:rPr>
          <w:rFonts w:ascii="Book Antiqua" w:hAnsi="Book Antiqua"/>
          <w:color w:val="000000"/>
          <w:sz w:val="24"/>
          <w:szCs w:val="24"/>
          <w:lang w:val="es-PR"/>
        </w:rPr>
      </w:pPr>
    </w:p>
    <w:p w14:paraId="2EC8AB11" w14:textId="0CFC0E33" w:rsidR="009F031E" w:rsidRPr="00071D16" w:rsidRDefault="009F031E" w:rsidP="00071D16">
      <w:pPr>
        <w:suppressLineNumbers/>
        <w:spacing w:after="0" w:line="240" w:lineRule="auto"/>
        <w:ind w:firstLine="720"/>
        <w:jc w:val="both"/>
        <w:rPr>
          <w:rFonts w:ascii="Book Antiqua" w:hAnsi="Book Antiqua"/>
          <w:color w:val="000000"/>
          <w:sz w:val="24"/>
          <w:szCs w:val="24"/>
          <w:lang w:val="es-PR"/>
        </w:rPr>
      </w:pPr>
      <w:r w:rsidRPr="00071D16">
        <w:rPr>
          <w:rFonts w:ascii="Book Antiqua" w:hAnsi="Book Antiqua"/>
          <w:color w:val="000000"/>
          <w:sz w:val="24"/>
          <w:szCs w:val="24"/>
          <w:lang w:val="es-PR"/>
        </w:rPr>
        <w:t xml:space="preserve">Históricamente, las personas con diagnóstico positivo a VIH han sido expuestas al discrimen y el estigma debido a su condición.  Esto contraviene sus derechos constitucionales, principalmente la Sección 1 del Artículo II de la Constitución del Estado Libre Asociado de Puerto Rico que decreta que: “La dignidad del ser humano es </w:t>
      </w:r>
      <w:r w:rsidRPr="00071D16">
        <w:rPr>
          <w:rFonts w:ascii="Book Antiqua" w:hAnsi="Book Antiqua"/>
          <w:color w:val="000000"/>
          <w:sz w:val="24"/>
          <w:szCs w:val="24"/>
          <w:lang w:val="es-PR"/>
        </w:rPr>
        <w:lastRenderedPageBreak/>
        <w:t>inviolable. Todos los [seres humanos] son iguales ante la Ley.”  En aras de proteger los derechos de las personas con diagnóstico positivo a VIH, el Gobierno de Puerto Rico aprobó la Carta de Derechos y se comprometió a garantizar los mismos.</w:t>
      </w:r>
    </w:p>
    <w:p w14:paraId="16204539" w14:textId="77777777" w:rsidR="006932E9" w:rsidRPr="00071D16" w:rsidRDefault="006932E9" w:rsidP="00071D16">
      <w:pPr>
        <w:suppressLineNumbers/>
        <w:spacing w:after="0" w:line="240" w:lineRule="auto"/>
        <w:ind w:firstLine="720"/>
        <w:jc w:val="both"/>
        <w:rPr>
          <w:rFonts w:ascii="Book Antiqua" w:hAnsi="Book Antiqua"/>
          <w:color w:val="000000"/>
          <w:sz w:val="24"/>
          <w:szCs w:val="24"/>
          <w:lang w:val="es-PR"/>
        </w:rPr>
      </w:pPr>
    </w:p>
    <w:p w14:paraId="03084B4D" w14:textId="6EFC409E" w:rsidR="006932E9" w:rsidRPr="00071D16" w:rsidRDefault="009F031E" w:rsidP="00071D16">
      <w:pPr>
        <w:suppressLineNumbers/>
        <w:spacing w:after="0" w:line="240" w:lineRule="auto"/>
        <w:ind w:firstLine="720"/>
        <w:jc w:val="both"/>
        <w:rPr>
          <w:rFonts w:ascii="Book Antiqua" w:hAnsi="Book Antiqua"/>
          <w:color w:val="000000"/>
          <w:sz w:val="24"/>
          <w:szCs w:val="24"/>
          <w:lang w:val="es-PR"/>
        </w:rPr>
      </w:pPr>
      <w:r w:rsidRPr="00071D16">
        <w:rPr>
          <w:rFonts w:ascii="Book Antiqua" w:hAnsi="Book Antiqua"/>
          <w:color w:val="000000"/>
          <w:sz w:val="24"/>
          <w:szCs w:val="24"/>
          <w:lang w:val="es-PR"/>
        </w:rPr>
        <w:t xml:space="preserve">Uno de los propósitos principales de esta Carta de Derechos es terminar con el discrimen y la estigmatización a las cuales han sido sometidas las personas con diagnóstico positivo a VIH.  Sin embargo, a pesar de que la Ley 248-2018 fue producto de un esfuerzo loable para modernizar la Carta de Derechos, la misma puede ser mejorada. Al presente, las personas con diagnóstico positivo a VIH en cualquiera de sus etapas continúan siendo vulnerabilizadas por algunos sectores de nuestra sociedad aun cuando deben gozar de todos los derechos humanos.  Asimismo, debido a que en algunas instancias el lenguaje de la Ley 248-2018 puede resultar estigmatizante, se modifican algunos conceptos. Bajo esta nueva ley se sustituyen conceptos, tales como la expresión “viviendo con VIH” la cual </w:t>
      </w:r>
      <w:r w:rsidR="00477E49" w:rsidRPr="00071D16">
        <w:rPr>
          <w:rFonts w:ascii="Book Antiqua" w:hAnsi="Book Antiqua"/>
          <w:color w:val="000000"/>
          <w:sz w:val="24"/>
          <w:szCs w:val="24"/>
          <w:lang w:val="es-PR"/>
        </w:rPr>
        <w:t xml:space="preserve">es </w:t>
      </w:r>
      <w:r w:rsidRPr="00071D16">
        <w:rPr>
          <w:rFonts w:ascii="Book Antiqua" w:hAnsi="Book Antiqua"/>
          <w:color w:val="000000"/>
          <w:sz w:val="24"/>
          <w:szCs w:val="24"/>
          <w:lang w:val="es-PR"/>
        </w:rPr>
        <w:t>considerada discriminatoria y se sustituye por “con diagnóstico positivo a VIH”.</w:t>
      </w:r>
    </w:p>
    <w:p w14:paraId="63577C79" w14:textId="32BC7604" w:rsidR="009F031E" w:rsidRPr="00071D16" w:rsidRDefault="009F031E" w:rsidP="00071D16">
      <w:pPr>
        <w:suppressLineNumbers/>
        <w:spacing w:after="0" w:line="240" w:lineRule="auto"/>
        <w:ind w:firstLine="720"/>
        <w:jc w:val="both"/>
        <w:rPr>
          <w:rFonts w:ascii="Book Antiqua" w:hAnsi="Book Antiqua"/>
          <w:color w:val="000000"/>
          <w:sz w:val="24"/>
          <w:szCs w:val="24"/>
          <w:lang w:val="es-PR"/>
        </w:rPr>
      </w:pPr>
      <w:r w:rsidRPr="00071D16">
        <w:rPr>
          <w:rFonts w:ascii="Book Antiqua" w:hAnsi="Book Antiqua"/>
          <w:color w:val="000000"/>
          <w:sz w:val="24"/>
          <w:szCs w:val="24"/>
          <w:lang w:val="es-PR"/>
        </w:rPr>
        <w:t xml:space="preserve"> </w:t>
      </w:r>
    </w:p>
    <w:p w14:paraId="2E4F0ADF" w14:textId="77777777" w:rsidR="009F031E" w:rsidRPr="00071D16" w:rsidRDefault="009F031E" w:rsidP="00071D16">
      <w:pPr>
        <w:suppressLineNumbers/>
        <w:spacing w:after="0" w:line="240" w:lineRule="auto"/>
        <w:ind w:firstLine="720"/>
        <w:jc w:val="both"/>
        <w:rPr>
          <w:rFonts w:ascii="Book Antiqua" w:hAnsi="Book Antiqua"/>
          <w:color w:val="000000"/>
          <w:sz w:val="24"/>
          <w:szCs w:val="24"/>
          <w:lang w:val="es-PR"/>
        </w:rPr>
      </w:pPr>
      <w:r w:rsidRPr="00071D16">
        <w:rPr>
          <w:rFonts w:ascii="Book Antiqua" w:hAnsi="Book Antiqua"/>
          <w:color w:val="000000"/>
          <w:sz w:val="24"/>
          <w:szCs w:val="24"/>
          <w:lang w:val="es-PR"/>
        </w:rPr>
        <w:t xml:space="preserve">Además, se utiliza un lenguaje más práctico para la protección de los derechos de las personas con diagnóstico positivo a VIH.  El fin es que estos derechos puedan hacerse valer adecuadamente.  De otra parte, se aclaran las responsabilidades del Departamento de Salud (DS) establecidas en la Ley 248-2018. Así, se podrá evitar malentendidos, salvaguardando los derechos de las personas y proveyendo unos parámetros más claros y objetivos. </w:t>
      </w:r>
    </w:p>
    <w:p w14:paraId="7806AA34" w14:textId="77777777" w:rsidR="006932E9" w:rsidRPr="00071D16" w:rsidRDefault="006932E9" w:rsidP="00071D16">
      <w:pPr>
        <w:suppressLineNumbers/>
        <w:spacing w:after="0" w:line="240" w:lineRule="auto"/>
        <w:ind w:firstLine="720"/>
        <w:jc w:val="both"/>
        <w:rPr>
          <w:rFonts w:ascii="Book Antiqua" w:hAnsi="Book Antiqua"/>
          <w:color w:val="000000"/>
          <w:sz w:val="24"/>
          <w:szCs w:val="24"/>
          <w:lang w:val="es-PR"/>
        </w:rPr>
      </w:pPr>
    </w:p>
    <w:p w14:paraId="2960C97B" w14:textId="705BCB85" w:rsidR="009F031E" w:rsidRPr="00071D16" w:rsidRDefault="009F031E" w:rsidP="00071D16">
      <w:pPr>
        <w:suppressLineNumbers/>
        <w:spacing w:after="0" w:line="240" w:lineRule="auto"/>
        <w:ind w:firstLine="720"/>
        <w:jc w:val="both"/>
        <w:rPr>
          <w:rFonts w:ascii="Book Antiqua" w:hAnsi="Book Antiqua"/>
          <w:sz w:val="24"/>
          <w:szCs w:val="24"/>
          <w:lang w:val="es-PR"/>
        </w:rPr>
      </w:pPr>
      <w:r w:rsidRPr="00071D16">
        <w:rPr>
          <w:rFonts w:ascii="Book Antiqua" w:hAnsi="Book Antiqua"/>
          <w:color w:val="000000"/>
          <w:sz w:val="24"/>
          <w:szCs w:val="24"/>
          <w:lang w:val="es-PR"/>
        </w:rPr>
        <w:t xml:space="preserve">En vista de lo anterior, esta Asamblea Legislativa entiende es meritorio enmendar la Carta de Derechos de las Personas con diagnóstico positivo a VIH con el fin de optimizarla al sustituir conceptos que pueden ser estigmatizantes; añadir el Artículo 2A con definiciones de conceptos relevantes; clarificar el lenguaje de algunas disposiciones sobre los derechos de las personas con diagnóstico positivo a VIH.   Con esta enmienda se les brinda un mejor trato a las personas con diagnóstico positivo a VIH y se contribuye a proteger su dignidad. </w:t>
      </w:r>
      <w:r w:rsidRPr="00071D16">
        <w:rPr>
          <w:rFonts w:ascii="Book Antiqua" w:hAnsi="Book Antiqua"/>
          <w:sz w:val="24"/>
          <w:szCs w:val="24"/>
          <w:lang w:val="es-PR"/>
        </w:rPr>
        <w:t xml:space="preserve"> </w:t>
      </w:r>
    </w:p>
    <w:p w14:paraId="011E3D91" w14:textId="77777777" w:rsidR="009F031E" w:rsidRDefault="009F031E" w:rsidP="006932E9">
      <w:pPr>
        <w:suppressLineNumbers/>
        <w:spacing w:after="0" w:line="240" w:lineRule="auto"/>
        <w:ind w:firstLine="720"/>
        <w:jc w:val="both"/>
        <w:rPr>
          <w:rFonts w:ascii="Book Antiqua" w:hAnsi="Book Antiqua"/>
          <w:sz w:val="24"/>
          <w:szCs w:val="24"/>
          <w:lang w:val="es-PR"/>
        </w:rPr>
      </w:pPr>
    </w:p>
    <w:p w14:paraId="002C9AE7" w14:textId="77777777" w:rsidR="009F031E" w:rsidRDefault="009F031E" w:rsidP="00071D16">
      <w:pPr>
        <w:shd w:val="clear" w:color="auto" w:fill="FFFFFF"/>
        <w:spacing w:after="0" w:line="480" w:lineRule="auto"/>
        <w:jc w:val="both"/>
        <w:rPr>
          <w:rFonts w:ascii="Book Antiqua" w:eastAsia="Times New Roman" w:hAnsi="Book Antiqua"/>
          <w:b/>
          <w:color w:val="000000"/>
          <w:sz w:val="24"/>
          <w:szCs w:val="24"/>
          <w:lang w:val="es-PR"/>
        </w:rPr>
      </w:pPr>
      <w:r>
        <w:rPr>
          <w:rFonts w:ascii="Book Antiqua" w:eastAsia="Times New Roman" w:hAnsi="Book Antiqua"/>
          <w:bCs/>
          <w:i/>
          <w:color w:val="000000"/>
          <w:sz w:val="24"/>
          <w:szCs w:val="24"/>
          <w:lang w:val="es-PR"/>
        </w:rPr>
        <w:t>DECRÉTASE POR LA ASAMBLEA LEGISLATIVA DEL PUERTO RICO</w:t>
      </w:r>
      <w:r>
        <w:rPr>
          <w:rFonts w:ascii="Book Antiqua" w:eastAsia="Times New Roman" w:hAnsi="Book Antiqua"/>
          <w:b/>
          <w:iCs/>
          <w:color w:val="000000"/>
          <w:sz w:val="24"/>
          <w:szCs w:val="24"/>
          <w:lang w:val="es-PR"/>
        </w:rPr>
        <w:t xml:space="preserve">: </w:t>
      </w:r>
    </w:p>
    <w:p w14:paraId="4A3F3E60" w14:textId="77777777" w:rsidR="009F031E" w:rsidRDefault="009F031E" w:rsidP="00071D16">
      <w:pPr>
        <w:spacing w:after="0" w:line="480" w:lineRule="auto"/>
        <w:rPr>
          <w:rFonts w:ascii="Book Antiqua" w:eastAsia="Times New Roman" w:hAnsi="Book Antiqua"/>
          <w:color w:val="000000"/>
          <w:sz w:val="24"/>
          <w:szCs w:val="24"/>
          <w:lang w:val="es-PR"/>
        </w:rPr>
        <w:sectPr w:rsidR="009F031E">
          <w:headerReference w:type="default" r:id="rId7"/>
          <w:footerReference w:type="default" r:id="rId8"/>
          <w:pgSz w:w="12240" w:h="15840"/>
          <w:pgMar w:top="1440" w:right="1440" w:bottom="1440" w:left="1440" w:header="720" w:footer="720" w:gutter="0"/>
          <w:cols w:space="720"/>
          <w:titlePg/>
          <w:docGrid w:linePitch="360"/>
        </w:sectPr>
      </w:pPr>
    </w:p>
    <w:p w14:paraId="7748BF86" w14:textId="642DAB11"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1.- Se enmienda el Artículo 1 de la Ley 248-2018 para que lea como sigue:</w:t>
      </w:r>
    </w:p>
    <w:p w14:paraId="3CE87988" w14:textId="76E04565"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“Artículo 1. - Esta Ley se conocerá como “Carta de Derechos de las Personas con diagnóstico positivo a VIH en cualquiera de sus etapas en Puerto Rico.”</w:t>
      </w:r>
    </w:p>
    <w:p w14:paraId="1E8A80C9"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2. - Se enmienda el inciso (c) del Artículo 2 de la Ley 248-2018, para que lea como sigue:</w:t>
      </w:r>
    </w:p>
    <w:p w14:paraId="427B715E"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lastRenderedPageBreak/>
        <w:t xml:space="preserve">“Artículo 2.- Política Pública </w:t>
      </w:r>
    </w:p>
    <w:p w14:paraId="14B8EE87" w14:textId="47CD6AE5"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El Gobierno de Puerto Rico reconoce su responsabilidad de proveer, hasta donde sus medios y recursos lo hagan factible, las condiciones adecuadas que promuevan en las personas con diagnóstico positivo a VIH en cualquiera de sus etapas el goce de una vida plena y el disfrute de sus derechos naturales humanos y legales.  Por lo tanto, se declara política pública el garantizar a las personas con diagnóstico positivo a VIH en cualquiera de sus etapas: </w:t>
      </w:r>
    </w:p>
    <w:p w14:paraId="15A3808B"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a) …</w:t>
      </w:r>
    </w:p>
    <w:p w14:paraId="3C87239F"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b) … </w:t>
      </w:r>
    </w:p>
    <w:p w14:paraId="276E5D69" w14:textId="3B203902"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c) Facilitar el acceso a ingresar a una institución hospitalaria o de cuidado prolongado a las personas con diagnóstico positivo a VIH que se encuentren en etapa terminal cuando medie la recomendación clínica. </w:t>
      </w:r>
    </w:p>
    <w:p w14:paraId="50024608"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d) …”</w:t>
      </w:r>
    </w:p>
    <w:p w14:paraId="0245864A"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3. - Se añade un nuevo Artículo 2A a la Ley 248-2018 que lea como sigue:</w:t>
      </w:r>
    </w:p>
    <w:p w14:paraId="403D6F25"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“Artículo 2A.- Definiciones.</w:t>
      </w:r>
    </w:p>
    <w:p w14:paraId="0FDDA302"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Para propósitos de esta ley, se utilizarán las siguientes definiciones basadas en las definiciones del National Institute of Health (NIH) y del Departamento de Salud y Servicios Humanos de Estados Unidos (HHS, por sus siglas en inglés):</w:t>
      </w:r>
    </w:p>
    <w:p w14:paraId="44C32F8F" w14:textId="77777777" w:rsidR="009F031E" w:rsidRPr="00071D16" w:rsidRDefault="009F031E" w:rsidP="00071D16">
      <w:pPr>
        <w:numPr>
          <w:ilvl w:val="0"/>
          <w:numId w:val="2"/>
        </w:numPr>
        <w:spacing w:after="0" w:line="480" w:lineRule="auto"/>
        <w:ind w:left="720"/>
        <w:contextualSpacing/>
        <w:jc w:val="both"/>
        <w:rPr>
          <w:rFonts w:ascii="Book Antiqua" w:hAnsi="Book Antiqua"/>
          <w:sz w:val="24"/>
          <w:szCs w:val="24"/>
          <w:lang w:val="es-PR"/>
        </w:rPr>
      </w:pPr>
      <w:r w:rsidRPr="00071D16">
        <w:rPr>
          <w:rFonts w:ascii="Book Antiqua" w:hAnsi="Book Antiqua"/>
          <w:bCs/>
          <w:sz w:val="24"/>
          <w:szCs w:val="24"/>
          <w:lang w:val="es-PR"/>
        </w:rPr>
        <w:t xml:space="preserve">Medicamentos antirretrovirales - </w:t>
      </w:r>
      <w:r w:rsidRPr="00071D16">
        <w:rPr>
          <w:rFonts w:ascii="Book Antiqua" w:hAnsi="Book Antiqua"/>
          <w:sz w:val="24"/>
          <w:szCs w:val="24"/>
          <w:lang w:val="es-PR"/>
        </w:rPr>
        <w:t xml:space="preserve">medicamento empleado para impedir la replicación de un retrovirus, como el VIH. </w:t>
      </w:r>
    </w:p>
    <w:p w14:paraId="0F0464C2" w14:textId="0EF33E1C" w:rsidR="009F031E" w:rsidRPr="00071D16" w:rsidRDefault="009F031E" w:rsidP="00071D16">
      <w:pPr>
        <w:numPr>
          <w:ilvl w:val="0"/>
          <w:numId w:val="2"/>
        </w:numPr>
        <w:spacing w:after="0" w:line="480" w:lineRule="auto"/>
        <w:ind w:left="720"/>
        <w:contextualSpacing/>
        <w:jc w:val="both"/>
        <w:rPr>
          <w:rFonts w:ascii="Book Antiqua" w:hAnsi="Book Antiqua"/>
          <w:sz w:val="24"/>
          <w:szCs w:val="24"/>
          <w:lang w:val="es-PR"/>
        </w:rPr>
      </w:pPr>
      <w:r w:rsidRPr="00071D16">
        <w:rPr>
          <w:rFonts w:ascii="Book Antiqua" w:hAnsi="Book Antiqua"/>
          <w:bCs/>
          <w:sz w:val="24"/>
          <w:szCs w:val="24"/>
          <w:lang w:val="pt-PT"/>
        </w:rPr>
        <w:t xml:space="preserve">SIDA - </w:t>
      </w:r>
      <w:r w:rsidRPr="00071D16">
        <w:rPr>
          <w:rFonts w:ascii="Book Antiqua" w:hAnsi="Book Antiqua"/>
          <w:sz w:val="24"/>
          <w:szCs w:val="24"/>
          <w:lang w:val="pt-PT"/>
        </w:rPr>
        <w:t xml:space="preserve">Significa Síndrome de Inmunodeficiencia Adquirida. </w:t>
      </w:r>
      <w:r w:rsidRPr="00071D16">
        <w:rPr>
          <w:rFonts w:ascii="Book Antiqua" w:hAnsi="Book Antiqua"/>
          <w:sz w:val="24"/>
          <w:szCs w:val="24"/>
          <w:lang w:val="es-PR"/>
        </w:rPr>
        <w:t xml:space="preserve">El SIDA es la etapa dentro de la enfermedad más avanzada de la infección por el VIH que ataca y </w:t>
      </w:r>
      <w:r w:rsidRPr="00071D16">
        <w:rPr>
          <w:rFonts w:ascii="Book Antiqua" w:hAnsi="Book Antiqua"/>
          <w:sz w:val="24"/>
          <w:szCs w:val="24"/>
          <w:lang w:val="es-PR"/>
        </w:rPr>
        <w:lastRenderedPageBreak/>
        <w:t xml:space="preserve">debilita el sistema inmunológico. El diagnóstico de SIDA ocurre cuando las personas con VIH tienen su sistema inmune gravemente </w:t>
      </w:r>
      <w:r w:rsidR="008654B8" w:rsidRPr="00071D16">
        <w:rPr>
          <w:rFonts w:ascii="Book Antiqua" w:hAnsi="Book Antiqua"/>
          <w:sz w:val="24"/>
          <w:szCs w:val="24"/>
          <w:lang w:val="es-PR"/>
        </w:rPr>
        <w:t>comprometido</w:t>
      </w:r>
      <w:r w:rsidRPr="00071D16">
        <w:rPr>
          <w:rFonts w:ascii="Book Antiqua" w:hAnsi="Book Antiqua"/>
          <w:sz w:val="24"/>
          <w:szCs w:val="24"/>
          <w:lang w:val="es-PR"/>
        </w:rPr>
        <w:t xml:space="preserve"> y contraen infecciones oportunistas y/o su </w:t>
      </w:r>
      <w:r w:rsidR="008654B8" w:rsidRPr="00071D16">
        <w:rPr>
          <w:rFonts w:ascii="Book Antiqua" w:hAnsi="Book Antiqua"/>
          <w:sz w:val="24"/>
          <w:szCs w:val="24"/>
          <w:lang w:val="es-PR"/>
        </w:rPr>
        <w:t xml:space="preserve">conteo </w:t>
      </w:r>
      <w:r w:rsidRPr="00071D16">
        <w:rPr>
          <w:rFonts w:ascii="Book Antiqua" w:hAnsi="Book Antiqua"/>
          <w:sz w:val="24"/>
          <w:szCs w:val="24"/>
          <w:lang w:val="es-PR"/>
        </w:rPr>
        <w:t xml:space="preserve">de células de defensa (CD4) cae por debajo de 200 células. Como consecuencia la persona enferma gravemente lo que le causa la muerte. </w:t>
      </w:r>
    </w:p>
    <w:p w14:paraId="369A17DB" w14:textId="77777777" w:rsidR="009F031E" w:rsidRPr="00071D16" w:rsidRDefault="009F031E" w:rsidP="00071D16">
      <w:pPr>
        <w:numPr>
          <w:ilvl w:val="0"/>
          <w:numId w:val="2"/>
        </w:numPr>
        <w:spacing w:after="0" w:line="480" w:lineRule="auto"/>
        <w:ind w:left="720"/>
        <w:contextualSpacing/>
        <w:jc w:val="both"/>
        <w:rPr>
          <w:rFonts w:ascii="Book Antiqua" w:hAnsi="Book Antiqua"/>
          <w:sz w:val="24"/>
          <w:szCs w:val="24"/>
          <w:lang w:val="es-PR"/>
        </w:rPr>
      </w:pPr>
      <w:r w:rsidRPr="00071D16">
        <w:rPr>
          <w:rFonts w:ascii="Book Antiqua" w:hAnsi="Book Antiqua"/>
          <w:bCs/>
          <w:sz w:val="24"/>
          <w:szCs w:val="24"/>
          <w:lang w:val="es-PR"/>
        </w:rPr>
        <w:t>VIH – Significa Virus de Inmunodeficiencia Humana.  Es un Retrovirus</w:t>
      </w:r>
      <w:r w:rsidRPr="00071D16">
        <w:rPr>
          <w:rFonts w:ascii="Book Antiqua" w:hAnsi="Book Antiqua"/>
          <w:sz w:val="24"/>
          <w:szCs w:val="24"/>
          <w:lang w:val="es-PR"/>
        </w:rPr>
        <w:t xml:space="preserve"> que puede causar el Síndrome de Inmunodeficiencia Adquirida (SIDA), que es la fase más avanzada de la infección por este virus. Tiene dos tipos: VIH-1 y VIH-2. Ambos se transmiten por contacto directo con la sangre, el semen, fluidos vaginales, fluido rectal o leche materna de una persona con VIH.</w:t>
      </w:r>
    </w:p>
    <w:p w14:paraId="5091FAEF" w14:textId="77777777" w:rsidR="009F031E" w:rsidRPr="00071D16" w:rsidRDefault="009F031E" w:rsidP="00071D16">
      <w:pPr>
        <w:numPr>
          <w:ilvl w:val="0"/>
          <w:numId w:val="2"/>
        </w:numPr>
        <w:spacing w:after="0" w:line="480" w:lineRule="auto"/>
        <w:ind w:left="720"/>
        <w:contextualSpacing/>
        <w:jc w:val="both"/>
        <w:rPr>
          <w:rFonts w:ascii="Book Antiqua" w:hAnsi="Book Antiqua"/>
          <w:sz w:val="24"/>
          <w:szCs w:val="24"/>
          <w:lang w:val="es-PR"/>
        </w:rPr>
      </w:pPr>
      <w:r w:rsidRPr="00071D16">
        <w:rPr>
          <w:rFonts w:ascii="Book Antiqua" w:hAnsi="Book Antiqua"/>
          <w:sz w:val="24"/>
          <w:szCs w:val="24"/>
          <w:lang w:val="es-PR"/>
        </w:rPr>
        <w:t>Persona con diagnóstico positivo a VIH - Una persona que haya recibido un resultado positivo a una prueba confirmatoria del virus de VIH.”</w:t>
      </w:r>
    </w:p>
    <w:p w14:paraId="0B547C84" w14:textId="77777777" w:rsidR="009F031E" w:rsidRDefault="009F031E" w:rsidP="00071D16">
      <w:pPr>
        <w:spacing w:after="0"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4.- Se enmienda el Artículo 3 de la Ley 248-2018 para que se lea como sigue:</w:t>
      </w:r>
    </w:p>
    <w:p w14:paraId="433997B0" w14:textId="77777777" w:rsidR="009F031E" w:rsidRDefault="009F031E" w:rsidP="00071D16">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3.- Carta de Derechos de las Personas con diagnóstico positivo a VIH en cualquiera de sus etapas en Puerto Rico. </w:t>
      </w:r>
    </w:p>
    <w:p w14:paraId="137D1C92" w14:textId="77777777" w:rsidR="009F031E" w:rsidRDefault="009F031E" w:rsidP="00071D16">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1. Se garantiza de manera efectiva e igualitaria la vigencia de los derechos que establecen las leyes y la Carta de Derechos de la Constitución de Puerto Rico.</w:t>
      </w:r>
    </w:p>
    <w:p w14:paraId="41BDDA84" w14:textId="5D7DE928"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2. Toda persona con diagnóstico positivo a VIH en cualquiera de sus etapas tiene derecho a: la protección de salud, asistencia, cuidado de salud, al tratamiento idóneo, al trato igualitario por todo el personal de salud </w:t>
      </w:r>
      <w:r w:rsidRPr="00071D16">
        <w:rPr>
          <w:rFonts w:ascii="Book Antiqua" w:hAnsi="Book Antiqua"/>
          <w:sz w:val="24"/>
          <w:szCs w:val="24"/>
          <w:lang w:val="es-ES_tradnl"/>
        </w:rPr>
        <w:t xml:space="preserve">y a ser protegido del discrimen en la prestación de los servicios o barreras que no tienen justificación médica en la prestación del servicio a la persona viviendo con diagnóstico positivo a VIH.  Estas </w:t>
      </w:r>
      <w:r w:rsidRPr="00071D16">
        <w:rPr>
          <w:rFonts w:ascii="Book Antiqua" w:hAnsi="Book Antiqua"/>
          <w:sz w:val="24"/>
          <w:szCs w:val="24"/>
          <w:lang w:val="es-ES_tradnl"/>
        </w:rPr>
        <w:lastRenderedPageBreak/>
        <w:t>personas recibirán información clara, exacta y científica sobre la infección por el VIH en todas sus etapas, incluyendo la etapa SIDA (etapa más avanzada de la infección), sin ningún tipo de restricción. Al igual tienen derecho a recibir información específica sobre su estado de salud, resultados de laboratorio y opciones de tratamiento farmacológico idóneo</w:t>
      </w:r>
    </w:p>
    <w:p w14:paraId="2B74CCC0" w14:textId="3C818546"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3. Ningún individuo o entidad podrá restringir la libertad o los derechos de las personas con diagnóstico positivo a VIH en cualquiera de sus etapas, estableciendo discrimen alguno por motivo de raza, color, sexo, orientación sexual, nacimiento, origen o condición social, condición de salud, ni ideas políticas o religiosas. Se garantiza a estas personas el derecho a vivir libre de discriminación.  El Estado, ni ninguna persona natural o jurídica solicitará información que atente contra la intimidad de la persona</w:t>
      </w:r>
      <w:r w:rsidRPr="00071D16">
        <w:rPr>
          <w:rFonts w:ascii="Book Antiqua" w:hAnsi="Book Antiqua"/>
          <w:b/>
          <w:bCs/>
          <w:sz w:val="24"/>
          <w:szCs w:val="24"/>
          <w:lang w:val="es-PR"/>
        </w:rPr>
        <w:t xml:space="preserve"> </w:t>
      </w:r>
      <w:r w:rsidRPr="00071D16">
        <w:rPr>
          <w:rFonts w:ascii="Book Antiqua" w:hAnsi="Book Antiqua"/>
          <w:sz w:val="24"/>
          <w:szCs w:val="24"/>
          <w:lang w:val="es-PR"/>
        </w:rPr>
        <w:t xml:space="preserve">con diagnóstico positivo a VIH en cualquiera de sus etapas, ni establecerá registros de las personas que hayan sido sus contactos sexuales, salvo para investigaciones epidemiológicas del Departamento de Salud, según lo dispuesto en la Ley Núm. 81 de 4 de junio de 1983, según enmendada, conocida como “Ley para la Prevención y Tratamiento de Enfermedades de Transmisión Sexual”. </w:t>
      </w:r>
    </w:p>
    <w:p w14:paraId="3ADFB093" w14:textId="066037B5"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4. Toda persona con diagnóstico positivo a VIH en cualquiera de sus etapas tiene derecho a una vivienda digna, no se le podrá conceder crédito de vivienda y/o alquiler, sujeto a la condición de que provea prueba de diagnóstico de VIH, con excepción de los programas federales que establecen diagnósticos con requisito imprescindible como HOPWA y Ryan White. </w:t>
      </w:r>
    </w:p>
    <w:p w14:paraId="3285D48A" w14:textId="28ABBAA9"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lastRenderedPageBreak/>
        <w:t xml:space="preserve">5. Ninguna persona con diagnóstico positivo a VIH en cualquiera de sus etapas será sometido a aislamiento, cuarentena o cualquier otro tipo de segregación, excepto en situaciones que lo ameriten clínicamente, debidamente documentadas, para la protección de su salud y bajo su conocimiento; en estos casos se realizará sin identificar su condición o diagnóstico positivo a VIH. </w:t>
      </w:r>
    </w:p>
    <w:p w14:paraId="53378381" w14:textId="11E8EBFF"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6. Toda persona con diagnóstico positivo a VIH en cualquiera de sus etapas tiene derecho a participar en todos los aspectos de la vida social. Toda acción que por razón de su condición tienda a negar a estos ciudadanos de: empleo, alojamiento, asistencia o privarles de los mismos, o que tienda a restringir su participación en actividades colectiva, escolares y militares, debe ser considerada discriminatoria y será castigada por esta Ley.</w:t>
      </w:r>
    </w:p>
    <w:p w14:paraId="13BCCFBF" w14:textId="0EFBABA6"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7. La persona con diagnóstico positivo a VIH en cualquiera de sus etapas tiene derecho a gozar de una estabilidad laboral dentro de lo establecido por la legislación estatal y federal aplicable. La disminución de capacidad laboral de una persona con diagnóstico positivo a VIH en cualquiera de sus etapas no puede ser el motivo de la terminación de una vinculación laboral. Cuando al patrono le sean presentadas las certificaciones médicas correspondientes</w:t>
      </w:r>
      <w:r w:rsidR="008200F7" w:rsidRPr="00071D16">
        <w:rPr>
          <w:rFonts w:ascii="Book Antiqua" w:hAnsi="Book Antiqua"/>
          <w:sz w:val="24"/>
          <w:szCs w:val="24"/>
          <w:lang w:val="es-PR"/>
        </w:rPr>
        <w:t>,</w:t>
      </w:r>
      <w:r w:rsidRPr="00071D16">
        <w:rPr>
          <w:rFonts w:ascii="Book Antiqua" w:hAnsi="Book Antiqua"/>
          <w:sz w:val="24"/>
          <w:szCs w:val="24"/>
          <w:lang w:val="es-PR"/>
        </w:rPr>
        <w:t xml:space="preserve"> debe ofrecer dentro de sus posibilidades, el acomodo razonable para que el empleado pueda continuar su tratamiento y seguimiento médico. La persona con diagnóstico positivo a VIH no está obligada a revelar su diagnóstico. No obstante, de haberlo revelado, el patrono debe salvaguardar la privacidad de la persona y no divulgar dicha información. Las </w:t>
      </w:r>
      <w:r w:rsidRPr="00071D16">
        <w:rPr>
          <w:rFonts w:ascii="Book Antiqua" w:hAnsi="Book Antiqua"/>
          <w:sz w:val="24"/>
          <w:szCs w:val="24"/>
          <w:lang w:val="es-PR"/>
        </w:rPr>
        <w:lastRenderedPageBreak/>
        <w:t>personas con diagnostico positivo al VIH les cobija lo dispuesto bajo la ley federal para Personas con Discapacidades (Ley ADA, por sus siglas en inglés).</w:t>
      </w:r>
    </w:p>
    <w:p w14:paraId="4D7A8ABB"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8.  Derecho a recibir sangre y hemoderivados, órganos o tejidos saludables que hayan sido probados rigurosamente en relación al VIH.</w:t>
      </w:r>
    </w:p>
    <w:p w14:paraId="7129188C" w14:textId="4937B01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9. Ninguna persona podrá hacer referencia al diagnóstico positivo al VIH de otra persona, o al resultado de sus pruebas de VIH, sin el consentimiento de la persona en cuestión, salvo lo contenido en la Ley Núm. 81 de 4 de junio de 1983, según enmendada, conocida como “Ley para la Prevención y Tratamiento de Enfermedades de Transmisión Sexual”. Todos los servicios médicos y de asistencia deben asegurar la privacidad de las personas con diagnóstico positivo a VIH en cualquiera de sus etapas. </w:t>
      </w:r>
    </w:p>
    <w:p w14:paraId="509FB349"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10. …</w:t>
      </w:r>
    </w:p>
    <w:p w14:paraId="19ADDE40"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11. Toda persona con diagnóstico positivo a VIH en cualquiera de sus etapas tiene derecho a comunicar su estado de salud o el resultado de su prueba únicamente a las personas que desee. </w:t>
      </w:r>
    </w:p>
    <w:p w14:paraId="3E33F1DA" w14:textId="4A99BA2F"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12. Toda persona con diagnóstico positivo a VIH en cualquiera de sus etapas tiene derecho a continuar ejerciendo su vida civil, profesional, sexual y afectiva; así como participar en todos los aspectos de la vida social tales como empleo, vivienda, educación, deportes, salud, alimentación y otros. </w:t>
      </w:r>
    </w:p>
    <w:p w14:paraId="69D1FF4D" w14:textId="308A822B"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13. Toda persona con diagnóstico positivo a VIH en cualesquiera de sus etapas, que se encuentre recluida en una institución penal o juvenil, según corresponda, y obtenga una certificación médica emitida por el Panel designado por el Secretario de </w:t>
      </w:r>
      <w:r w:rsidRPr="00071D16">
        <w:rPr>
          <w:rFonts w:ascii="Book Antiqua" w:hAnsi="Book Antiqua"/>
          <w:sz w:val="24"/>
          <w:szCs w:val="24"/>
          <w:lang w:val="es-PR"/>
        </w:rPr>
        <w:lastRenderedPageBreak/>
        <w:t xml:space="preserve">Salud al amparo de las disposiciones de la Ley 25-1992, según enmendada, conocida como “Ley para el Egreso de Pacientes de S.I.D.A. y de otras Enfermedades en su Etapa Terminal que Están Confinados en las Instituciones Penales o Internados en las Instituciones Juveniles de Puerto Rico”, que establezca que dicha persona se encuentra en etapa terminal, tendrá derecho a recibir una evaluación expedita sobre el recurso presentado, para autorizar su traslado a una institución pública o privada de cuidado especializado que cuente con el personal capacitado, los servicios clínicos y el tratamiento indicado para el seguimiento óptimo de la persona diagnosticada con VIH.  </w:t>
      </w:r>
      <w:r w:rsidRPr="00071D16">
        <w:rPr>
          <w:rFonts w:ascii="Book Antiqua" w:hAnsi="Book Antiqua"/>
          <w:sz w:val="24"/>
          <w:szCs w:val="24"/>
          <w:lang w:val="es-ES_tradnl"/>
        </w:rPr>
        <w:t>Debe realizarse un acuerdo escrito de antemano entre la institución penal y la institución pública o privada para el traslado de manera que se pueda asegurar la continuidad de los servicios.</w:t>
      </w:r>
    </w:p>
    <w:p w14:paraId="383C1546" w14:textId="79271F43"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14. Toda persona con diagnóstico positivo a VIH en cualquiera de sus etapas a quien se le nieguen servicios médicos, y sea beneficiario del Plan de Salud del Gobierno de Puerto Rico, tiene derecho a presentar una querella ante la Oficina del Procurador del Paciente; en los casos en que un asegurador de plan médico privado deniegue un servicio de cubierta o cancele una póliza o contrato del plan médico de una persona con diagnóstico positivo a VIH por razón de su condición de salud, tendrá el derecho de presentar una querella ante la Oficina del Comisionado de Seguros (OCS). </w:t>
      </w:r>
    </w:p>
    <w:p w14:paraId="7408F246" w14:textId="309FFD58"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15. Toda persona con diagnóstico positivo a VIH en cualquiera de sus etapas le asiste el derecho desde el primer día que ingresa a una institución hospitalaria, a que esta le provea todos los medicamentos necesarios para su tratamiento, incluyendo los </w:t>
      </w:r>
      <w:r w:rsidRPr="00071D16">
        <w:rPr>
          <w:rFonts w:ascii="Book Antiqua" w:hAnsi="Book Antiqua"/>
          <w:sz w:val="24"/>
          <w:szCs w:val="24"/>
          <w:lang w:val="es-PR"/>
        </w:rPr>
        <w:lastRenderedPageBreak/>
        <w:t>antirretrovirales, acorde con las Guías de Tratamiento vigentes establecidas por el Departamento de Salud Federal, aun cuando disponga de estos en su residencia. En caso de que una persona sea diagnosticada con VIH en una institución hospitalaria o que se identifique con diagnóstico previo a VIH y se encuentre fuera de tratamiento, será deber de la institución coordinar su referido a un centro o una clínica especializada en tratamiento de VIH que ofrezca cuidado de salud a personas con diagnóstico positivo al VIH para que sea enlazado oportunamente a tratamiento y así evitar que su estado de salud se deteriore.”</w:t>
      </w:r>
    </w:p>
    <w:p w14:paraId="16434B16"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16. Las personas con diagnóstico positivo a VIH en cualquiera de sus etapas tienen derecho a recibir información clara, exacta y científica sobre la infección por el VIH en todas sus etapas, incluyendo la del SIDA (etapa avanzada de la infección), sin ningún tipo de restricción.  Al igual tienen derecho a recibir información específica sobre su estado de salud, resultados de laboratorio y opciones de tratamiento farmacológico idóneo.”</w:t>
      </w:r>
    </w:p>
    <w:p w14:paraId="2EA454F3"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5. - Se enmienda el Artículo 4 de la Ley 248-2018, para que se lea como sigue:</w:t>
      </w:r>
    </w:p>
    <w:p w14:paraId="715BAC77" w14:textId="3A03FCDB"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 “Artículo 4.- Responsabilidades del Departamento de Salud y de la Administración de Seguros de Salud (ASES) de Puerto Rico.</w:t>
      </w:r>
    </w:p>
    <w:p w14:paraId="64F4484A" w14:textId="77777777" w:rsidR="009F031E" w:rsidRPr="00071D16" w:rsidRDefault="009F031E" w:rsidP="00071D16">
      <w:pPr>
        <w:spacing w:after="0" w:line="480" w:lineRule="auto"/>
        <w:ind w:left="360" w:firstLine="720"/>
        <w:contextualSpacing/>
        <w:jc w:val="both"/>
        <w:rPr>
          <w:rFonts w:ascii="Book Antiqua" w:hAnsi="Book Antiqua"/>
          <w:sz w:val="24"/>
          <w:szCs w:val="24"/>
          <w:lang w:val="es-PR"/>
        </w:rPr>
      </w:pPr>
      <w:r w:rsidRPr="00071D16">
        <w:rPr>
          <w:rFonts w:ascii="Book Antiqua" w:hAnsi="Book Antiqua"/>
          <w:sz w:val="24"/>
          <w:szCs w:val="24"/>
          <w:lang w:val="es-PR"/>
        </w:rPr>
        <w:t>El Departamento de Salud de Puerto Rico garantizara el acceso y disponibilidad de tratamiento para la infección del VIH en cualquiera de sus etapas.</w:t>
      </w:r>
    </w:p>
    <w:p w14:paraId="0A8630DA" w14:textId="2A1932CF"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El Departamento de Salud y la Administración de Seguros de Salud (ASES) del Plan de Salud del Gobierno de Puerto Rico y/o agencias correspondientes, realizarán las gestiones pertinentes para el acceso y disponibilidad de nuevos medicamentos </w:t>
      </w:r>
      <w:r w:rsidRPr="00071D16">
        <w:rPr>
          <w:rFonts w:ascii="Book Antiqua" w:hAnsi="Book Antiqua"/>
          <w:sz w:val="24"/>
          <w:szCs w:val="24"/>
          <w:lang w:val="es-PR"/>
        </w:rPr>
        <w:lastRenderedPageBreak/>
        <w:t>antirretrovirales aprobados por la “Food and Drugs Administration” (FDA, por sus siglas en inglés) en un periodo no mayor de noventa (90) días calendario luego de la aprobación</w:t>
      </w:r>
      <w:r w:rsidR="008D2A61" w:rsidRPr="00071D16">
        <w:rPr>
          <w:rFonts w:ascii="Book Antiqua" w:hAnsi="Book Antiqua"/>
          <w:sz w:val="24"/>
          <w:szCs w:val="24"/>
          <w:lang w:val="es-PR"/>
        </w:rPr>
        <w:t xml:space="preserve"> y de su integración a las Guías clínicas para el tratamiento del VIH en Adolescentes y Adultos, aprobadas por el gobierno federal (United States Department of Health and Human Services o DHHS)</w:t>
      </w:r>
      <w:r w:rsidR="00605D29" w:rsidRPr="00071D16">
        <w:rPr>
          <w:rFonts w:ascii="Book Antiqua" w:hAnsi="Book Antiqua"/>
          <w:sz w:val="24"/>
          <w:szCs w:val="24"/>
          <w:lang w:val="es-PR"/>
        </w:rPr>
        <w:t xml:space="preserve"> </w:t>
      </w:r>
      <w:r w:rsidRPr="00071D16">
        <w:rPr>
          <w:rFonts w:ascii="Book Antiqua" w:hAnsi="Book Antiqua"/>
          <w:sz w:val="24"/>
          <w:szCs w:val="24"/>
          <w:lang w:val="es-PR"/>
        </w:rPr>
        <w:t xml:space="preserve">.  Será responsabilidad de la ASES incluir los mismos dentro de los formularios correspondientes para la cobertura de medicamentos bajo el del Plan de Salud del Gobierno de Puerto Rico, en el mismo término establecido. </w:t>
      </w:r>
    </w:p>
    <w:p w14:paraId="590CD93C" w14:textId="6B6B62A4"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Además, la </w:t>
      </w:r>
      <w:r w:rsidR="00C96A97" w:rsidRPr="00071D16">
        <w:rPr>
          <w:rFonts w:ascii="Book Antiqua" w:hAnsi="Book Antiqua"/>
          <w:sz w:val="24"/>
          <w:szCs w:val="24"/>
          <w:lang w:val="es-ES"/>
        </w:rPr>
        <w:t>Secretaría Auxiliar para la Regulación de la Salud Pública</w:t>
      </w:r>
      <w:r w:rsidRPr="00071D16">
        <w:rPr>
          <w:rFonts w:ascii="Book Antiqua" w:hAnsi="Book Antiqua"/>
          <w:sz w:val="24"/>
          <w:szCs w:val="24"/>
          <w:lang w:val="es-PR"/>
        </w:rPr>
        <w:t xml:space="preserve"> tiene la responsabilidad de velar y monitorear el funcionamiento de las facilidades de salud hospitalarias y de otras entidades, salubridad en la provisión de servicios y tratamiento idóneos para las personas con diagnóstico positivo a VIH en cualquiera de sus etapas, en cumplimiento con toda ley aplicable.”</w:t>
      </w:r>
    </w:p>
    <w:p w14:paraId="5CF6BBEB"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6.- Se enmienda el Artículo 5 de la Ley 248-2018, para que lea como sigue:</w:t>
      </w:r>
    </w:p>
    <w:p w14:paraId="00942082"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 “Artículo 5.- Procedimiento para Reclamo de Derecho </w:t>
      </w:r>
    </w:p>
    <w:p w14:paraId="4DAFD18D" w14:textId="0008552B"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Toda persona con diagnóstico positivo a VIH en cualquiera de sus etapas, por sí, por medio de su tutor o por medio de un funcionario público, podrá acudir ante la Unidad para Investigar y Procesar Violaciones de Derechos Civiles del Departamento de Justicia, o a cualquier sala de Tribunal de Primera Instancia de la región judicial donde resida para reclamar cualquier derecho o beneficio estatuido en esta Ley, o para solicitar que se suspenda una actuación que contravenga las disposiciones de esta. Los tribunales tendrán facultad para designarle una representación legal o un defensor </w:t>
      </w:r>
      <w:r w:rsidRPr="00071D16">
        <w:rPr>
          <w:rFonts w:ascii="Book Antiqua" w:hAnsi="Book Antiqua"/>
          <w:sz w:val="24"/>
          <w:szCs w:val="24"/>
          <w:lang w:val="es-PR"/>
        </w:rPr>
        <w:lastRenderedPageBreak/>
        <w:t>judicial a la persona con diagnóstico positivo a VIH en cualquiera de sus etapas, cuando esta no cuente con recursos económicos para contratar abogado. El tribunal tendrá facultad para dictar cualquier orden o sentencia conforme a derecho y que sea necesaria para llevar a cabo las disposiciones de esta ley. El incumplimiento de las órdenes y sentencias dictadas por el tribunal en virtud de este Artículo constituirá desacato civil.”</w:t>
      </w:r>
    </w:p>
    <w:p w14:paraId="6D06DC26"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  </w:t>
      </w:r>
    </w:p>
    <w:p w14:paraId="3B387F83"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7. - Se enmienda el Artículo 9 de la Ley 248-2018 para que lea como sigue:</w:t>
      </w:r>
    </w:p>
    <w:p w14:paraId="0180990A" w14:textId="77BBB645"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 xml:space="preserve"> “Artículo 9.- Publicación y Orientación sobre la “Carta de Derechos de las Personas con diagnóstico positivo a VIH en cualquiera de sus etapas en Puerto Rico”. </w:t>
      </w:r>
    </w:p>
    <w:p w14:paraId="3D7BBCF2" w14:textId="77777777" w:rsidR="009F031E" w:rsidRPr="00071D16" w:rsidRDefault="009F031E" w:rsidP="00071D16">
      <w:pPr>
        <w:spacing w:after="0" w:line="480" w:lineRule="auto"/>
        <w:ind w:left="360" w:firstLine="360"/>
        <w:contextualSpacing/>
        <w:jc w:val="both"/>
        <w:rPr>
          <w:rFonts w:ascii="Book Antiqua" w:hAnsi="Book Antiqua"/>
          <w:sz w:val="24"/>
          <w:szCs w:val="24"/>
          <w:lang w:val="es-PR"/>
        </w:rPr>
      </w:pPr>
      <w:r w:rsidRPr="00071D16">
        <w:rPr>
          <w:rFonts w:ascii="Book Antiqua" w:hAnsi="Book Antiqua"/>
          <w:sz w:val="24"/>
          <w:szCs w:val="24"/>
          <w:lang w:val="es-PR"/>
        </w:rPr>
        <w:t>El Departamento de Salud de Puerto Rico y la Oficina del Procurador del Paciente le darán publicidad a esta Carta de Derechos. También tendrán la responsabilidad de orientar y educar a los profesionales de la salud, al paciente y a la comunidad en general sobre lo establecido en esta Carta de Derechos, mediante material informativo, el cual deberá estar disponible en ambas agencias y radicaran anualmente a través de la Secretaria de ambos Cuerpos Legislativos, respectivamente, un informe sobre la implantación de la misma.”</w:t>
      </w:r>
    </w:p>
    <w:p w14:paraId="4F0C5F1D" w14:textId="77777777" w:rsidR="009F031E" w:rsidRPr="00071D16" w:rsidRDefault="009F031E" w:rsidP="00071D16">
      <w:pPr>
        <w:spacing w:after="0" w:line="480" w:lineRule="auto"/>
        <w:ind w:firstLine="360"/>
        <w:contextualSpacing/>
        <w:jc w:val="both"/>
        <w:rPr>
          <w:rFonts w:ascii="Book Antiqua" w:hAnsi="Book Antiqua"/>
          <w:sz w:val="24"/>
          <w:szCs w:val="24"/>
          <w:lang w:val="es-PR"/>
        </w:rPr>
      </w:pPr>
      <w:r w:rsidRPr="00071D16">
        <w:rPr>
          <w:rFonts w:ascii="Book Antiqua" w:hAnsi="Book Antiqua"/>
          <w:sz w:val="24"/>
          <w:szCs w:val="24"/>
          <w:lang w:val="es-PR"/>
        </w:rPr>
        <w:t>Sección 8.- Vigencia.</w:t>
      </w:r>
    </w:p>
    <w:p w14:paraId="28A9C09D" w14:textId="77777777" w:rsidR="009F031E" w:rsidRPr="00071D16" w:rsidRDefault="009F031E" w:rsidP="00071D16">
      <w:pPr>
        <w:spacing w:after="0" w:line="480" w:lineRule="auto"/>
        <w:ind w:firstLine="720"/>
        <w:contextualSpacing/>
        <w:jc w:val="both"/>
        <w:rPr>
          <w:rFonts w:ascii="Book Antiqua" w:hAnsi="Book Antiqua"/>
          <w:i/>
          <w:iCs/>
          <w:sz w:val="24"/>
          <w:szCs w:val="24"/>
          <w:lang w:val="es-PR"/>
        </w:rPr>
      </w:pPr>
      <w:r w:rsidRPr="00071D16">
        <w:rPr>
          <w:rFonts w:ascii="Book Antiqua" w:hAnsi="Book Antiqua"/>
          <w:sz w:val="24"/>
          <w:szCs w:val="24"/>
          <w:lang w:val="es-PR"/>
        </w:rPr>
        <w:t>Esta Ley comenzará a regir inmediatamente después de su aprobación</w:t>
      </w:r>
      <w:r w:rsidRPr="00071D16">
        <w:rPr>
          <w:rFonts w:ascii="Book Antiqua" w:hAnsi="Book Antiqua"/>
          <w:i/>
          <w:iCs/>
          <w:sz w:val="24"/>
          <w:szCs w:val="24"/>
          <w:lang w:val="es-PR"/>
        </w:rPr>
        <w:t>.</w:t>
      </w:r>
    </w:p>
    <w:sectPr w:rsidR="009F031E" w:rsidRPr="00071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F6F42" w14:textId="77777777" w:rsidR="00C642FD" w:rsidRDefault="00C642FD">
      <w:pPr>
        <w:spacing w:after="0" w:line="240" w:lineRule="auto"/>
      </w:pPr>
      <w:r>
        <w:separator/>
      </w:r>
    </w:p>
  </w:endnote>
  <w:endnote w:type="continuationSeparator" w:id="0">
    <w:p w14:paraId="2282DFF1" w14:textId="77777777" w:rsidR="00C642FD" w:rsidRDefault="00C64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1730" w14:textId="77777777" w:rsidR="009F031E" w:rsidRDefault="009F031E">
    <w:pPr>
      <w:pStyle w:val="Footer"/>
      <w:jc w:val="center"/>
    </w:pPr>
  </w:p>
  <w:p w14:paraId="41B4800D" w14:textId="77777777" w:rsidR="009F031E" w:rsidRDefault="009F0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AAC21" w14:textId="77777777" w:rsidR="00C642FD" w:rsidRDefault="00C642FD">
      <w:pPr>
        <w:spacing w:after="0" w:line="240" w:lineRule="auto"/>
      </w:pPr>
      <w:r>
        <w:separator/>
      </w:r>
    </w:p>
  </w:footnote>
  <w:footnote w:type="continuationSeparator" w:id="0">
    <w:p w14:paraId="02BB5853" w14:textId="77777777" w:rsidR="00C642FD" w:rsidRDefault="00C64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F621" w14:textId="77777777" w:rsidR="009F031E" w:rsidRDefault="009F031E">
    <w:pPr>
      <w:pStyle w:val="Header"/>
      <w:jc w:val="center"/>
    </w:pPr>
    <w:r>
      <w:fldChar w:fldCharType="begin"/>
    </w:r>
    <w:r>
      <w:instrText xml:space="preserve"> PAGE   \* MERGEFORMAT </w:instrText>
    </w:r>
    <w:r>
      <w:fldChar w:fldCharType="separate"/>
    </w:r>
    <w:r>
      <w:rPr>
        <w:noProof/>
      </w:rPr>
      <w:t>3</w:t>
    </w:r>
    <w:r>
      <w:fldChar w:fldCharType="end"/>
    </w:r>
  </w:p>
  <w:p w14:paraId="23B54FD2" w14:textId="77777777" w:rsidR="009F031E" w:rsidRDefault="009F0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F6AC1"/>
    <w:multiLevelType w:val="hybridMultilevel"/>
    <w:tmpl w:val="B70A8CAE"/>
    <w:lvl w:ilvl="0" w:tplc="5A20184A">
      <w:start w:val="1"/>
      <w:numFmt w:val="lowerLetter"/>
      <w:suff w:val="space"/>
      <w:lvlText w:val="(%1)"/>
      <w:lvlJc w:val="left"/>
      <w:pPr>
        <w:ind w:left="360" w:hanging="360"/>
      </w:pPr>
      <w:rPr>
        <w:i w:val="0"/>
        <w:iCs w:val="0"/>
        <w:strike w:val="0"/>
        <w:dstrike w:val="0"/>
        <w:u w:val="none"/>
        <w:effect w:val="none"/>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13239557">
    <w:abstractNumId w:val="0"/>
  </w:num>
  <w:num w:numId="2" w16cid:durableId="2089419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AC"/>
    <w:rsid w:val="00071D16"/>
    <w:rsid w:val="000E1B9E"/>
    <w:rsid w:val="00152DB5"/>
    <w:rsid w:val="0019584E"/>
    <w:rsid w:val="00263C1B"/>
    <w:rsid w:val="00391B5F"/>
    <w:rsid w:val="003D0448"/>
    <w:rsid w:val="00447901"/>
    <w:rsid w:val="00477E49"/>
    <w:rsid w:val="004C640F"/>
    <w:rsid w:val="005534B9"/>
    <w:rsid w:val="005B5558"/>
    <w:rsid w:val="00605D29"/>
    <w:rsid w:val="006277F5"/>
    <w:rsid w:val="006932E9"/>
    <w:rsid w:val="007D5B7F"/>
    <w:rsid w:val="008200F7"/>
    <w:rsid w:val="008654B8"/>
    <w:rsid w:val="008D2A61"/>
    <w:rsid w:val="00917AAC"/>
    <w:rsid w:val="0096327E"/>
    <w:rsid w:val="009F031E"/>
    <w:rsid w:val="00A1788B"/>
    <w:rsid w:val="00AE7641"/>
    <w:rsid w:val="00BB3AF8"/>
    <w:rsid w:val="00BC7BA7"/>
    <w:rsid w:val="00C43609"/>
    <w:rsid w:val="00C642FD"/>
    <w:rsid w:val="00C96A97"/>
    <w:rsid w:val="00CD5B98"/>
    <w:rsid w:val="00DE0A05"/>
    <w:rsid w:val="00E660F9"/>
    <w:rsid w:val="00EB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3C699"/>
  <w15:chartTrackingRefBased/>
  <w15:docId w15:val="{09BC731C-FA31-4070-86E3-7F334D14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semiHidden/>
    <w:unhideWhenUsed/>
    <w:pPr>
      <w:spacing w:after="160" w:line="240" w:lineRule="auto"/>
    </w:pPr>
    <w:rPr>
      <w:sz w:val="20"/>
      <w:szCs w:val="20"/>
      <w:lang w:val="es-PR"/>
    </w:rPr>
  </w:style>
  <w:style w:type="character" w:customStyle="1" w:styleId="CommentTextChar">
    <w:name w:val="Comment Text Char"/>
    <w:link w:val="CommentText"/>
    <w:uiPriority w:val="99"/>
    <w:semiHidden/>
    <w:locked/>
    <w:rPr>
      <w:sz w:val="20"/>
      <w:szCs w:val="20"/>
      <w:lang w:val="es-PR"/>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link w:val="Header"/>
    <w:uiPriority w:val="99"/>
    <w:locked/>
    <w:rPr>
      <w:rFonts w:ascii="Calibri" w:eastAsia="Calibri" w:hAnsi="Calibri" w:cs="Times New Roman" w:hint="default"/>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link w:val="Footer"/>
    <w:uiPriority w:val="99"/>
    <w:locked/>
    <w:rPr>
      <w:rFonts w:ascii="Calibri" w:eastAsia="Calibri" w:hAnsi="Calibri" w:cs="Times New Roman" w:hint="default"/>
    </w:rPr>
  </w:style>
  <w:style w:type="paragraph" w:customStyle="1" w:styleId="Default">
    <w:name w:val="Default"/>
    <w:uiPriority w:val="99"/>
    <w:semiHidden/>
    <w:pPr>
      <w:autoSpaceDE w:val="0"/>
      <w:autoSpaceDN w:val="0"/>
      <w:adjustRightInd w:val="0"/>
    </w:pPr>
    <w:rPr>
      <w:color w:val="000000"/>
      <w:sz w:val="24"/>
      <w:szCs w:val="24"/>
    </w:rPr>
  </w:style>
  <w:style w:type="character" w:styleId="CommentReference">
    <w:name w:val="annotation reference"/>
    <w:uiPriority w:val="99"/>
    <w:semiHidden/>
    <w:unhideWhenUsed/>
    <w:rPr>
      <w:sz w:val="16"/>
      <w:szCs w:val="16"/>
    </w:rPr>
  </w:style>
  <w:style w:type="table" w:styleId="TableGrid">
    <w:name w:val="Table Grid"/>
    <w:basedOn w:val="TableNormal"/>
    <w:rPr>
      <w:rFonts w:ascii="Times New Roman" w:eastAsia="Times New Roman" w:hAnsi="Times New Roman" w:cs="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F0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2824</Words>
  <Characters>15538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Carlos Y. Rosado Cruz</cp:lastModifiedBy>
  <cp:revision>6</cp:revision>
  <cp:lastPrinted>2025-01-10T19:27:00Z</cp:lastPrinted>
  <dcterms:created xsi:type="dcterms:W3CDTF">2025-05-15T18:10:00Z</dcterms:created>
  <dcterms:modified xsi:type="dcterms:W3CDTF">2025-06-10T17:26:00Z</dcterms:modified>
</cp:coreProperties>
</file>