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2ACA7" w14:textId="77777777" w:rsidR="003D0448" w:rsidRDefault="003D0448" w:rsidP="003D0448">
      <w:pPr>
        <w:spacing w:after="0" w:line="240" w:lineRule="auto"/>
        <w:jc w:val="center"/>
        <w:rPr>
          <w:rFonts w:ascii="Book Antiqua" w:hAnsi="Book Antiqua"/>
          <w:color w:val="000000"/>
          <w:sz w:val="28"/>
          <w:szCs w:val="28"/>
          <w:lang w:val="es-ES"/>
        </w:rPr>
      </w:pPr>
      <w:r w:rsidRPr="00C80C6A">
        <w:rPr>
          <w:rFonts w:ascii="Book Antiqua" w:hAnsi="Book Antiqua"/>
          <w:color w:val="000000"/>
          <w:sz w:val="28"/>
          <w:szCs w:val="28"/>
          <w:lang w:val="es-ES"/>
        </w:rPr>
        <w:t>(ENTIRILLADO ELECTRÓNICO)</w:t>
      </w:r>
    </w:p>
    <w:p w14:paraId="38605601" w14:textId="77777777" w:rsidR="009F031E" w:rsidRDefault="009F031E" w:rsidP="003D0448">
      <w:pPr>
        <w:spacing w:after="0" w:line="240" w:lineRule="auto"/>
        <w:jc w:val="center"/>
        <w:rPr>
          <w:rFonts w:ascii="Book Antiqua" w:eastAsia="Times New Roman" w:hAnsi="Book Antiqua"/>
          <w:sz w:val="28"/>
          <w:szCs w:val="36"/>
          <w:lang w:val="es-PR"/>
        </w:rPr>
      </w:pPr>
      <w:r>
        <w:rPr>
          <w:rFonts w:ascii="Book Antiqua" w:eastAsia="Times New Roman" w:hAnsi="Book Antiqua"/>
          <w:sz w:val="28"/>
          <w:szCs w:val="36"/>
          <w:lang w:val="es-PR"/>
        </w:rPr>
        <w:t>GOBIERNO DE PUERTO RICO</w:t>
      </w:r>
    </w:p>
    <w:p w14:paraId="62D03B5A" w14:textId="77777777" w:rsidR="009F031E" w:rsidRDefault="009F031E">
      <w:pPr>
        <w:spacing w:after="0" w:line="240" w:lineRule="auto"/>
        <w:jc w:val="center"/>
        <w:rPr>
          <w:rFonts w:ascii="Book Antiqua" w:eastAsia="Times New Roman" w:hAnsi="Book Antiqua"/>
          <w:sz w:val="24"/>
          <w:szCs w:val="20"/>
          <w:lang w:val="es-PR"/>
        </w:rPr>
      </w:pPr>
    </w:p>
    <w:p w14:paraId="6981E77A" w14:textId="77777777" w:rsidR="009F031E" w:rsidRPr="006932E9" w:rsidRDefault="009F031E">
      <w:pPr>
        <w:tabs>
          <w:tab w:val="left" w:pos="648"/>
          <w:tab w:val="left" w:pos="7848"/>
        </w:tabs>
        <w:spacing w:after="0" w:line="240" w:lineRule="auto"/>
        <w:rPr>
          <w:rFonts w:ascii="Book Antiqua" w:eastAsia="Times New Roman" w:hAnsi="Book Antiqua"/>
          <w:sz w:val="24"/>
          <w:szCs w:val="20"/>
          <w:lang w:val="es-ES"/>
        </w:rPr>
      </w:pPr>
      <w:r w:rsidRPr="006932E9">
        <w:rPr>
          <w:rFonts w:ascii="Book Antiqua" w:eastAsia="Times New Roman" w:hAnsi="Book Antiqua"/>
          <w:sz w:val="24"/>
          <w:szCs w:val="20"/>
          <w:lang w:val="es-ES"/>
        </w:rPr>
        <w:t>20</w:t>
      </w:r>
      <w:r w:rsidRPr="006932E9">
        <w:rPr>
          <w:rFonts w:ascii="Book Antiqua" w:eastAsia="Times New Roman" w:hAnsi="Book Antiqua"/>
          <w:sz w:val="24"/>
          <w:szCs w:val="20"/>
          <w:vertAlign w:val="superscript"/>
          <w:lang w:val="es-ES"/>
        </w:rPr>
        <w:t>ma</w:t>
      </w:r>
      <w:r w:rsidRPr="006932E9">
        <w:rPr>
          <w:rFonts w:ascii="Book Antiqua" w:eastAsia="Times New Roman" w:hAnsi="Book Antiqua"/>
          <w:sz w:val="24"/>
          <w:szCs w:val="20"/>
          <w:lang w:val="es-ES"/>
        </w:rPr>
        <w:t xml:space="preserve"> Asamblea</w:t>
      </w:r>
      <w:r w:rsidRPr="006932E9">
        <w:rPr>
          <w:rFonts w:ascii="Book Antiqua" w:eastAsia="Times New Roman" w:hAnsi="Book Antiqua"/>
          <w:sz w:val="24"/>
          <w:szCs w:val="20"/>
          <w:lang w:val="es-ES"/>
        </w:rPr>
        <w:tab/>
        <w:t>1</w:t>
      </w:r>
      <w:r w:rsidRPr="006932E9">
        <w:rPr>
          <w:rFonts w:ascii="Book Antiqua" w:eastAsia="Times New Roman" w:hAnsi="Book Antiqua"/>
          <w:sz w:val="24"/>
          <w:szCs w:val="20"/>
          <w:vertAlign w:val="superscript"/>
          <w:lang w:val="es-ES"/>
        </w:rPr>
        <w:t>ra</w:t>
      </w:r>
      <w:r w:rsidRPr="006932E9">
        <w:rPr>
          <w:rFonts w:ascii="Book Antiqua" w:eastAsia="Times New Roman" w:hAnsi="Book Antiqua"/>
          <w:sz w:val="24"/>
          <w:szCs w:val="20"/>
          <w:lang w:val="es-ES"/>
        </w:rPr>
        <w:t xml:space="preserve"> Sesión</w:t>
      </w:r>
    </w:p>
    <w:p w14:paraId="379A0FDC" w14:textId="77777777" w:rsidR="009F031E" w:rsidRPr="006932E9" w:rsidRDefault="009F031E">
      <w:pPr>
        <w:tabs>
          <w:tab w:val="left" w:pos="648"/>
          <w:tab w:val="left" w:pos="7110"/>
        </w:tabs>
        <w:spacing w:after="0" w:line="240" w:lineRule="auto"/>
        <w:rPr>
          <w:rFonts w:ascii="Book Antiqua" w:eastAsia="Times New Roman" w:hAnsi="Book Antiqua"/>
          <w:sz w:val="24"/>
          <w:szCs w:val="20"/>
          <w:lang w:val="es-ES"/>
        </w:rPr>
      </w:pPr>
      <w:r w:rsidRPr="006932E9">
        <w:rPr>
          <w:rFonts w:ascii="Book Antiqua" w:eastAsia="Times New Roman" w:hAnsi="Book Antiqua"/>
          <w:sz w:val="24"/>
          <w:szCs w:val="20"/>
          <w:lang w:val="es-ES"/>
        </w:rPr>
        <w:tab/>
        <w:t>Legislativa</w:t>
      </w:r>
      <w:r w:rsidRPr="006932E9">
        <w:rPr>
          <w:rFonts w:ascii="Book Antiqua" w:eastAsia="Times New Roman" w:hAnsi="Book Antiqua"/>
          <w:sz w:val="24"/>
          <w:szCs w:val="20"/>
          <w:lang w:val="es-ES"/>
        </w:rPr>
        <w:tab/>
      </w:r>
      <w:r w:rsidRPr="006932E9">
        <w:rPr>
          <w:rFonts w:ascii="Book Antiqua" w:eastAsia="Times New Roman" w:hAnsi="Book Antiqua"/>
          <w:sz w:val="24"/>
          <w:szCs w:val="20"/>
          <w:lang w:val="es-ES"/>
        </w:rPr>
        <w:tab/>
        <w:t xml:space="preserve">                  Ordinaria</w:t>
      </w:r>
    </w:p>
    <w:p w14:paraId="2C5F2AEA" w14:textId="77777777" w:rsidR="009F031E" w:rsidRPr="006932E9" w:rsidRDefault="009F031E">
      <w:pPr>
        <w:spacing w:after="0" w:line="240" w:lineRule="auto"/>
        <w:rPr>
          <w:rFonts w:ascii="Book Antiqua" w:eastAsia="Times New Roman" w:hAnsi="Book Antiqua"/>
          <w:sz w:val="24"/>
          <w:szCs w:val="20"/>
          <w:lang w:val="es-ES"/>
        </w:rPr>
      </w:pPr>
    </w:p>
    <w:p w14:paraId="59FE0B21" w14:textId="77777777" w:rsidR="009F031E" w:rsidRDefault="009F031E">
      <w:pPr>
        <w:widowControl w:val="0"/>
        <w:suppressLineNumbers/>
        <w:spacing w:after="0" w:line="240" w:lineRule="auto"/>
        <w:jc w:val="center"/>
        <w:rPr>
          <w:rFonts w:ascii="Book Antiqua" w:eastAsia="Book Antiqua" w:hAnsi="Book Antiqua"/>
          <w:b/>
          <w:sz w:val="36"/>
          <w:szCs w:val="24"/>
          <w:lang w:val="es-PR"/>
        </w:rPr>
      </w:pPr>
      <w:r>
        <w:rPr>
          <w:rFonts w:ascii="Book Antiqua" w:eastAsia="Times New Roman" w:hAnsi="Book Antiqua"/>
          <w:b/>
          <w:sz w:val="36"/>
          <w:szCs w:val="24"/>
          <w:lang w:val="es-PR"/>
        </w:rPr>
        <w:t>CÁMARA DE REPRESENTANTES</w:t>
      </w:r>
    </w:p>
    <w:p w14:paraId="01FDCCB4" w14:textId="77777777" w:rsidR="009F031E" w:rsidRDefault="009F031E">
      <w:pPr>
        <w:widowControl w:val="0"/>
        <w:suppressLineNumbers/>
        <w:spacing w:after="0" w:line="240" w:lineRule="auto"/>
        <w:jc w:val="center"/>
        <w:rPr>
          <w:rFonts w:ascii="Book Antiqua" w:eastAsia="Book Antiqua" w:hAnsi="Book Antiqua" w:cs="Book Antiqua"/>
          <w:noProof/>
          <w:sz w:val="24"/>
          <w:szCs w:val="24"/>
          <w:lang w:val="es-PR"/>
        </w:rPr>
      </w:pPr>
    </w:p>
    <w:p w14:paraId="00A2D575" w14:textId="3AB253AB" w:rsidR="009F031E" w:rsidRDefault="009F031E">
      <w:pPr>
        <w:widowControl w:val="0"/>
        <w:suppressLineNumbers/>
        <w:spacing w:after="0" w:line="240" w:lineRule="auto"/>
        <w:jc w:val="center"/>
        <w:rPr>
          <w:rFonts w:ascii="Book Antiqua" w:eastAsia="Book Antiqua" w:hAnsi="Book Antiqua"/>
          <w:b/>
          <w:sz w:val="52"/>
          <w:szCs w:val="24"/>
          <w:lang w:val="es-PR"/>
        </w:rPr>
      </w:pPr>
      <w:r>
        <w:rPr>
          <w:rFonts w:ascii="Book Antiqua" w:eastAsia="Times New Roman" w:hAnsi="Book Antiqua"/>
          <w:b/>
          <w:sz w:val="52"/>
          <w:szCs w:val="24"/>
          <w:lang w:val="es-PR"/>
        </w:rPr>
        <w:t xml:space="preserve">P. de la C. </w:t>
      </w:r>
      <w:r w:rsidR="006932E9">
        <w:rPr>
          <w:rFonts w:ascii="Book Antiqua" w:eastAsia="Times New Roman" w:hAnsi="Book Antiqua"/>
          <w:b/>
          <w:sz w:val="52"/>
          <w:szCs w:val="24"/>
          <w:lang w:val="es-PR"/>
        </w:rPr>
        <w:t>14</w:t>
      </w:r>
    </w:p>
    <w:p w14:paraId="01E3A89A" w14:textId="77777777" w:rsidR="009F031E" w:rsidRDefault="009F031E">
      <w:pPr>
        <w:widowControl w:val="0"/>
        <w:suppressLineNumbers/>
        <w:spacing w:after="0" w:line="240" w:lineRule="auto"/>
        <w:jc w:val="center"/>
        <w:rPr>
          <w:rFonts w:ascii="Book Antiqua" w:eastAsia="Book Antiqua" w:hAnsi="Book Antiqua" w:cs="Book Antiqua"/>
          <w:noProof/>
          <w:sz w:val="24"/>
          <w:szCs w:val="24"/>
          <w:lang w:val="es-PR"/>
        </w:rPr>
      </w:pPr>
    </w:p>
    <w:p w14:paraId="15C7BDCF" w14:textId="04557701" w:rsidR="009F031E" w:rsidRDefault="006932E9">
      <w:pPr>
        <w:widowControl w:val="0"/>
        <w:suppressLineNumbers/>
        <w:tabs>
          <w:tab w:val="left" w:pos="8186"/>
        </w:tabs>
        <w:spacing w:after="0" w:line="240" w:lineRule="auto"/>
        <w:jc w:val="center"/>
        <w:rPr>
          <w:rFonts w:ascii="Book Antiqua" w:eastAsia="Book Antiqua" w:hAnsi="Book Antiqua" w:cs="Book Antiqua"/>
          <w:noProof/>
          <w:sz w:val="24"/>
          <w:szCs w:val="24"/>
          <w:lang w:val="es-PR"/>
        </w:rPr>
      </w:pPr>
      <w:r>
        <w:rPr>
          <w:rFonts w:ascii="Book Antiqua" w:eastAsia="Times New Roman" w:hAnsi="Book Antiqua"/>
          <w:noProof/>
          <w:sz w:val="24"/>
          <w:szCs w:val="24"/>
          <w:lang w:val="es-PR"/>
        </w:rPr>
        <w:t xml:space="preserve">2 </w:t>
      </w:r>
      <w:r w:rsidR="009F031E">
        <w:rPr>
          <w:rFonts w:ascii="Book Antiqua" w:eastAsia="Times New Roman" w:hAnsi="Book Antiqua"/>
          <w:noProof/>
          <w:sz w:val="24"/>
          <w:szCs w:val="24"/>
          <w:lang w:val="es-PR"/>
        </w:rPr>
        <w:t>DE ENERO DE 2025</w:t>
      </w:r>
    </w:p>
    <w:p w14:paraId="2AC978D0" w14:textId="77777777" w:rsidR="009F031E" w:rsidRDefault="009F031E">
      <w:pPr>
        <w:widowControl w:val="0"/>
        <w:suppressLineNumbers/>
        <w:spacing w:after="0" w:line="240" w:lineRule="auto"/>
        <w:jc w:val="center"/>
        <w:rPr>
          <w:rFonts w:ascii="Book Antiqua" w:eastAsia="Book Antiqua" w:hAnsi="Book Antiqua" w:cs="Book Antiqua"/>
          <w:i/>
          <w:iCs/>
          <w:noProof/>
          <w:sz w:val="24"/>
          <w:szCs w:val="24"/>
          <w:lang w:val="es-PR"/>
        </w:rPr>
      </w:pPr>
    </w:p>
    <w:p w14:paraId="0E2C9299" w14:textId="77777777" w:rsidR="009F031E" w:rsidRDefault="009F031E">
      <w:pPr>
        <w:suppressLineNumbers/>
        <w:spacing w:after="0" w:line="240" w:lineRule="auto"/>
        <w:ind w:left="720" w:hanging="720"/>
        <w:jc w:val="center"/>
        <w:rPr>
          <w:rFonts w:ascii="Book Antiqua" w:hAnsi="Book Antiqua"/>
          <w:i/>
          <w:iCs/>
          <w:color w:val="1D2228"/>
          <w:sz w:val="24"/>
          <w:szCs w:val="24"/>
          <w:shd w:val="clear" w:color="auto" w:fill="FFFFFF"/>
          <w:lang w:val="es-PR"/>
        </w:rPr>
      </w:pPr>
      <w:r>
        <w:rPr>
          <w:rFonts w:ascii="Book Antiqua" w:hAnsi="Book Antiqua"/>
          <w:color w:val="1D2228"/>
          <w:sz w:val="24"/>
          <w:szCs w:val="24"/>
          <w:shd w:val="clear" w:color="auto" w:fill="FFFFFF"/>
          <w:lang w:val="es-PR"/>
        </w:rPr>
        <w:t xml:space="preserve">Presentado por el representante </w:t>
      </w:r>
      <w:r>
        <w:rPr>
          <w:rFonts w:ascii="Book Antiqua" w:hAnsi="Book Antiqua"/>
          <w:i/>
          <w:iCs/>
          <w:color w:val="1D2228"/>
          <w:sz w:val="24"/>
          <w:szCs w:val="24"/>
          <w:shd w:val="clear" w:color="auto" w:fill="FFFFFF"/>
          <w:lang w:val="es-PR"/>
        </w:rPr>
        <w:t>Méndez Núñez</w:t>
      </w:r>
    </w:p>
    <w:p w14:paraId="5F00A4C3" w14:textId="77777777" w:rsidR="009F031E" w:rsidRDefault="009F031E">
      <w:pPr>
        <w:suppressLineNumbers/>
        <w:spacing w:after="0" w:line="240" w:lineRule="auto"/>
        <w:ind w:left="720" w:hanging="720"/>
        <w:jc w:val="center"/>
        <w:rPr>
          <w:rFonts w:ascii="Book Antiqua" w:eastAsia="Times New Roman" w:hAnsi="Book Antiqua"/>
          <w:sz w:val="24"/>
          <w:szCs w:val="20"/>
          <w:lang w:val="es-PR"/>
        </w:rPr>
      </w:pPr>
    </w:p>
    <w:p w14:paraId="36BDBAFC" w14:textId="41F11811" w:rsidR="009F031E" w:rsidRDefault="009F031E">
      <w:pPr>
        <w:suppressLineNumbers/>
        <w:spacing w:after="0" w:line="240" w:lineRule="auto"/>
        <w:ind w:left="720" w:hanging="720"/>
        <w:jc w:val="center"/>
        <w:rPr>
          <w:rFonts w:ascii="Book Antiqua" w:eastAsia="Times New Roman" w:hAnsi="Book Antiqua"/>
          <w:sz w:val="24"/>
          <w:szCs w:val="20"/>
          <w:lang w:val="es-PR"/>
        </w:rPr>
      </w:pPr>
      <w:r>
        <w:rPr>
          <w:rFonts w:ascii="Book Antiqua" w:eastAsia="Times New Roman" w:hAnsi="Book Antiqua"/>
          <w:sz w:val="24"/>
          <w:szCs w:val="20"/>
          <w:lang w:val="es-PR"/>
        </w:rPr>
        <w:t xml:space="preserve">Referido a </w:t>
      </w:r>
      <w:r w:rsidR="006932E9">
        <w:rPr>
          <w:rFonts w:ascii="Book Antiqua" w:eastAsia="Times New Roman" w:hAnsi="Book Antiqua"/>
          <w:sz w:val="24"/>
          <w:szCs w:val="20"/>
          <w:lang w:val="es-PR"/>
        </w:rPr>
        <w:t>la Comisión de Salud</w:t>
      </w:r>
    </w:p>
    <w:p w14:paraId="27BB2FD6" w14:textId="77777777" w:rsidR="009F031E" w:rsidRPr="006932E9" w:rsidRDefault="009F031E">
      <w:pPr>
        <w:spacing w:after="0" w:line="240" w:lineRule="auto"/>
        <w:jc w:val="center"/>
        <w:rPr>
          <w:rFonts w:ascii="Book Antiqua" w:eastAsia="Times New Roman" w:hAnsi="Book Antiqua"/>
          <w:b/>
          <w:sz w:val="24"/>
          <w:szCs w:val="18"/>
          <w:lang w:val="es-PR"/>
        </w:rPr>
      </w:pPr>
    </w:p>
    <w:p w14:paraId="5326F9DC" w14:textId="77777777" w:rsidR="009F031E" w:rsidRDefault="009F031E">
      <w:pPr>
        <w:spacing w:after="0" w:line="240" w:lineRule="auto"/>
        <w:jc w:val="center"/>
        <w:rPr>
          <w:rFonts w:ascii="Book Antiqua" w:eastAsia="Times New Roman" w:hAnsi="Book Antiqua"/>
          <w:b/>
          <w:sz w:val="28"/>
          <w:szCs w:val="20"/>
          <w:lang w:val="es-PR"/>
        </w:rPr>
      </w:pPr>
      <w:r>
        <w:rPr>
          <w:rFonts w:ascii="Book Antiqua" w:eastAsia="Times New Roman" w:hAnsi="Book Antiqua"/>
          <w:b/>
          <w:sz w:val="28"/>
          <w:szCs w:val="20"/>
          <w:lang w:val="es-PR"/>
        </w:rPr>
        <w:t>LEY</w:t>
      </w:r>
    </w:p>
    <w:p w14:paraId="194C53F3" w14:textId="77777777" w:rsidR="009F031E" w:rsidRDefault="009F031E">
      <w:pPr>
        <w:spacing w:after="0" w:line="240" w:lineRule="auto"/>
        <w:jc w:val="center"/>
        <w:rPr>
          <w:rFonts w:ascii="Book Antiqua" w:eastAsia="Times New Roman" w:hAnsi="Book Antiqua"/>
          <w:b/>
          <w:sz w:val="28"/>
          <w:szCs w:val="20"/>
          <w:lang w:val="es-PR"/>
        </w:rPr>
      </w:pPr>
    </w:p>
    <w:p w14:paraId="203D61C1" w14:textId="77777777" w:rsidR="009F031E" w:rsidRDefault="009F031E" w:rsidP="006932E9">
      <w:pPr>
        <w:suppressLineNumbers/>
        <w:spacing w:after="0" w:line="240" w:lineRule="auto"/>
        <w:ind w:left="540" w:hanging="540"/>
        <w:jc w:val="both"/>
        <w:rPr>
          <w:rFonts w:ascii="Book Antiqua" w:hAnsi="Book Antiqua"/>
          <w:sz w:val="24"/>
          <w:szCs w:val="24"/>
          <w:lang w:val="es-PR"/>
        </w:rPr>
      </w:pPr>
      <w:r>
        <w:rPr>
          <w:rFonts w:ascii="Book Antiqua" w:hAnsi="Book Antiqua"/>
          <w:sz w:val="24"/>
          <w:szCs w:val="24"/>
          <w:lang w:val="es-PR"/>
        </w:rPr>
        <w:t xml:space="preserve">Para enmendar los Artículos 1, 2, 3, 4, 5 y 9; y añadir el Artículo 2A a la Ley 248-2018, conocida como la “Carta de Derechos de las Personas Viviendo con VIH en cualquiera de sus etapas en Puerto Rico”, a los fines de sustituir conceptos que pueden ser estigmatizantes; incluir en la Ley definiciones de conceptos relevantes; clarificar el lenguaje de algunas disposiciones sobre los derechos de las personas con diagnóstico positivo a VIH; aclarar responsabilidades del Departamento de Salud; y para otros fines relacionados.. </w:t>
      </w:r>
    </w:p>
    <w:p w14:paraId="6DDBDFBC" w14:textId="77777777" w:rsidR="009F031E" w:rsidRDefault="009F031E" w:rsidP="006932E9">
      <w:pPr>
        <w:spacing w:after="0" w:line="240" w:lineRule="auto"/>
        <w:ind w:left="360" w:hanging="360"/>
        <w:jc w:val="both"/>
        <w:rPr>
          <w:rFonts w:ascii="Book Antiqua" w:hAnsi="Book Antiqua"/>
          <w:sz w:val="24"/>
          <w:szCs w:val="24"/>
          <w:lang w:val="es-PR"/>
        </w:rPr>
      </w:pPr>
    </w:p>
    <w:p w14:paraId="27231919" w14:textId="77777777" w:rsidR="009F031E" w:rsidRDefault="009F031E" w:rsidP="006932E9">
      <w:pPr>
        <w:spacing w:after="0" w:line="240" w:lineRule="auto"/>
        <w:jc w:val="center"/>
        <w:rPr>
          <w:rFonts w:ascii="Book Antiqua" w:hAnsi="Book Antiqua"/>
          <w:sz w:val="24"/>
          <w:szCs w:val="24"/>
          <w:lang w:val="es-PR"/>
        </w:rPr>
      </w:pPr>
      <w:r w:rsidRPr="006932E9">
        <w:rPr>
          <w:rFonts w:ascii="Book Antiqua" w:hAnsi="Book Antiqua"/>
          <w:sz w:val="24"/>
          <w:szCs w:val="24"/>
          <w:lang w:val="es-PR"/>
        </w:rPr>
        <w:t>EXPOSICIÓN DE MOTIVOS</w:t>
      </w:r>
    </w:p>
    <w:p w14:paraId="285ED87E" w14:textId="77777777" w:rsidR="006932E9" w:rsidRPr="006932E9" w:rsidRDefault="006932E9" w:rsidP="006932E9">
      <w:pPr>
        <w:spacing w:after="0" w:line="240" w:lineRule="auto"/>
        <w:jc w:val="center"/>
        <w:rPr>
          <w:rFonts w:ascii="Book Antiqua" w:hAnsi="Book Antiqua"/>
          <w:sz w:val="24"/>
          <w:szCs w:val="24"/>
          <w:lang w:val="es-PR"/>
        </w:rPr>
      </w:pPr>
    </w:p>
    <w:p w14:paraId="088699D8" w14:textId="77777777" w:rsidR="009F031E" w:rsidRDefault="009F031E" w:rsidP="006932E9">
      <w:pPr>
        <w:suppressLineNumbers/>
        <w:spacing w:after="0" w:line="24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Con el fin de garantizar un trato digno y libre de discrimen a las personas viviendo con VIH en cualquiera de sus etapas, se aprobó la Ley 248-2018.  Mediante la referida Ley se estableció la “Carta de Derechos de las Personas Viviendo con VIH en cualquiera de sus etapas en Puerto Rico”.  De esta manera se procuraba garantizar la solidaridad necesaria para evitar el discrimen, estigma, exclusión social y prejuicio.  Además, esta Ley garantiza calidad de servicios y de tratamiento médico en personas viviendo con el Virus de Inmunodeficiencia Humana (VIH) en cualquiera de sus etapas.</w:t>
      </w:r>
    </w:p>
    <w:p w14:paraId="56DCAD82" w14:textId="77777777" w:rsidR="006932E9" w:rsidRDefault="006932E9" w:rsidP="006932E9">
      <w:pPr>
        <w:suppressLineNumbers/>
        <w:spacing w:after="0" w:line="240" w:lineRule="auto"/>
        <w:ind w:firstLine="720"/>
        <w:jc w:val="both"/>
        <w:rPr>
          <w:rFonts w:ascii="Book Antiqua" w:hAnsi="Book Antiqua"/>
          <w:color w:val="000000"/>
          <w:sz w:val="24"/>
          <w:szCs w:val="24"/>
          <w:lang w:val="es-PR"/>
        </w:rPr>
      </w:pPr>
    </w:p>
    <w:p w14:paraId="2EC8AB11" w14:textId="77777777" w:rsidR="009F031E" w:rsidRDefault="009F031E" w:rsidP="006932E9">
      <w:pPr>
        <w:suppressLineNumbers/>
        <w:spacing w:after="0" w:line="24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 xml:space="preserve">Históricamente, las personas con diagnóstico positivo a VIH han sido expuestas al discrimen y el estigma debido a su condición.  Esto contraviene sus derechos constitucionales, principalmente la Sección 1 del Artículo II de la Constitución del Estado Libre Asociado de Puerto Rico que decreta que: “La dignidad del ser humano es inviolable. Todos los [seres humanos] son iguales ante la Ley.”  En aras de proteger los </w:t>
      </w:r>
      <w:r>
        <w:rPr>
          <w:rFonts w:ascii="Book Antiqua" w:hAnsi="Book Antiqua"/>
          <w:color w:val="000000"/>
          <w:sz w:val="24"/>
          <w:szCs w:val="24"/>
          <w:lang w:val="es-PR"/>
        </w:rPr>
        <w:lastRenderedPageBreak/>
        <w:t xml:space="preserve">derechos de las personas con diagnóstico positivo a VIH, el Gobierno </w:t>
      </w:r>
      <w:r w:rsidRPr="00477E49">
        <w:rPr>
          <w:rFonts w:ascii="Book Antiqua" w:hAnsi="Book Antiqua"/>
          <w:strike/>
          <w:color w:val="000000"/>
          <w:sz w:val="24"/>
          <w:szCs w:val="24"/>
          <w:lang w:val="es-PR"/>
        </w:rPr>
        <w:t>del Estado Libre Asociado</w:t>
      </w:r>
      <w:r>
        <w:rPr>
          <w:rFonts w:ascii="Book Antiqua" w:hAnsi="Book Antiqua"/>
          <w:color w:val="000000"/>
          <w:sz w:val="24"/>
          <w:szCs w:val="24"/>
          <w:lang w:val="es-PR"/>
        </w:rPr>
        <w:t xml:space="preserve"> de Puerto Rico aprobó la Carta de Derechos y se comprometió a garantizar los mismos.</w:t>
      </w:r>
    </w:p>
    <w:p w14:paraId="16204539" w14:textId="77777777" w:rsidR="006932E9" w:rsidRDefault="006932E9" w:rsidP="006932E9">
      <w:pPr>
        <w:suppressLineNumbers/>
        <w:spacing w:after="0" w:line="240" w:lineRule="auto"/>
        <w:ind w:firstLine="720"/>
        <w:jc w:val="both"/>
        <w:rPr>
          <w:rFonts w:ascii="Book Antiqua" w:hAnsi="Book Antiqua"/>
          <w:color w:val="000000"/>
          <w:sz w:val="24"/>
          <w:szCs w:val="24"/>
          <w:lang w:val="es-PR"/>
        </w:rPr>
      </w:pPr>
    </w:p>
    <w:p w14:paraId="03084B4D" w14:textId="6EFC409E" w:rsidR="006932E9" w:rsidRDefault="009F031E" w:rsidP="006932E9">
      <w:pPr>
        <w:suppressLineNumbers/>
        <w:spacing w:after="0" w:line="24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 xml:space="preserve">Uno de los propósitos principales de esta Carta de Derechos es terminar con el discrimen y la estigmatización a las cuales han sido sometidas las personas con diagnóstico positivo a VIH.  Sin embargo, a pesar de que la Ley 248-2018 fue producto de un esfuerzo loable para modernizar la Carta de Derechos, la misma puede ser mejorada. Al presente, las personas con diagnóstico positivo a VIH en cualquiera de sus etapas continúan siendo vulnerabilizadas por algunos sectores de nuestra sociedad aun cuando deben gozar de todos los derechos humanos.  Asimismo, debido a que en algunas instancias el lenguaje de la Ley 248-2018 puede resultar estigmatizante, se modifican algunos conceptos. Bajo esta nueva ley se sustituyen conceptos, tales como la expresión “viviendo con VIH” la cual </w:t>
      </w:r>
      <w:r w:rsidR="00477E49" w:rsidRPr="00477E49">
        <w:rPr>
          <w:rFonts w:ascii="Book Antiqua" w:hAnsi="Book Antiqua"/>
          <w:i/>
          <w:iCs/>
          <w:color w:val="000000"/>
          <w:sz w:val="24"/>
          <w:szCs w:val="24"/>
          <w:u w:val="single"/>
          <w:lang w:val="es-PR"/>
        </w:rPr>
        <w:t>es</w:t>
      </w:r>
      <w:r w:rsidR="00477E49">
        <w:rPr>
          <w:rFonts w:ascii="Book Antiqua" w:hAnsi="Book Antiqua"/>
          <w:color w:val="000000"/>
          <w:sz w:val="24"/>
          <w:szCs w:val="24"/>
          <w:lang w:val="es-PR"/>
        </w:rPr>
        <w:t xml:space="preserve"> </w:t>
      </w:r>
      <w:r>
        <w:rPr>
          <w:rFonts w:ascii="Book Antiqua" w:hAnsi="Book Antiqua"/>
          <w:color w:val="000000"/>
          <w:sz w:val="24"/>
          <w:szCs w:val="24"/>
          <w:lang w:val="es-PR"/>
        </w:rPr>
        <w:t>considerada discriminatoria y se sustituye por “con diagnóstico positivo a VIH”.</w:t>
      </w:r>
    </w:p>
    <w:p w14:paraId="63577C79" w14:textId="32BC7604" w:rsidR="009F031E" w:rsidRDefault="009F031E" w:rsidP="006932E9">
      <w:pPr>
        <w:suppressLineNumbers/>
        <w:spacing w:after="0" w:line="24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 xml:space="preserve"> </w:t>
      </w:r>
    </w:p>
    <w:p w14:paraId="2E4F0ADF" w14:textId="77777777" w:rsidR="009F031E" w:rsidRDefault="009F031E" w:rsidP="006932E9">
      <w:pPr>
        <w:suppressLineNumbers/>
        <w:spacing w:after="0" w:line="24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 xml:space="preserve">Además, se utiliza un lenguaje más práctico para la protección de los derechos de las personas con diagnóstico positivo a VIH.  El fin es que estos derechos puedan hacerse valer adecuadamente.  De otra parte, se aclaran las responsabilidades del Departamento de Salud (DS) establecidas en la Ley 248-2018. Así, se podrá evitar malentendidos, salvaguardando los derechos de las personas y proveyendo unos parámetros más claros y objetivos. </w:t>
      </w:r>
    </w:p>
    <w:p w14:paraId="7806AA34" w14:textId="77777777" w:rsidR="006932E9" w:rsidRDefault="006932E9" w:rsidP="006932E9">
      <w:pPr>
        <w:suppressLineNumbers/>
        <w:spacing w:after="0" w:line="240" w:lineRule="auto"/>
        <w:ind w:firstLine="720"/>
        <w:jc w:val="both"/>
        <w:rPr>
          <w:rFonts w:ascii="Book Antiqua" w:hAnsi="Book Antiqua"/>
          <w:color w:val="000000"/>
          <w:sz w:val="24"/>
          <w:szCs w:val="24"/>
          <w:lang w:val="es-PR"/>
        </w:rPr>
      </w:pPr>
    </w:p>
    <w:p w14:paraId="2960C97B" w14:textId="77777777" w:rsidR="009F031E" w:rsidRDefault="009F031E" w:rsidP="006932E9">
      <w:pPr>
        <w:suppressLineNumbers/>
        <w:spacing w:after="0" w:line="240" w:lineRule="auto"/>
        <w:ind w:firstLine="720"/>
        <w:jc w:val="both"/>
        <w:rPr>
          <w:rFonts w:ascii="Book Antiqua" w:hAnsi="Book Antiqua"/>
          <w:sz w:val="24"/>
          <w:szCs w:val="24"/>
          <w:lang w:val="es-PR"/>
        </w:rPr>
      </w:pPr>
      <w:r>
        <w:rPr>
          <w:rFonts w:ascii="Book Antiqua" w:hAnsi="Book Antiqua"/>
          <w:color w:val="000000"/>
          <w:sz w:val="24"/>
          <w:szCs w:val="24"/>
          <w:lang w:val="es-PR"/>
        </w:rPr>
        <w:t xml:space="preserve">En vista de lo anterior, esta Asamblea Legislativa entiende es meritorio enmendar la Carta de Derechos de las Personas con diagnóstico positivo a VIH con el fin de optimizarla al sustituir conceptos que pueden ser estigmatizantes; añadir el Artículo 2A con definiciones de conceptos relevantes; clarificar el lenguaje de algunas disposiciones sobre los derechos de las personas con diagnóstico positivo a VIH.   Con esta enmienda se les brinda un mejor trato a las personas con diagnóstico positivo a VIH y se contribuye a proteger su </w:t>
      </w:r>
      <w:proofErr w:type="gramStart"/>
      <w:r>
        <w:rPr>
          <w:rFonts w:ascii="Book Antiqua" w:hAnsi="Book Antiqua"/>
          <w:color w:val="000000"/>
          <w:sz w:val="24"/>
          <w:szCs w:val="24"/>
          <w:lang w:val="es-PR"/>
        </w:rPr>
        <w:t>dignidad.</w:t>
      </w:r>
      <w:r w:rsidRPr="005B5558">
        <w:rPr>
          <w:rFonts w:ascii="Book Antiqua" w:hAnsi="Book Antiqua"/>
          <w:strike/>
          <w:color w:val="000000"/>
          <w:sz w:val="24"/>
          <w:szCs w:val="24"/>
          <w:lang w:val="es-PR"/>
        </w:rPr>
        <w:t>.</w:t>
      </w:r>
      <w:proofErr w:type="gramEnd"/>
      <w:r w:rsidRPr="005B5558">
        <w:rPr>
          <w:rFonts w:ascii="Book Antiqua" w:hAnsi="Book Antiqua"/>
          <w:strike/>
          <w:color w:val="000000"/>
          <w:sz w:val="24"/>
          <w:szCs w:val="24"/>
          <w:lang w:val="es-PR"/>
        </w:rPr>
        <w:t xml:space="preserve"> </w:t>
      </w:r>
      <w:r>
        <w:rPr>
          <w:rFonts w:ascii="Book Antiqua" w:hAnsi="Book Antiqua"/>
          <w:color w:val="000000"/>
          <w:sz w:val="24"/>
          <w:szCs w:val="24"/>
          <w:lang w:val="es-PR"/>
        </w:rPr>
        <w:t xml:space="preserve"> </w:t>
      </w:r>
      <w:r>
        <w:rPr>
          <w:rFonts w:ascii="Book Antiqua" w:hAnsi="Book Antiqua"/>
          <w:sz w:val="24"/>
          <w:szCs w:val="24"/>
          <w:lang w:val="es-PR"/>
        </w:rPr>
        <w:t xml:space="preserve"> </w:t>
      </w:r>
    </w:p>
    <w:p w14:paraId="011E3D91" w14:textId="77777777" w:rsidR="009F031E" w:rsidRDefault="009F031E" w:rsidP="006932E9">
      <w:pPr>
        <w:suppressLineNumbers/>
        <w:spacing w:after="0" w:line="240" w:lineRule="auto"/>
        <w:ind w:firstLine="720"/>
        <w:jc w:val="both"/>
        <w:rPr>
          <w:rFonts w:ascii="Book Antiqua" w:hAnsi="Book Antiqua"/>
          <w:sz w:val="24"/>
          <w:szCs w:val="24"/>
          <w:lang w:val="es-PR"/>
        </w:rPr>
      </w:pPr>
    </w:p>
    <w:p w14:paraId="002C9AE7" w14:textId="77777777" w:rsidR="009F031E" w:rsidRDefault="009F031E">
      <w:pPr>
        <w:shd w:val="clear" w:color="auto" w:fill="FFFFFF"/>
        <w:spacing w:after="0" w:line="480" w:lineRule="auto"/>
        <w:jc w:val="both"/>
        <w:rPr>
          <w:rFonts w:ascii="Book Antiqua" w:eastAsia="Times New Roman" w:hAnsi="Book Antiqua"/>
          <w:b/>
          <w:color w:val="000000"/>
          <w:sz w:val="24"/>
          <w:szCs w:val="24"/>
          <w:lang w:val="es-PR"/>
        </w:rPr>
      </w:pPr>
      <w:r>
        <w:rPr>
          <w:rFonts w:ascii="Book Antiqua" w:eastAsia="Times New Roman" w:hAnsi="Book Antiqua"/>
          <w:bCs/>
          <w:i/>
          <w:color w:val="000000"/>
          <w:sz w:val="24"/>
          <w:szCs w:val="24"/>
          <w:lang w:val="es-PR"/>
        </w:rPr>
        <w:t>DECRÉTASE POR LA ASAMBLEA LEGISLATIVA DEL PUERTO RICO</w:t>
      </w:r>
      <w:r>
        <w:rPr>
          <w:rFonts w:ascii="Book Antiqua" w:eastAsia="Times New Roman" w:hAnsi="Book Antiqua"/>
          <w:b/>
          <w:iCs/>
          <w:color w:val="000000"/>
          <w:sz w:val="24"/>
          <w:szCs w:val="24"/>
          <w:lang w:val="es-PR"/>
        </w:rPr>
        <w:t xml:space="preserve">: </w:t>
      </w:r>
    </w:p>
    <w:p w14:paraId="4A3F3E60" w14:textId="77777777" w:rsidR="009F031E" w:rsidRDefault="009F031E">
      <w:pPr>
        <w:spacing w:after="0" w:line="480" w:lineRule="auto"/>
        <w:rPr>
          <w:rFonts w:ascii="Book Antiqua" w:eastAsia="Times New Roman" w:hAnsi="Book Antiqua"/>
          <w:color w:val="000000"/>
          <w:sz w:val="24"/>
          <w:szCs w:val="24"/>
          <w:lang w:val="es-PR"/>
        </w:rPr>
        <w:sectPr w:rsidR="009F031E">
          <w:headerReference w:type="default" r:id="rId7"/>
          <w:footerReference w:type="default" r:id="rId8"/>
          <w:pgSz w:w="12240" w:h="15840"/>
          <w:pgMar w:top="1440" w:right="1440" w:bottom="1440" w:left="1440" w:header="720" w:footer="720" w:gutter="0"/>
          <w:cols w:space="720"/>
          <w:titlePg/>
          <w:docGrid w:linePitch="360"/>
        </w:sectPr>
      </w:pPr>
    </w:p>
    <w:p w14:paraId="7748BF86"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t>Sección 1.- Sección 1. - Se enmienda el Artículo 1 de la Ley 248-2018 para que lea como sigue:</w:t>
      </w:r>
    </w:p>
    <w:p w14:paraId="3CE87988"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“Artículo 1. - Esta Ley se conocerá como “Carta de Derechos de las Personas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en Puerto Rico.”</w:t>
      </w:r>
    </w:p>
    <w:p w14:paraId="1E8A80C9"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lastRenderedPageBreak/>
        <w:t>Sección 2. - Se enmienda el inciso (c) del Artículo 2 de la Ley 248-2018, para que lea como sigue:</w:t>
      </w:r>
    </w:p>
    <w:p w14:paraId="427B715E"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“Artículo 2.- Política Pública </w:t>
      </w:r>
    </w:p>
    <w:p w14:paraId="14B8EE87"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El Gobierno de Puerto Rico reconoce su responsabilidad de proveer, hasta donde sus medios y recursos lo hagan factible, las condiciones adecuadas que promuevan en las personas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el goce de una vida plena y el disfrute de sus derechos naturales humanos y legales.  </w:t>
      </w:r>
      <w:r>
        <w:rPr>
          <w:rFonts w:ascii="Book Antiqua" w:hAnsi="Book Antiqua"/>
          <w:b/>
          <w:bCs/>
          <w:sz w:val="24"/>
          <w:szCs w:val="24"/>
          <w:lang w:val="es-PR"/>
        </w:rPr>
        <w:t xml:space="preserve">[Se] </w:t>
      </w:r>
      <w:r>
        <w:rPr>
          <w:rFonts w:ascii="Book Antiqua" w:hAnsi="Book Antiqua"/>
          <w:i/>
          <w:iCs/>
          <w:sz w:val="24"/>
          <w:szCs w:val="24"/>
          <w:lang w:val="es-PR"/>
        </w:rPr>
        <w:t>Por lo tanto,</w:t>
      </w:r>
      <w:r>
        <w:rPr>
          <w:rFonts w:ascii="Book Antiqua" w:hAnsi="Book Antiqua"/>
          <w:sz w:val="24"/>
          <w:szCs w:val="24"/>
          <w:lang w:val="es-PR"/>
        </w:rPr>
        <w:t xml:space="preserve"> se declara política pública el garantizar a las personas con diagnóstico positivo a VIH en cualquiera de sus etapas: </w:t>
      </w:r>
    </w:p>
    <w:p w14:paraId="15A3808B"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a) …</w:t>
      </w:r>
    </w:p>
    <w:p w14:paraId="3C87239F"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b) … </w:t>
      </w:r>
    </w:p>
    <w:p w14:paraId="276E5D69"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c) Facilitar el acceso a ingresar a una institución hospitalaria o de cuidado prolongado a las personas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que se encuentren en etapa terminal cuando medie la recomendación clínica. </w:t>
      </w:r>
    </w:p>
    <w:p w14:paraId="50024608"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d) …”</w:t>
      </w:r>
    </w:p>
    <w:p w14:paraId="0245864A"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t>Sección 3. - Se añade un nuevo Artículo 2A a la Ley 248-2018 que lea como sigue:</w:t>
      </w:r>
    </w:p>
    <w:p w14:paraId="403D6F25" w14:textId="77777777" w:rsidR="009F031E" w:rsidRDefault="009F031E">
      <w:pPr>
        <w:spacing w:after="0" w:line="480" w:lineRule="auto"/>
        <w:ind w:left="360" w:firstLine="360"/>
        <w:contextualSpacing/>
        <w:jc w:val="both"/>
        <w:rPr>
          <w:rFonts w:ascii="Book Antiqua" w:hAnsi="Book Antiqua"/>
          <w:i/>
          <w:iCs/>
          <w:sz w:val="24"/>
          <w:szCs w:val="24"/>
          <w:lang w:val="es-PR"/>
        </w:rPr>
      </w:pPr>
      <w:r>
        <w:rPr>
          <w:rFonts w:ascii="Book Antiqua" w:hAnsi="Book Antiqua"/>
          <w:i/>
          <w:iCs/>
          <w:sz w:val="24"/>
          <w:szCs w:val="24"/>
          <w:lang w:val="es-PR"/>
        </w:rPr>
        <w:t>“Artículo 2A.- Definiciones.</w:t>
      </w:r>
    </w:p>
    <w:p w14:paraId="0FDDA302" w14:textId="77777777" w:rsidR="009F031E" w:rsidRDefault="009F031E">
      <w:pPr>
        <w:spacing w:after="0" w:line="480" w:lineRule="auto"/>
        <w:ind w:left="360" w:firstLine="360"/>
        <w:contextualSpacing/>
        <w:jc w:val="both"/>
        <w:rPr>
          <w:rFonts w:ascii="Book Antiqua" w:hAnsi="Book Antiqua"/>
          <w:i/>
          <w:iCs/>
          <w:sz w:val="24"/>
          <w:szCs w:val="24"/>
          <w:lang w:val="es-PR"/>
        </w:rPr>
      </w:pPr>
      <w:r>
        <w:rPr>
          <w:rFonts w:ascii="Book Antiqua" w:hAnsi="Book Antiqua"/>
          <w:i/>
          <w:iCs/>
          <w:sz w:val="24"/>
          <w:szCs w:val="24"/>
          <w:lang w:val="es-PR"/>
        </w:rPr>
        <w:t>Para propósitos de esta ley, se utilizarán las siguientes definiciones basadas en las definiciones del National Institute of Health (NIH) y del Departamento de Salud y Servicios Humanos de Estados Unidos (HHS, por sus siglas en inglés):</w:t>
      </w:r>
    </w:p>
    <w:p w14:paraId="44C32F8F" w14:textId="77777777" w:rsidR="009F031E" w:rsidRDefault="009F031E">
      <w:pPr>
        <w:numPr>
          <w:ilvl w:val="0"/>
          <w:numId w:val="2"/>
        </w:numPr>
        <w:spacing w:after="0" w:line="480" w:lineRule="auto"/>
        <w:ind w:left="720"/>
        <w:contextualSpacing/>
        <w:jc w:val="both"/>
        <w:rPr>
          <w:rFonts w:ascii="Book Antiqua" w:hAnsi="Book Antiqua"/>
          <w:i/>
          <w:iCs/>
          <w:sz w:val="24"/>
          <w:szCs w:val="24"/>
          <w:lang w:val="es-PR"/>
        </w:rPr>
      </w:pPr>
      <w:r>
        <w:rPr>
          <w:rFonts w:ascii="Book Antiqua" w:hAnsi="Book Antiqua"/>
          <w:bCs/>
          <w:i/>
          <w:iCs/>
          <w:sz w:val="24"/>
          <w:szCs w:val="24"/>
          <w:lang w:val="es-PR"/>
        </w:rPr>
        <w:t xml:space="preserve">Medicamentos antirretrovirales - </w:t>
      </w:r>
      <w:r>
        <w:rPr>
          <w:rFonts w:ascii="Book Antiqua" w:hAnsi="Book Antiqua"/>
          <w:i/>
          <w:iCs/>
          <w:sz w:val="24"/>
          <w:szCs w:val="24"/>
          <w:lang w:val="es-PR"/>
        </w:rPr>
        <w:t xml:space="preserve">medicamento empleado para impedir la replicación de un retrovirus, como el VIH. </w:t>
      </w:r>
    </w:p>
    <w:p w14:paraId="0F0464C2" w14:textId="0337BAB3" w:rsidR="009F031E" w:rsidRDefault="009F031E">
      <w:pPr>
        <w:numPr>
          <w:ilvl w:val="0"/>
          <w:numId w:val="2"/>
        </w:numPr>
        <w:spacing w:after="0" w:line="480" w:lineRule="auto"/>
        <w:ind w:left="720"/>
        <w:contextualSpacing/>
        <w:jc w:val="both"/>
        <w:rPr>
          <w:rFonts w:ascii="Book Antiqua" w:hAnsi="Book Antiqua"/>
          <w:i/>
          <w:iCs/>
          <w:sz w:val="24"/>
          <w:szCs w:val="24"/>
          <w:lang w:val="es-PR"/>
        </w:rPr>
      </w:pPr>
      <w:r w:rsidRPr="006932E9">
        <w:rPr>
          <w:rFonts w:ascii="Book Antiqua" w:hAnsi="Book Antiqua"/>
          <w:bCs/>
          <w:i/>
          <w:iCs/>
          <w:sz w:val="24"/>
          <w:szCs w:val="24"/>
          <w:lang w:val="pt-PT"/>
        </w:rPr>
        <w:lastRenderedPageBreak/>
        <w:t xml:space="preserve">SIDA - </w:t>
      </w:r>
      <w:r w:rsidRPr="006932E9">
        <w:rPr>
          <w:rFonts w:ascii="Book Antiqua" w:hAnsi="Book Antiqua"/>
          <w:i/>
          <w:iCs/>
          <w:sz w:val="24"/>
          <w:szCs w:val="24"/>
          <w:lang w:val="pt-PT"/>
        </w:rPr>
        <w:t xml:space="preserve">Significa Síndrome de Inmunodeficiencia Adquirida. </w:t>
      </w:r>
      <w:r>
        <w:rPr>
          <w:rFonts w:ascii="Book Antiqua" w:hAnsi="Book Antiqua"/>
          <w:i/>
          <w:iCs/>
          <w:sz w:val="24"/>
          <w:szCs w:val="24"/>
          <w:lang w:val="es-PR"/>
        </w:rPr>
        <w:t xml:space="preserve">El SIDA es la etapa dentro de la enfermedad más avanzada de la infección por el VIH que ataca y debilita el sistema inmunológico. El diagnóstico de SIDA ocurre cuando las personas con VIH tienen su sistema inmune gravemente </w:t>
      </w:r>
      <w:r w:rsidRPr="008654B8">
        <w:rPr>
          <w:rFonts w:ascii="Book Antiqua" w:hAnsi="Book Antiqua"/>
          <w:i/>
          <w:iCs/>
          <w:strike/>
          <w:sz w:val="24"/>
          <w:szCs w:val="24"/>
          <w:lang w:val="es-PR"/>
        </w:rPr>
        <w:t>dañado</w:t>
      </w:r>
      <w:r w:rsidR="008654B8">
        <w:rPr>
          <w:rFonts w:ascii="Book Antiqua" w:hAnsi="Book Antiqua"/>
          <w:i/>
          <w:iCs/>
          <w:sz w:val="24"/>
          <w:szCs w:val="24"/>
          <w:lang w:val="es-PR"/>
        </w:rPr>
        <w:t xml:space="preserve"> </w:t>
      </w:r>
      <w:r w:rsidR="008654B8">
        <w:rPr>
          <w:rFonts w:ascii="Book Antiqua" w:hAnsi="Book Antiqua"/>
          <w:i/>
          <w:iCs/>
          <w:sz w:val="24"/>
          <w:szCs w:val="24"/>
          <w:u w:val="single"/>
          <w:lang w:val="es-PR"/>
        </w:rPr>
        <w:t>comprometido</w:t>
      </w:r>
      <w:r>
        <w:rPr>
          <w:rFonts w:ascii="Book Antiqua" w:hAnsi="Book Antiqua"/>
          <w:i/>
          <w:iCs/>
          <w:sz w:val="24"/>
          <w:szCs w:val="24"/>
          <w:lang w:val="es-PR"/>
        </w:rPr>
        <w:t xml:space="preserve"> y contraen infecciones oportunistas y/o su </w:t>
      </w:r>
      <w:r w:rsidRPr="008654B8">
        <w:rPr>
          <w:rFonts w:ascii="Book Antiqua" w:hAnsi="Book Antiqua"/>
          <w:i/>
          <w:iCs/>
          <w:strike/>
          <w:sz w:val="24"/>
          <w:szCs w:val="24"/>
          <w:lang w:val="es-PR"/>
        </w:rPr>
        <w:t>recuento</w:t>
      </w:r>
      <w:r>
        <w:rPr>
          <w:rFonts w:ascii="Book Antiqua" w:hAnsi="Book Antiqua"/>
          <w:i/>
          <w:iCs/>
          <w:sz w:val="24"/>
          <w:szCs w:val="24"/>
          <w:lang w:val="es-PR"/>
        </w:rPr>
        <w:t xml:space="preserve"> </w:t>
      </w:r>
      <w:r w:rsidR="008654B8">
        <w:rPr>
          <w:rFonts w:ascii="Book Antiqua" w:hAnsi="Book Antiqua"/>
          <w:i/>
          <w:iCs/>
          <w:sz w:val="24"/>
          <w:szCs w:val="24"/>
          <w:u w:val="single"/>
          <w:lang w:val="es-PR"/>
        </w:rPr>
        <w:t>conteo</w:t>
      </w:r>
      <w:r w:rsidR="008654B8">
        <w:rPr>
          <w:rFonts w:ascii="Book Antiqua" w:hAnsi="Book Antiqua"/>
          <w:i/>
          <w:iCs/>
          <w:sz w:val="24"/>
          <w:szCs w:val="24"/>
          <w:lang w:val="es-PR"/>
        </w:rPr>
        <w:t xml:space="preserve"> </w:t>
      </w:r>
      <w:r>
        <w:rPr>
          <w:rFonts w:ascii="Book Antiqua" w:hAnsi="Book Antiqua"/>
          <w:i/>
          <w:iCs/>
          <w:sz w:val="24"/>
          <w:szCs w:val="24"/>
          <w:lang w:val="es-PR"/>
        </w:rPr>
        <w:t xml:space="preserve">de células de defensa (CD4) cae por debajo de 200 células. Como consecuencia la persona enferma gravemente lo que le causa la muerte. </w:t>
      </w:r>
    </w:p>
    <w:p w14:paraId="369A17DB" w14:textId="77777777" w:rsidR="009F031E" w:rsidRDefault="009F031E">
      <w:pPr>
        <w:numPr>
          <w:ilvl w:val="0"/>
          <w:numId w:val="2"/>
        </w:numPr>
        <w:spacing w:after="0" w:line="480" w:lineRule="auto"/>
        <w:ind w:left="720"/>
        <w:contextualSpacing/>
        <w:jc w:val="both"/>
        <w:rPr>
          <w:rFonts w:ascii="Book Antiqua" w:hAnsi="Book Antiqua"/>
          <w:i/>
          <w:iCs/>
          <w:sz w:val="24"/>
          <w:szCs w:val="24"/>
          <w:lang w:val="es-PR"/>
        </w:rPr>
      </w:pPr>
      <w:r>
        <w:rPr>
          <w:rFonts w:ascii="Book Antiqua" w:hAnsi="Book Antiqua"/>
          <w:bCs/>
          <w:i/>
          <w:iCs/>
          <w:sz w:val="24"/>
          <w:szCs w:val="24"/>
          <w:lang w:val="es-PR"/>
        </w:rPr>
        <w:t>VIH – Significa Virus de Inmunodeficiencia Humana.  Es un Retrovirus</w:t>
      </w:r>
      <w:r>
        <w:rPr>
          <w:rFonts w:ascii="Book Antiqua" w:hAnsi="Book Antiqua"/>
          <w:i/>
          <w:iCs/>
          <w:sz w:val="24"/>
          <w:szCs w:val="24"/>
          <w:lang w:val="es-PR"/>
        </w:rPr>
        <w:t xml:space="preserve"> que puede causar el Síndrome de Inmunodeficiencia Adquirida (SIDA), que es la fase más avanzada de la infección por este virus. Tiene dos tipos: VIH-1 y VIH-2. Ambos se transmiten por contacto directo con la sangre, el semen, fluidos vaginales, fluido rectal o leche materna de una persona con VIH.</w:t>
      </w:r>
    </w:p>
    <w:p w14:paraId="5091FAEF" w14:textId="77777777" w:rsidR="009F031E" w:rsidRDefault="009F031E">
      <w:pPr>
        <w:numPr>
          <w:ilvl w:val="0"/>
          <w:numId w:val="2"/>
        </w:numPr>
        <w:spacing w:after="0" w:line="480" w:lineRule="auto"/>
        <w:ind w:left="720"/>
        <w:contextualSpacing/>
        <w:jc w:val="both"/>
        <w:rPr>
          <w:rFonts w:ascii="Book Antiqua" w:hAnsi="Book Antiqua"/>
          <w:i/>
          <w:iCs/>
          <w:sz w:val="24"/>
          <w:szCs w:val="24"/>
          <w:lang w:val="es-PR"/>
        </w:rPr>
      </w:pPr>
      <w:r>
        <w:rPr>
          <w:rFonts w:ascii="Book Antiqua" w:hAnsi="Book Antiqua"/>
          <w:i/>
          <w:iCs/>
          <w:sz w:val="24"/>
          <w:szCs w:val="24"/>
          <w:lang w:val="es-PR"/>
        </w:rPr>
        <w:t>Persona con diagnóstico positivo a VIH - Una persona que haya recibido un resultado positivo a una prueba confirmatoria del virus de VIH.”</w:t>
      </w:r>
    </w:p>
    <w:p w14:paraId="0B547C84"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t>Sección 4.- Se enmienda el Artículo 3 de la Ley 248-2018 para que se lea como sigue:</w:t>
      </w:r>
    </w:p>
    <w:p w14:paraId="433997B0"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 “Artículo 3.- Carta de Derechos de las Personas con diagnóstico positivo a VIH en cualquiera de sus etapas en Puerto Rico. </w:t>
      </w:r>
    </w:p>
    <w:p w14:paraId="137D1C92"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1. Se garantiza de manera efectiva e igualitaria la vigencia de los derechos que establecen las leyes y la Carta de Derechos de la Constitución de Puerto Rico.</w:t>
      </w:r>
    </w:p>
    <w:p w14:paraId="41BDDA84"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2. 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tiene derecho a: la protección de salud, asistencia, cuidado de salud, </w:t>
      </w:r>
      <w:r>
        <w:rPr>
          <w:rFonts w:ascii="Book Antiqua" w:hAnsi="Book Antiqua"/>
          <w:b/>
          <w:bCs/>
          <w:sz w:val="24"/>
          <w:szCs w:val="24"/>
          <w:lang w:val="es-PR"/>
        </w:rPr>
        <w:t xml:space="preserve">[y] </w:t>
      </w:r>
      <w:r>
        <w:rPr>
          <w:rFonts w:ascii="Book Antiqua" w:hAnsi="Book Antiqua"/>
          <w:sz w:val="24"/>
          <w:szCs w:val="24"/>
          <w:lang w:val="es-PR"/>
        </w:rPr>
        <w:t>al tratamiento idóneo</w:t>
      </w:r>
      <w:r>
        <w:rPr>
          <w:rFonts w:ascii="Book Antiqua" w:hAnsi="Book Antiqua"/>
          <w:i/>
          <w:iCs/>
          <w:sz w:val="24"/>
          <w:szCs w:val="24"/>
          <w:lang w:val="es-PR"/>
        </w:rPr>
        <w:t xml:space="preserve">, al trato igualitario por todo el personal de salud </w:t>
      </w:r>
      <w:r>
        <w:rPr>
          <w:rFonts w:ascii="Book Antiqua" w:hAnsi="Book Antiqua"/>
          <w:i/>
          <w:iCs/>
          <w:sz w:val="24"/>
          <w:szCs w:val="24"/>
          <w:lang w:val="es-ES_tradnl"/>
        </w:rPr>
        <w:t>y a ser protegido del discrimen en la prestación de los servicios</w:t>
      </w:r>
      <w:r>
        <w:rPr>
          <w:rFonts w:ascii="Book Antiqua" w:hAnsi="Book Antiqua"/>
          <w:i/>
          <w:iCs/>
          <w:sz w:val="24"/>
          <w:szCs w:val="24"/>
          <w:u w:val="single"/>
          <w:lang w:val="es-ES_tradnl"/>
        </w:rPr>
        <w:t>.</w:t>
      </w:r>
      <w:r>
        <w:rPr>
          <w:rFonts w:ascii="Book Antiqua" w:hAnsi="Book Antiqua"/>
          <w:i/>
          <w:iCs/>
          <w:sz w:val="24"/>
          <w:szCs w:val="24"/>
          <w:lang w:val="es-ES_tradnl"/>
        </w:rPr>
        <w:t xml:space="preserve"> o barreras que no tienen justificación médica en la </w:t>
      </w:r>
      <w:r>
        <w:rPr>
          <w:rFonts w:ascii="Book Antiqua" w:hAnsi="Book Antiqua"/>
          <w:i/>
          <w:iCs/>
          <w:sz w:val="24"/>
          <w:szCs w:val="24"/>
          <w:lang w:val="es-ES_tradnl"/>
        </w:rPr>
        <w:lastRenderedPageBreak/>
        <w:t>prestación del servicio a la persona viviendo con diagnóstico positivo a VIH</w:t>
      </w:r>
      <w:r>
        <w:rPr>
          <w:rFonts w:ascii="Book Antiqua" w:hAnsi="Book Antiqua"/>
          <w:iCs/>
          <w:sz w:val="24"/>
          <w:szCs w:val="24"/>
          <w:lang w:val="es-ES_tradnl"/>
        </w:rPr>
        <w:t>.  Estas personas recibirán información clara, exacta y científica sobre la infección por el VIH en todas sus etapas, incluyendo la etapa SIDA (etapa más avanzada de la infección), sin ningún tipo de restricción. Al igual tienen derecho a recibir información específica sobre su estado de salud, resultados de laboratorio y opciones de tratamiento farmacológico idóneo</w:t>
      </w:r>
    </w:p>
    <w:p w14:paraId="2B74CCC0"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3. Ningún individuo o entidad podrá restringir la libertad o los derechos de las personas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estableciendo discrimen alguno por motivo de raza, color, sexo, orientación sexual, nacimiento, origen o condición social, </w:t>
      </w:r>
      <w:r>
        <w:rPr>
          <w:rFonts w:ascii="Book Antiqua" w:hAnsi="Book Antiqua"/>
          <w:i/>
          <w:iCs/>
          <w:sz w:val="24"/>
          <w:szCs w:val="24"/>
          <w:lang w:val="es-PR"/>
        </w:rPr>
        <w:t>condición de salud</w:t>
      </w:r>
      <w:r>
        <w:rPr>
          <w:rFonts w:ascii="Book Antiqua" w:hAnsi="Book Antiqua"/>
          <w:sz w:val="24"/>
          <w:szCs w:val="24"/>
          <w:lang w:val="es-PR"/>
        </w:rPr>
        <w:t>, ni ideas políticas o religiosas. Se garantiza a estas personas el derecho a vivir libre de discriminación.  El Estado, ni ninguna persona natural o jurídica solicitará información que atente contra la intimidad de la persona</w:t>
      </w:r>
      <w:r>
        <w:rPr>
          <w:rFonts w:ascii="Book Antiqua" w:hAnsi="Book Antiqua"/>
          <w:b/>
          <w:bCs/>
          <w:sz w:val="24"/>
          <w:szCs w:val="24"/>
          <w:lang w:val="es-PR"/>
        </w:rPr>
        <w:t xml:space="preserve"> [viviendo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ni establecerá registros de las personas que hayan sido sus contactos sexuales, salvo para investigaciones epidemiológicas del Departamento de Salud, según lo dispuesto en la Ley Núm. 81 de 4 de junio de 1983, según enmendada, conocida como “Ley para la Prevención y Tratamiento de Enfermedades de Transmisión Sexual”. </w:t>
      </w:r>
    </w:p>
    <w:p w14:paraId="3ADFB093"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4. 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tiene derecho a una vivienda digna, no se le podrá conceder crédito de vivienda y/o alquiler, sujeto a la condición de que provea prueba de diagnóstico de </w:t>
      </w:r>
      <w:r>
        <w:rPr>
          <w:rFonts w:ascii="Book Antiqua" w:hAnsi="Book Antiqua"/>
          <w:sz w:val="24"/>
          <w:szCs w:val="24"/>
          <w:lang w:val="es-PR"/>
        </w:rPr>
        <w:lastRenderedPageBreak/>
        <w:t xml:space="preserve">VIH, con excepción de los programas federales que establecen diagnósticos con requisito imprescindible como HOPWA y Ryan White. </w:t>
      </w:r>
    </w:p>
    <w:p w14:paraId="3285D48A"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5. Ninguna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será sometido a aislamiento, cuarentena o cualquier otro tipo de segregación, excepto en situaciones que lo ameriten clínicamente, debidamente documentadas, para la protección de su salud y bajo su conocimiento; en estos casos se realizará sin identificar su condición o diagnóstico </w:t>
      </w:r>
      <w:r>
        <w:rPr>
          <w:rFonts w:ascii="Book Antiqua" w:hAnsi="Book Antiqua"/>
          <w:b/>
          <w:bCs/>
          <w:sz w:val="24"/>
          <w:szCs w:val="24"/>
          <w:lang w:val="es-PR"/>
        </w:rPr>
        <w:t xml:space="preserve">[de] </w:t>
      </w:r>
      <w:r>
        <w:rPr>
          <w:rFonts w:ascii="Book Antiqua" w:hAnsi="Book Antiqua"/>
          <w:i/>
          <w:iCs/>
          <w:sz w:val="24"/>
          <w:szCs w:val="24"/>
          <w:lang w:val="es-PR"/>
        </w:rPr>
        <w:t>positivo a</w:t>
      </w:r>
      <w:r>
        <w:rPr>
          <w:rFonts w:ascii="Book Antiqua" w:hAnsi="Book Antiqua"/>
          <w:sz w:val="24"/>
          <w:szCs w:val="24"/>
          <w:lang w:val="es-PR"/>
        </w:rPr>
        <w:t xml:space="preserve"> VIH. </w:t>
      </w:r>
    </w:p>
    <w:p w14:paraId="53378381"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6. 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tiene derecho a participar en todos los aspectos de la vida social. Toda acción que por razón de su condición tienda a negar a estos ciudadanos de: empleo, alojamiento, asistencia o privarles de los mismos, o que tienda a restringir su participación en actividades colectiva, escolares y militares, debe ser considerada discriminatoria y será castigada por esta Ley.</w:t>
      </w:r>
    </w:p>
    <w:p w14:paraId="13BCCFBF" w14:textId="0C664F06" w:rsidR="009F031E" w:rsidRDefault="009F031E">
      <w:pPr>
        <w:spacing w:after="0" w:line="480" w:lineRule="auto"/>
        <w:ind w:left="360" w:firstLine="360"/>
        <w:contextualSpacing/>
        <w:jc w:val="both"/>
        <w:rPr>
          <w:rFonts w:ascii="Book Antiqua" w:hAnsi="Book Antiqua"/>
          <w:i/>
          <w:iCs/>
          <w:sz w:val="24"/>
          <w:szCs w:val="24"/>
          <w:lang w:val="es-PR"/>
        </w:rPr>
      </w:pPr>
      <w:r>
        <w:rPr>
          <w:rFonts w:ascii="Book Antiqua" w:hAnsi="Book Antiqua"/>
          <w:sz w:val="24"/>
          <w:szCs w:val="24"/>
          <w:lang w:val="es-PR"/>
        </w:rPr>
        <w:t xml:space="preserve">7. La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tiene derecho a gozar de una estabilidad laboral dentro de lo establecido por la legislación estatal y federal aplicable. </w:t>
      </w:r>
      <w:r>
        <w:rPr>
          <w:rFonts w:ascii="Book Antiqua" w:hAnsi="Book Antiqua"/>
          <w:b/>
          <w:bCs/>
          <w:sz w:val="24"/>
          <w:szCs w:val="24"/>
          <w:lang w:val="es-PR"/>
        </w:rPr>
        <w:t>[Bajo ninguna circunstancia, la]</w:t>
      </w:r>
      <w:r>
        <w:rPr>
          <w:rFonts w:ascii="Book Antiqua" w:hAnsi="Book Antiqua"/>
          <w:sz w:val="24"/>
          <w:szCs w:val="24"/>
          <w:lang w:val="es-PR"/>
        </w:rPr>
        <w:t xml:space="preserve"> </w:t>
      </w:r>
      <w:r>
        <w:rPr>
          <w:rFonts w:ascii="Book Antiqua" w:hAnsi="Book Antiqua"/>
          <w:i/>
          <w:iCs/>
          <w:sz w:val="24"/>
          <w:szCs w:val="24"/>
          <w:lang w:val="es-PR"/>
        </w:rPr>
        <w:t>La</w:t>
      </w:r>
      <w:r>
        <w:rPr>
          <w:rFonts w:ascii="Book Antiqua" w:hAnsi="Book Antiqua"/>
          <w:sz w:val="24"/>
          <w:szCs w:val="24"/>
          <w:lang w:val="es-PR"/>
        </w:rPr>
        <w:t xml:space="preserve"> disminución de capacidad </w:t>
      </w:r>
      <w:r w:rsidRPr="00447901">
        <w:rPr>
          <w:rFonts w:ascii="Book Antiqua" w:hAnsi="Book Antiqua"/>
          <w:i/>
          <w:iCs/>
          <w:sz w:val="24"/>
          <w:szCs w:val="24"/>
          <w:lang w:val="es-PR"/>
        </w:rPr>
        <w:t>laboral</w:t>
      </w:r>
      <w:r w:rsidRPr="00447901">
        <w:rPr>
          <w:rFonts w:ascii="Book Antiqua" w:hAnsi="Book Antiqua"/>
          <w:sz w:val="24"/>
          <w:szCs w:val="24"/>
          <w:lang w:val="es-PR"/>
        </w:rPr>
        <w:t xml:space="preserve"> </w:t>
      </w:r>
      <w:r>
        <w:rPr>
          <w:rFonts w:ascii="Book Antiqua" w:hAnsi="Book Antiqua"/>
          <w:sz w:val="24"/>
          <w:szCs w:val="24"/>
          <w:lang w:val="es-PR"/>
        </w:rPr>
        <w:t xml:space="preserve">de una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no puede ser el motivo de la terminación de una vinculación laboral</w:t>
      </w:r>
      <w:r>
        <w:rPr>
          <w:rFonts w:ascii="Book Antiqua" w:hAnsi="Book Antiqua"/>
          <w:i/>
          <w:iCs/>
          <w:sz w:val="24"/>
          <w:szCs w:val="24"/>
          <w:lang w:val="es-PR"/>
        </w:rPr>
        <w:t>, a menos que no exista otra función que pueda realizar la persona con diagnóstico positivo a VIH en ese empleo</w:t>
      </w:r>
      <w:r>
        <w:rPr>
          <w:rFonts w:ascii="Book Antiqua" w:hAnsi="Book Antiqua"/>
          <w:sz w:val="24"/>
          <w:szCs w:val="24"/>
          <w:lang w:val="es-PR"/>
        </w:rPr>
        <w:t xml:space="preserve">. Cuando al patrono le </w:t>
      </w:r>
      <w:r>
        <w:rPr>
          <w:rFonts w:ascii="Book Antiqua" w:hAnsi="Book Antiqua"/>
          <w:b/>
          <w:bCs/>
          <w:sz w:val="24"/>
          <w:szCs w:val="24"/>
          <w:lang w:val="es-PR"/>
        </w:rPr>
        <w:t>[sea presentado]</w:t>
      </w:r>
      <w:r>
        <w:rPr>
          <w:rFonts w:ascii="Book Antiqua" w:hAnsi="Book Antiqua"/>
          <w:sz w:val="24"/>
          <w:szCs w:val="24"/>
          <w:lang w:val="es-PR"/>
        </w:rPr>
        <w:t xml:space="preserve"> </w:t>
      </w:r>
      <w:r>
        <w:rPr>
          <w:rFonts w:ascii="Book Antiqua" w:hAnsi="Book Antiqua"/>
          <w:i/>
          <w:iCs/>
          <w:sz w:val="24"/>
          <w:szCs w:val="24"/>
          <w:lang w:val="es-PR"/>
        </w:rPr>
        <w:t>sean presentadas</w:t>
      </w:r>
      <w:r>
        <w:rPr>
          <w:rFonts w:ascii="Book Antiqua" w:hAnsi="Book Antiqua"/>
          <w:sz w:val="24"/>
          <w:szCs w:val="24"/>
          <w:lang w:val="es-PR"/>
        </w:rPr>
        <w:t xml:space="preserve"> las certificaciones médicas </w:t>
      </w:r>
      <w:r>
        <w:rPr>
          <w:rFonts w:ascii="Book Antiqua" w:hAnsi="Book Antiqua"/>
          <w:i/>
          <w:iCs/>
          <w:sz w:val="24"/>
          <w:szCs w:val="24"/>
          <w:lang w:val="es-PR"/>
        </w:rPr>
        <w:t>correspondientes</w:t>
      </w:r>
      <w:r w:rsidR="008200F7">
        <w:rPr>
          <w:rFonts w:ascii="Book Antiqua" w:hAnsi="Book Antiqua"/>
          <w:i/>
          <w:iCs/>
          <w:sz w:val="24"/>
          <w:szCs w:val="24"/>
          <w:u w:val="single"/>
          <w:lang w:val="es-PR"/>
        </w:rPr>
        <w:t>,</w:t>
      </w:r>
      <w:r>
        <w:rPr>
          <w:rFonts w:ascii="Book Antiqua" w:hAnsi="Book Antiqua"/>
          <w:sz w:val="24"/>
          <w:szCs w:val="24"/>
          <w:lang w:val="es-PR"/>
        </w:rPr>
        <w:t xml:space="preserve"> debe ofrecer</w:t>
      </w:r>
      <w:r w:rsidRPr="008200F7">
        <w:rPr>
          <w:rFonts w:ascii="Book Antiqua" w:hAnsi="Book Antiqua"/>
          <w:strike/>
          <w:sz w:val="24"/>
          <w:szCs w:val="24"/>
          <w:lang w:val="es-PR"/>
        </w:rPr>
        <w:t>,</w:t>
      </w:r>
      <w:r>
        <w:rPr>
          <w:rFonts w:ascii="Book Antiqua" w:hAnsi="Book Antiqua"/>
          <w:sz w:val="24"/>
          <w:szCs w:val="24"/>
          <w:lang w:val="es-PR"/>
        </w:rPr>
        <w:t xml:space="preserve"> </w:t>
      </w:r>
      <w:r>
        <w:rPr>
          <w:rFonts w:ascii="Book Antiqua" w:hAnsi="Book Antiqua"/>
          <w:i/>
          <w:iCs/>
          <w:sz w:val="24"/>
          <w:szCs w:val="24"/>
          <w:lang w:val="es-PR"/>
        </w:rPr>
        <w:t>dentro de sus posibilidades</w:t>
      </w:r>
      <w:r>
        <w:rPr>
          <w:rFonts w:ascii="Book Antiqua" w:hAnsi="Book Antiqua"/>
          <w:sz w:val="24"/>
          <w:szCs w:val="24"/>
          <w:lang w:val="es-PR"/>
        </w:rPr>
        <w:t xml:space="preserve">, el acomodo razonable para que el empleado pueda continuar su </w:t>
      </w:r>
      <w:r>
        <w:rPr>
          <w:rFonts w:ascii="Book Antiqua" w:hAnsi="Book Antiqua"/>
          <w:sz w:val="24"/>
          <w:szCs w:val="24"/>
          <w:lang w:val="es-PR"/>
        </w:rPr>
        <w:lastRenderedPageBreak/>
        <w:t xml:space="preserve">tratamiento y seguimiento médico. </w:t>
      </w:r>
      <w:r>
        <w:rPr>
          <w:rFonts w:ascii="Book Antiqua" w:hAnsi="Book Antiqua"/>
          <w:i/>
          <w:iCs/>
          <w:sz w:val="24"/>
          <w:szCs w:val="24"/>
          <w:lang w:val="es-PR"/>
        </w:rPr>
        <w:t>La persona con diagnóstico positivo a VIH no está obligada a revelar su diagnóstico. No obstante, de haberlo revelado, el patrono debe salvaguardar la privacidad de la persona y no divulgar dicha información. Las personas con diagnostico positivo al VIH les cobija lo dispuesto bajo la ley federal para Personas con Discapacidades (Ley ADA, por sus siglas en inglés).</w:t>
      </w:r>
    </w:p>
    <w:p w14:paraId="4D7A8ABB" w14:textId="77777777" w:rsidR="009F031E" w:rsidRDefault="009F031E">
      <w:pPr>
        <w:spacing w:after="0" w:line="480" w:lineRule="auto"/>
        <w:ind w:left="360" w:firstLine="360"/>
        <w:contextualSpacing/>
        <w:jc w:val="both"/>
        <w:rPr>
          <w:rFonts w:ascii="Book Antiqua" w:hAnsi="Book Antiqua"/>
          <w:i/>
          <w:iCs/>
          <w:sz w:val="24"/>
          <w:szCs w:val="24"/>
          <w:lang w:val="es-PR"/>
        </w:rPr>
      </w:pPr>
      <w:r>
        <w:rPr>
          <w:rFonts w:ascii="Book Antiqua" w:hAnsi="Book Antiqua"/>
          <w:i/>
          <w:iCs/>
          <w:sz w:val="24"/>
          <w:szCs w:val="24"/>
          <w:lang w:val="es-PR"/>
        </w:rPr>
        <w:t xml:space="preserve">8.  </w:t>
      </w:r>
      <w:r>
        <w:rPr>
          <w:rFonts w:ascii="Book Antiqua" w:hAnsi="Book Antiqua"/>
          <w:sz w:val="24"/>
          <w:szCs w:val="24"/>
          <w:lang w:val="es-PR"/>
        </w:rPr>
        <w:t>Derecho a recibir sangre y hemoderivados, órganos o tejidos saludables que hayan sido probados rigurosamente en relación al VIH.</w:t>
      </w:r>
    </w:p>
    <w:p w14:paraId="7129188C"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9. Ninguna persona podrá hacer referencia al </w:t>
      </w:r>
      <w:r>
        <w:rPr>
          <w:rFonts w:ascii="Book Antiqua" w:hAnsi="Book Antiqua"/>
          <w:b/>
          <w:bCs/>
          <w:sz w:val="24"/>
          <w:szCs w:val="24"/>
          <w:lang w:val="es-PR"/>
        </w:rPr>
        <w:t>[seroestatus]</w:t>
      </w:r>
      <w:r>
        <w:rPr>
          <w:rFonts w:ascii="Book Antiqua" w:hAnsi="Book Antiqua"/>
          <w:sz w:val="24"/>
          <w:szCs w:val="24"/>
          <w:lang w:val="es-PR"/>
        </w:rPr>
        <w:t xml:space="preserve"> diagnóstico positivo al VIH de otra persona, o al resultado de sus pruebas de VIH, sin el consentimiento de la persona en cuestión, salvo lo contenido en la Ley Núm. 81 de 4 de junio de 1983, según enmendada, conocida como “Ley para la Prevención y Tratamiento de Enfermedades de Transmisión Sexual”. Todos los servicios médicos y de asistencia deben asegurar la privacidad de las personas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w:t>
      </w:r>
    </w:p>
    <w:p w14:paraId="509FB349"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10. …</w:t>
      </w:r>
    </w:p>
    <w:p w14:paraId="19ADDE40"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11. Toda persona con diagnóstico positivo a VIH en cualquiera de sus etapas tiene derecho a comunicar su estado de salud o el resultado de su prueba únicamente a las personas que desee. </w:t>
      </w:r>
    </w:p>
    <w:p w14:paraId="3E33F1DA"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12. 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tiene derecho a continuar ejerciendo su vida civil, profesional, sexual y afectiva; así como participar en todos los aspectos de la vida social tales como empleo, vivienda, educación, deportes, salud, alimentación y otros. </w:t>
      </w:r>
    </w:p>
    <w:p w14:paraId="69D1FF4D"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lastRenderedPageBreak/>
        <w:t xml:space="preserve">13. 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cualesquiera de sus etapas, que se encuentre recluida en una institución penal o juvenil, según corresponda, y obtenga una certificación médica emitida por el Panel designado por el Secretario de Salud al amparo de las disposiciones de la Ley 25-1992, según enmendada, conocida como “Ley para el Egreso de Pacientes de S.I.D.A. y de otras Enfermedades en su Etapa Terminal que Están Confinados en las Instituciones Penales o Internados en las Instituciones Juveniles de Puerto Rico”, que establezca que dicha persona se encuentra en etapa terminal, tendrá derecho a recibir una evaluación expedita sobre el recurso presentado, para autorizar su traslado a una institución pública o privada de cuidado especializado que cuente con el personal capacitado, los servicios clínicos y el tratamiento indicado para el seguimiento óptimo de la persona diagnosticada con </w:t>
      </w:r>
      <w:r>
        <w:rPr>
          <w:rFonts w:ascii="Book Antiqua" w:hAnsi="Book Antiqua"/>
          <w:b/>
          <w:bCs/>
          <w:sz w:val="24"/>
          <w:szCs w:val="24"/>
          <w:lang w:val="es-PR"/>
        </w:rPr>
        <w:t>[la infección por el]</w:t>
      </w:r>
      <w:r>
        <w:rPr>
          <w:rFonts w:ascii="Book Antiqua" w:hAnsi="Book Antiqua"/>
          <w:sz w:val="24"/>
          <w:szCs w:val="24"/>
          <w:lang w:val="es-PR"/>
        </w:rPr>
        <w:t xml:space="preserve"> VIH.  </w:t>
      </w:r>
      <w:r>
        <w:rPr>
          <w:rFonts w:ascii="Book Antiqua" w:hAnsi="Book Antiqua"/>
          <w:i/>
          <w:iCs/>
          <w:sz w:val="24"/>
          <w:szCs w:val="24"/>
          <w:lang w:val="es-ES_tradnl"/>
        </w:rPr>
        <w:t>Debe realizarse un acuerdo escrito de antemano entre la institución penal y la institución pública o privada para el traslado de manera que se pueda asegurar la continuidad de los servicios.</w:t>
      </w:r>
    </w:p>
    <w:p w14:paraId="383C1546"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14. 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a quien se le nieguen servicios médicos, y sea beneficiario del Plan de Salud del Gobierno de Puerto Rico, tiene derecho a presentar una querella ante </w:t>
      </w:r>
      <w:r>
        <w:rPr>
          <w:rFonts w:ascii="Book Antiqua" w:hAnsi="Book Antiqua"/>
          <w:i/>
          <w:iCs/>
          <w:sz w:val="24"/>
          <w:szCs w:val="24"/>
          <w:lang w:val="es-PR"/>
        </w:rPr>
        <w:t>la Oficina del</w:t>
      </w:r>
      <w:r>
        <w:rPr>
          <w:rFonts w:ascii="Book Antiqua" w:hAnsi="Book Antiqua"/>
          <w:sz w:val="24"/>
          <w:szCs w:val="24"/>
          <w:lang w:val="es-PR"/>
        </w:rPr>
        <w:t xml:space="preserve"> </w:t>
      </w:r>
      <w:r>
        <w:rPr>
          <w:rFonts w:ascii="Book Antiqua" w:hAnsi="Book Antiqua"/>
          <w:b/>
          <w:bCs/>
          <w:sz w:val="24"/>
          <w:szCs w:val="24"/>
          <w:lang w:val="es-PR"/>
        </w:rPr>
        <w:t>[el]</w:t>
      </w:r>
      <w:r>
        <w:rPr>
          <w:rFonts w:ascii="Book Antiqua" w:hAnsi="Book Antiqua"/>
          <w:sz w:val="24"/>
          <w:szCs w:val="24"/>
          <w:lang w:val="es-PR"/>
        </w:rPr>
        <w:t xml:space="preserve"> Procurador del Paciente; en los casos en que un asegurador de plan médico privado deniegue un servicio de cubierta o cancele una póliza o contrato del plan médico de una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por razón de su condición de salud, tendrá el derecho de presentar una querella ante la Oficina del Comisionado de Seguros (OCS). </w:t>
      </w:r>
    </w:p>
    <w:p w14:paraId="7408F246"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lastRenderedPageBreak/>
        <w:t xml:space="preserve">15. 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le asiste el derecho desde el primer día que ingresa a una institución hospitalaria, a que esta le provea todos los medicamentos necesarios para su tratamiento, incluyendo los antirretrovirales, acorde con las Guías de Tratamiento vigentes establecidas por el Departamento de Salud Federal, aun cuando disponga de estos en su residencia. En caso de que una persona sea diagnosticada con VIH en una institución hospitalaria o que se identifique con diagnóstico previo a VIH y se encuentre fuera de tratamiento, será deber de la institución coordinar su referido a un centro </w:t>
      </w:r>
      <w:r>
        <w:rPr>
          <w:rFonts w:ascii="Book Antiqua" w:hAnsi="Book Antiqua"/>
          <w:b/>
          <w:bCs/>
          <w:sz w:val="24"/>
          <w:szCs w:val="24"/>
          <w:lang w:val="es-PR"/>
        </w:rPr>
        <w:t>[clínico especializado en VIH]</w:t>
      </w:r>
      <w:r>
        <w:rPr>
          <w:rFonts w:ascii="Book Antiqua" w:hAnsi="Book Antiqua"/>
          <w:sz w:val="24"/>
          <w:szCs w:val="24"/>
          <w:lang w:val="es-PR"/>
        </w:rPr>
        <w:t xml:space="preserve"> </w:t>
      </w:r>
      <w:r>
        <w:rPr>
          <w:rFonts w:ascii="Book Antiqua" w:hAnsi="Book Antiqua"/>
          <w:i/>
          <w:iCs/>
          <w:sz w:val="24"/>
          <w:szCs w:val="24"/>
          <w:lang w:val="es-PR"/>
        </w:rPr>
        <w:t>o una clínica especializada en tratamiento de VIH que ofrezca cuidado de salud a personas con diagnóstico positivo al VIH</w:t>
      </w:r>
      <w:r>
        <w:rPr>
          <w:rFonts w:ascii="Book Antiqua" w:hAnsi="Book Antiqua"/>
          <w:sz w:val="24"/>
          <w:szCs w:val="24"/>
          <w:lang w:val="es-PR"/>
        </w:rPr>
        <w:t xml:space="preserve"> para que sea enlazado oportunamente a tratamiento y así evitar que su estado de salud se deteriore.”</w:t>
      </w:r>
    </w:p>
    <w:p w14:paraId="16434B16" w14:textId="77777777" w:rsidR="009F031E" w:rsidRDefault="009F031E">
      <w:pPr>
        <w:spacing w:after="0" w:line="480" w:lineRule="auto"/>
        <w:ind w:left="360" w:firstLine="360"/>
        <w:contextualSpacing/>
        <w:jc w:val="both"/>
        <w:rPr>
          <w:rFonts w:ascii="Book Antiqua" w:hAnsi="Book Antiqua"/>
          <w:i/>
          <w:iCs/>
          <w:sz w:val="24"/>
          <w:szCs w:val="24"/>
          <w:lang w:val="es-PR"/>
        </w:rPr>
      </w:pPr>
      <w:r>
        <w:rPr>
          <w:rFonts w:ascii="Book Antiqua" w:hAnsi="Book Antiqua"/>
          <w:i/>
          <w:iCs/>
          <w:sz w:val="24"/>
          <w:szCs w:val="24"/>
          <w:lang w:val="es-PR"/>
        </w:rPr>
        <w:t>16. Las personas con diagnóstico positivo a VIH en cualquiera de sus etapas tienen derecho a recibir información clara, exacta y científica sobre la infección por el VIH en todas sus etapas, incluyendo la del SIDA (etapa avanzada de la infección), sin ningún tipo de restricción.  Al igual tienen derecho a recibir información específica sobre su estado de salud, resultados de laboratorio y opciones de tratamiento farmacológico idóneo.”</w:t>
      </w:r>
    </w:p>
    <w:p w14:paraId="2EA454F3"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t>Sección 5. - Se enmienda el Artículo 4 de la Ley 248-2018, para que se lea como sigue:</w:t>
      </w:r>
    </w:p>
    <w:p w14:paraId="715BAC77"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 “Artículo 4.- </w:t>
      </w:r>
      <w:r>
        <w:rPr>
          <w:rFonts w:ascii="Book Antiqua" w:hAnsi="Book Antiqua"/>
          <w:b/>
          <w:bCs/>
          <w:sz w:val="24"/>
          <w:szCs w:val="24"/>
          <w:lang w:val="es-PR"/>
        </w:rPr>
        <w:t>[Responsabilidad]</w:t>
      </w:r>
      <w:r>
        <w:rPr>
          <w:rFonts w:ascii="Book Antiqua" w:hAnsi="Book Antiqua"/>
          <w:sz w:val="24"/>
          <w:szCs w:val="24"/>
          <w:lang w:val="es-PR"/>
        </w:rPr>
        <w:t xml:space="preserve"> </w:t>
      </w:r>
      <w:r>
        <w:rPr>
          <w:rFonts w:ascii="Book Antiqua" w:hAnsi="Book Antiqua"/>
          <w:i/>
          <w:iCs/>
          <w:sz w:val="24"/>
          <w:szCs w:val="24"/>
          <w:lang w:val="es-PR"/>
        </w:rPr>
        <w:t>Responsabilidades</w:t>
      </w:r>
      <w:r>
        <w:rPr>
          <w:rFonts w:ascii="Book Antiqua" w:hAnsi="Book Antiqua"/>
          <w:sz w:val="24"/>
          <w:szCs w:val="24"/>
          <w:lang w:val="es-PR"/>
        </w:rPr>
        <w:t xml:space="preserve"> del Departamento de Salud </w:t>
      </w:r>
      <w:r>
        <w:rPr>
          <w:rFonts w:ascii="Book Antiqua" w:hAnsi="Book Antiqua"/>
          <w:i/>
          <w:iCs/>
          <w:sz w:val="24"/>
          <w:szCs w:val="24"/>
          <w:lang w:val="es-PR"/>
        </w:rPr>
        <w:t>y de la Administración de Seguros de Salud (ASES)</w:t>
      </w:r>
      <w:r>
        <w:rPr>
          <w:rFonts w:ascii="Book Antiqua" w:hAnsi="Book Antiqua"/>
          <w:sz w:val="24"/>
          <w:szCs w:val="24"/>
          <w:lang w:val="es-PR"/>
        </w:rPr>
        <w:t xml:space="preserve"> de Puerto Rico.</w:t>
      </w:r>
    </w:p>
    <w:p w14:paraId="64F4484A" w14:textId="77777777" w:rsidR="009F031E" w:rsidRDefault="009F031E">
      <w:pPr>
        <w:spacing w:after="0" w:line="480" w:lineRule="auto"/>
        <w:ind w:left="360" w:firstLine="720"/>
        <w:contextualSpacing/>
        <w:jc w:val="both"/>
        <w:rPr>
          <w:rFonts w:ascii="Book Antiqua" w:hAnsi="Book Antiqua"/>
          <w:sz w:val="24"/>
          <w:szCs w:val="24"/>
          <w:u w:val="single"/>
          <w:lang w:val="es-PR"/>
        </w:rPr>
      </w:pPr>
      <w:r>
        <w:rPr>
          <w:rFonts w:ascii="Book Antiqua" w:hAnsi="Book Antiqua"/>
          <w:sz w:val="24"/>
          <w:szCs w:val="24"/>
          <w:lang w:val="es-PR"/>
        </w:rPr>
        <w:t>El Departamento de Salud de Puerto Rico garantizara el acceso y disponibilidad de tratamiento para la infección del VIH en cualquiera de sus etapas.</w:t>
      </w:r>
    </w:p>
    <w:p w14:paraId="0A8630DA" w14:textId="30D2F425"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lastRenderedPageBreak/>
        <w:t xml:space="preserve">El Departamento </w:t>
      </w:r>
      <w:r w:rsidRPr="00AE7641">
        <w:rPr>
          <w:rFonts w:ascii="Book Antiqua" w:hAnsi="Book Antiqua"/>
          <w:i/>
          <w:iCs/>
          <w:sz w:val="24"/>
          <w:szCs w:val="24"/>
          <w:lang w:val="es-PR"/>
        </w:rPr>
        <w:t xml:space="preserve">de Salud </w:t>
      </w:r>
      <w:r w:rsidRPr="00AE7641">
        <w:rPr>
          <w:rFonts w:ascii="Book Antiqua" w:hAnsi="Book Antiqua"/>
          <w:b/>
          <w:bCs/>
          <w:sz w:val="24"/>
          <w:szCs w:val="24"/>
          <w:lang w:val="es-PR"/>
        </w:rPr>
        <w:t>[</w:t>
      </w:r>
      <w:r>
        <w:rPr>
          <w:rFonts w:ascii="Book Antiqua" w:hAnsi="Book Antiqua"/>
          <w:b/>
          <w:bCs/>
          <w:sz w:val="24"/>
          <w:szCs w:val="24"/>
          <w:lang w:val="es-PR"/>
        </w:rPr>
        <w:t xml:space="preserve">realizará junto a] </w:t>
      </w:r>
      <w:r>
        <w:rPr>
          <w:rFonts w:ascii="Book Antiqua" w:hAnsi="Book Antiqua"/>
          <w:i/>
          <w:iCs/>
          <w:sz w:val="24"/>
          <w:szCs w:val="24"/>
          <w:lang w:val="es-PR"/>
        </w:rPr>
        <w:t xml:space="preserve">y </w:t>
      </w:r>
      <w:r>
        <w:rPr>
          <w:rFonts w:ascii="Book Antiqua" w:hAnsi="Book Antiqua"/>
          <w:sz w:val="24"/>
          <w:szCs w:val="24"/>
          <w:lang w:val="es-PR"/>
        </w:rPr>
        <w:t xml:space="preserve">la Administración de Seguros de Salud (ASES) del Plan de Salud del Gobierno de Puerto Rico y/o agencias correspondientes, </w:t>
      </w:r>
      <w:r>
        <w:rPr>
          <w:rFonts w:ascii="Book Antiqua" w:hAnsi="Book Antiqua"/>
          <w:i/>
          <w:iCs/>
          <w:sz w:val="24"/>
          <w:szCs w:val="24"/>
          <w:lang w:val="es-PR"/>
        </w:rPr>
        <w:t>realizarán</w:t>
      </w:r>
      <w:r>
        <w:rPr>
          <w:rFonts w:ascii="Book Antiqua" w:hAnsi="Book Antiqua"/>
          <w:sz w:val="24"/>
          <w:szCs w:val="24"/>
          <w:lang w:val="es-PR"/>
        </w:rPr>
        <w:t xml:space="preserve"> las gestiones pertinentes para el acceso y disponibilidad de nuevos medicamentos antirretrovirales aprobados por la “</w:t>
      </w:r>
      <w:r>
        <w:rPr>
          <w:rFonts w:ascii="Book Antiqua" w:hAnsi="Book Antiqua"/>
          <w:i/>
          <w:iCs/>
          <w:sz w:val="24"/>
          <w:szCs w:val="24"/>
          <w:lang w:val="es-PR"/>
        </w:rPr>
        <w:t>Food and Drugs Administration</w:t>
      </w:r>
      <w:r>
        <w:rPr>
          <w:rFonts w:ascii="Book Antiqua" w:hAnsi="Book Antiqua"/>
          <w:sz w:val="24"/>
          <w:szCs w:val="24"/>
          <w:lang w:val="es-PR"/>
        </w:rPr>
        <w:t xml:space="preserve">” (FDA, por sus siglas en inglés) en un periodo no mayor de noventa (90) días </w:t>
      </w:r>
      <w:r>
        <w:rPr>
          <w:rFonts w:ascii="Book Antiqua" w:hAnsi="Book Antiqua"/>
          <w:i/>
          <w:iCs/>
          <w:sz w:val="24"/>
          <w:szCs w:val="24"/>
          <w:lang w:val="es-PR"/>
        </w:rPr>
        <w:t>calendario</w:t>
      </w:r>
      <w:r>
        <w:rPr>
          <w:rFonts w:ascii="Book Antiqua" w:hAnsi="Book Antiqua"/>
          <w:sz w:val="24"/>
          <w:szCs w:val="24"/>
          <w:lang w:val="es-PR"/>
        </w:rPr>
        <w:t xml:space="preserve"> luego de la aprobación</w:t>
      </w:r>
      <w:r w:rsidR="008D2A61">
        <w:rPr>
          <w:rFonts w:ascii="Book Antiqua" w:hAnsi="Book Antiqua"/>
          <w:sz w:val="24"/>
          <w:szCs w:val="24"/>
          <w:lang w:val="es-PR"/>
        </w:rPr>
        <w:t xml:space="preserve"> </w:t>
      </w:r>
      <w:r w:rsidR="008D2A61" w:rsidRPr="008D2A61">
        <w:rPr>
          <w:rFonts w:ascii="Book Antiqua" w:hAnsi="Book Antiqua"/>
          <w:i/>
          <w:iCs/>
          <w:sz w:val="24"/>
          <w:szCs w:val="24"/>
          <w:u w:val="single"/>
          <w:lang w:val="es-PR"/>
        </w:rPr>
        <w:t>y de su integración a las Guías clínicas para el tratamiento del VIH en Adolescentes y Adultos, aprobadas por el gobierno federal (United States Department of Health and Human Services o DHHS)</w:t>
      </w:r>
      <w:r w:rsidR="00605D29">
        <w:rPr>
          <w:rFonts w:ascii="Book Antiqua" w:hAnsi="Book Antiqua"/>
          <w:sz w:val="24"/>
          <w:szCs w:val="24"/>
          <w:lang w:val="es-PR"/>
        </w:rPr>
        <w:t xml:space="preserve"> </w:t>
      </w:r>
      <w:r>
        <w:rPr>
          <w:rFonts w:ascii="Book Antiqua" w:hAnsi="Book Antiqua"/>
          <w:sz w:val="24"/>
          <w:szCs w:val="24"/>
          <w:lang w:val="es-PR"/>
        </w:rPr>
        <w:t xml:space="preserve">.  Será responsabilidad de la ASES incluir los mismos dentro de los formularios </w:t>
      </w:r>
      <w:r>
        <w:rPr>
          <w:rFonts w:ascii="Book Antiqua" w:hAnsi="Book Antiqua"/>
          <w:i/>
          <w:iCs/>
          <w:sz w:val="24"/>
          <w:szCs w:val="24"/>
          <w:lang w:val="es-PR"/>
        </w:rPr>
        <w:t>correspondientes para la cobertura de medicamentos bajo el</w:t>
      </w:r>
      <w:r>
        <w:rPr>
          <w:rFonts w:ascii="Book Antiqua" w:hAnsi="Book Antiqua"/>
          <w:sz w:val="24"/>
          <w:szCs w:val="24"/>
          <w:lang w:val="es-PR"/>
        </w:rPr>
        <w:t xml:space="preserve"> del Plan de Salud del Gobierno de Puerto Rico, en el mismo término establecido. </w:t>
      </w:r>
    </w:p>
    <w:p w14:paraId="590CD93C" w14:textId="1C431C5D"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Además, la </w:t>
      </w:r>
      <w:r w:rsidRPr="00C96A97">
        <w:rPr>
          <w:rFonts w:ascii="Book Antiqua" w:hAnsi="Book Antiqua"/>
          <w:strike/>
          <w:sz w:val="24"/>
          <w:szCs w:val="24"/>
          <w:lang w:val="es-PR"/>
        </w:rPr>
        <w:t>Secretaría Auxiliar para la Reglamentación y Acreditación de Facilidades de Salud (SARAFS)</w:t>
      </w:r>
      <w:r w:rsidR="00C96A97">
        <w:rPr>
          <w:rFonts w:ascii="Book Antiqua" w:hAnsi="Book Antiqua"/>
          <w:sz w:val="24"/>
          <w:szCs w:val="24"/>
          <w:lang w:val="es-PR"/>
        </w:rPr>
        <w:t xml:space="preserve"> </w:t>
      </w:r>
      <w:r w:rsidR="00C96A97" w:rsidRPr="00EF3035">
        <w:rPr>
          <w:rFonts w:ascii="Book Antiqua" w:hAnsi="Book Antiqua"/>
          <w:i/>
          <w:iCs/>
          <w:sz w:val="24"/>
          <w:szCs w:val="24"/>
          <w:u w:val="single"/>
          <w:lang w:val="es-ES"/>
        </w:rPr>
        <w:t>Secretaría Auxiliar para la Regulación de la Salud Pública</w:t>
      </w:r>
      <w:r>
        <w:rPr>
          <w:rFonts w:ascii="Book Antiqua" w:hAnsi="Book Antiqua"/>
          <w:sz w:val="24"/>
          <w:szCs w:val="24"/>
          <w:lang w:val="es-PR"/>
        </w:rPr>
        <w:t xml:space="preserve"> tiene la responsabilidad de velar y monitorear el funcionamiento de las facilidades de salud hospitalarias y de otras entidades, salubridad en la provisión de servicios y tratamiento idóneos para las personas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en cumplimiento con toda ley aplicable.”</w:t>
      </w:r>
    </w:p>
    <w:p w14:paraId="5CF6BBEB"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t>Sección 6.- Se enmienda el Artículo 5 de la Ley 248-2018, para que lea como sigue:</w:t>
      </w:r>
    </w:p>
    <w:p w14:paraId="00942082"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 “Artículo 5.- Procedimiento para Reclamo de Derecho </w:t>
      </w:r>
    </w:p>
    <w:p w14:paraId="4DAFD18D"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Toda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por sí, por medio de su tutor o por medio de un funcionario público, podrá acudir ante la Unidad para Investigar y Procesar Violaciones de Derechos Civiles del </w:t>
      </w:r>
      <w:r>
        <w:rPr>
          <w:rFonts w:ascii="Book Antiqua" w:hAnsi="Book Antiqua"/>
          <w:sz w:val="24"/>
          <w:szCs w:val="24"/>
          <w:lang w:val="es-PR"/>
        </w:rPr>
        <w:lastRenderedPageBreak/>
        <w:t xml:space="preserve">Departamento de Justicia, o a cualquier sala de Tribunal de Primera Instancia de la región judicial donde resida para reclamar cualquier derecho o beneficio estatuido en esta Ley, o para solicitar que se suspenda una actuación que contravenga las disposiciones de esta. Los tribunales tendrán facultad para designarle una representación legal o un defensor judicial a la persona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cuando esta no cuente con recursos económicos para contratar abogado. El tribunal tendrá facultad para dictar cualquier orden o sentencia conforme a derecho y que sea necesaria para llevar a cabo las disposiciones de esta ley. El incumplimiento de las órdenes y sentencias dictadas por el tribunal en virtud de este Artículo constituirá desacato civil.”</w:t>
      </w:r>
    </w:p>
    <w:p w14:paraId="6D06DC26"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  </w:t>
      </w:r>
    </w:p>
    <w:p w14:paraId="3B387F83"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t>Sección 7. - Se enmienda el Artículo 9 de la Ley 248-2018 para que lea como sigue:</w:t>
      </w:r>
    </w:p>
    <w:p w14:paraId="0180990A"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 xml:space="preserve"> “Artículo 9.- Publicación y Orientación sobre la “Carta de Derechos de las Personas </w:t>
      </w:r>
      <w:r>
        <w:rPr>
          <w:rFonts w:ascii="Book Antiqua" w:hAnsi="Book Antiqua"/>
          <w:b/>
          <w:bCs/>
          <w:sz w:val="24"/>
          <w:szCs w:val="24"/>
          <w:lang w:val="es-PR"/>
        </w:rPr>
        <w:t>[viviendo con]</w:t>
      </w:r>
      <w:r>
        <w:rPr>
          <w:rFonts w:ascii="Book Antiqua" w:hAnsi="Book Antiqua"/>
          <w:sz w:val="24"/>
          <w:szCs w:val="24"/>
          <w:lang w:val="es-PR"/>
        </w:rPr>
        <w:t xml:space="preserve"> </w:t>
      </w:r>
      <w:r>
        <w:rPr>
          <w:rFonts w:ascii="Book Antiqua" w:hAnsi="Book Antiqua"/>
          <w:i/>
          <w:iCs/>
          <w:sz w:val="24"/>
          <w:szCs w:val="24"/>
          <w:lang w:val="es-PR"/>
        </w:rPr>
        <w:t>con diagnóstico positivo a</w:t>
      </w:r>
      <w:r>
        <w:rPr>
          <w:rFonts w:ascii="Book Antiqua" w:hAnsi="Book Antiqua"/>
          <w:sz w:val="24"/>
          <w:szCs w:val="24"/>
          <w:lang w:val="es-PR"/>
        </w:rPr>
        <w:t xml:space="preserve"> VIH en cualquiera de sus etapas en Puerto Rico”. </w:t>
      </w:r>
    </w:p>
    <w:p w14:paraId="3D7BBCF2" w14:textId="77777777" w:rsidR="009F031E" w:rsidRDefault="009F031E">
      <w:pPr>
        <w:spacing w:after="0" w:line="480" w:lineRule="auto"/>
        <w:ind w:left="360" w:firstLine="360"/>
        <w:contextualSpacing/>
        <w:jc w:val="both"/>
        <w:rPr>
          <w:rFonts w:ascii="Book Antiqua" w:hAnsi="Book Antiqua"/>
          <w:sz w:val="24"/>
          <w:szCs w:val="24"/>
          <w:lang w:val="es-PR"/>
        </w:rPr>
      </w:pPr>
      <w:r>
        <w:rPr>
          <w:rFonts w:ascii="Book Antiqua" w:hAnsi="Book Antiqua"/>
          <w:sz w:val="24"/>
          <w:szCs w:val="24"/>
          <w:lang w:val="es-PR"/>
        </w:rPr>
        <w:t>El Departamento de Salud de Puerto Rico y la Oficina del Procurador del Paciente le darán publicidad a esta Carta de Derechos. También tendrán la responsabilidad de orientar y educar a los profesionales de la salud, al paciente y a la comunidad en general sobre lo establecido en esta Carta de Derechos, mediante material informativo, el cual deberá estar disponible en ambas agencias y radicaran anualmente a través de la Secretaria de ambos Cuerpos Legislativos, respectivamente, un informe sobre la implantación de la misma.”</w:t>
      </w:r>
    </w:p>
    <w:p w14:paraId="4F0C5F1D" w14:textId="77777777" w:rsidR="009F031E" w:rsidRDefault="009F031E">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lastRenderedPageBreak/>
        <w:t>Sección 8.- Vigencia.</w:t>
      </w:r>
    </w:p>
    <w:p w14:paraId="28A9C09D" w14:textId="77777777" w:rsidR="009F031E" w:rsidRDefault="009F031E">
      <w:pPr>
        <w:spacing w:line="480" w:lineRule="auto"/>
        <w:ind w:firstLine="720"/>
        <w:contextualSpacing/>
        <w:jc w:val="both"/>
        <w:rPr>
          <w:rFonts w:ascii="Book Antiqua" w:hAnsi="Book Antiqua"/>
          <w:sz w:val="24"/>
          <w:szCs w:val="24"/>
          <w:lang w:val="es-PR"/>
        </w:rPr>
      </w:pPr>
      <w:r>
        <w:rPr>
          <w:rFonts w:ascii="Book Antiqua" w:hAnsi="Book Antiqua"/>
          <w:sz w:val="24"/>
          <w:szCs w:val="24"/>
          <w:lang w:val="es-PR"/>
        </w:rPr>
        <w:t>Esta Ley comenzará a regir inmediatamente después de su aprobación.</w:t>
      </w:r>
    </w:p>
    <w:sectPr w:rsidR="009F031E">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C55CA" w14:textId="77777777" w:rsidR="009F031E" w:rsidRDefault="009F031E">
      <w:pPr>
        <w:spacing w:after="0" w:line="240" w:lineRule="auto"/>
      </w:pPr>
      <w:r>
        <w:separator/>
      </w:r>
    </w:p>
  </w:endnote>
  <w:endnote w:type="continuationSeparator" w:id="0">
    <w:p w14:paraId="269D7B7A" w14:textId="77777777" w:rsidR="009F031E" w:rsidRDefault="009F0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61730" w14:textId="77777777" w:rsidR="009F031E" w:rsidRDefault="009F031E">
    <w:pPr>
      <w:pStyle w:val="Footer"/>
      <w:jc w:val="center"/>
    </w:pPr>
  </w:p>
  <w:p w14:paraId="41B4800D" w14:textId="77777777" w:rsidR="009F031E" w:rsidRDefault="009F03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DE0D9" w14:textId="77777777" w:rsidR="009F031E" w:rsidRDefault="009F031E">
      <w:pPr>
        <w:spacing w:after="0" w:line="240" w:lineRule="auto"/>
      </w:pPr>
      <w:r>
        <w:separator/>
      </w:r>
    </w:p>
  </w:footnote>
  <w:footnote w:type="continuationSeparator" w:id="0">
    <w:p w14:paraId="5919336C" w14:textId="77777777" w:rsidR="009F031E" w:rsidRDefault="009F03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EF621" w14:textId="77777777" w:rsidR="009F031E" w:rsidRDefault="009F031E">
    <w:pPr>
      <w:pStyle w:val="Header"/>
      <w:jc w:val="center"/>
    </w:pPr>
    <w:r>
      <w:fldChar w:fldCharType="begin"/>
    </w:r>
    <w:r>
      <w:instrText xml:space="preserve"> PAGE   \* MERGEFORMAT </w:instrText>
    </w:r>
    <w:r>
      <w:fldChar w:fldCharType="separate"/>
    </w:r>
    <w:r>
      <w:rPr>
        <w:noProof/>
      </w:rPr>
      <w:t>3</w:t>
    </w:r>
    <w:r>
      <w:fldChar w:fldCharType="end"/>
    </w:r>
  </w:p>
  <w:p w14:paraId="23B54FD2" w14:textId="77777777" w:rsidR="009F031E" w:rsidRDefault="009F03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F6AC1"/>
    <w:multiLevelType w:val="hybridMultilevel"/>
    <w:tmpl w:val="B70A8CAE"/>
    <w:lvl w:ilvl="0" w:tplc="5A20184A">
      <w:start w:val="1"/>
      <w:numFmt w:val="lowerLetter"/>
      <w:suff w:val="space"/>
      <w:lvlText w:val="(%1)"/>
      <w:lvlJc w:val="left"/>
      <w:pPr>
        <w:ind w:left="360" w:hanging="360"/>
      </w:pPr>
      <w:rPr>
        <w:i w:val="0"/>
        <w:iCs w:val="0"/>
        <w:strike w:val="0"/>
        <w:dstrike w:val="0"/>
        <w:u w:val="none"/>
        <w:effect w:val="none"/>
      </w:r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num w:numId="1" w16cid:durableId="713239557">
    <w:abstractNumId w:val="0"/>
  </w:num>
  <w:num w:numId="2" w16cid:durableId="20894191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4AC"/>
    <w:rsid w:val="000E1B9E"/>
    <w:rsid w:val="00391B5F"/>
    <w:rsid w:val="003D0448"/>
    <w:rsid w:val="00447901"/>
    <w:rsid w:val="00477E49"/>
    <w:rsid w:val="004C640F"/>
    <w:rsid w:val="005534B9"/>
    <w:rsid w:val="005B5558"/>
    <w:rsid w:val="00605D29"/>
    <w:rsid w:val="006277F5"/>
    <w:rsid w:val="006932E9"/>
    <w:rsid w:val="007D5B7F"/>
    <w:rsid w:val="008200F7"/>
    <w:rsid w:val="008654B8"/>
    <w:rsid w:val="008D2A61"/>
    <w:rsid w:val="00917AAC"/>
    <w:rsid w:val="009F031E"/>
    <w:rsid w:val="00A1788B"/>
    <w:rsid w:val="00AE7641"/>
    <w:rsid w:val="00BB3AF8"/>
    <w:rsid w:val="00C96A97"/>
    <w:rsid w:val="00CD5B98"/>
    <w:rsid w:val="00E660F9"/>
    <w:rsid w:val="00EB1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43C699"/>
  <w15:chartTrackingRefBased/>
  <w15:docId w15:val="{09BC731C-FA31-4070-86E3-7F334D14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uiPriority w:val="99"/>
    <w:semiHidden/>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sz w:val="24"/>
      <w:szCs w:val="24"/>
    </w:rPr>
  </w:style>
  <w:style w:type="paragraph" w:styleId="CommentText">
    <w:name w:val="annotation text"/>
    <w:basedOn w:val="Normal"/>
    <w:link w:val="CommentTextChar"/>
    <w:uiPriority w:val="99"/>
    <w:semiHidden/>
    <w:unhideWhenUsed/>
    <w:pPr>
      <w:spacing w:after="160" w:line="240" w:lineRule="auto"/>
    </w:pPr>
    <w:rPr>
      <w:sz w:val="20"/>
      <w:szCs w:val="20"/>
      <w:lang w:val="es-PR"/>
    </w:rPr>
  </w:style>
  <w:style w:type="character" w:customStyle="1" w:styleId="CommentTextChar">
    <w:name w:val="Comment Text Char"/>
    <w:link w:val="CommentText"/>
    <w:uiPriority w:val="99"/>
    <w:semiHidden/>
    <w:locked/>
    <w:rPr>
      <w:sz w:val="20"/>
      <w:szCs w:val="20"/>
      <w:lang w:val="es-PR"/>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link w:val="Header"/>
    <w:uiPriority w:val="99"/>
    <w:locked/>
    <w:rPr>
      <w:rFonts w:ascii="Calibri" w:eastAsia="Calibri" w:hAnsi="Calibri" w:cs="Times New Roman" w:hint="default"/>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link w:val="Footer"/>
    <w:uiPriority w:val="99"/>
    <w:locked/>
    <w:rPr>
      <w:rFonts w:ascii="Calibri" w:eastAsia="Calibri" w:hAnsi="Calibri" w:cs="Times New Roman" w:hint="default"/>
    </w:rPr>
  </w:style>
  <w:style w:type="paragraph" w:customStyle="1" w:styleId="Default">
    <w:name w:val="Default"/>
    <w:uiPriority w:val="99"/>
    <w:semiHidden/>
    <w:pPr>
      <w:autoSpaceDE w:val="0"/>
      <w:autoSpaceDN w:val="0"/>
      <w:adjustRightInd w:val="0"/>
    </w:pPr>
    <w:rPr>
      <w:color w:val="000000"/>
      <w:sz w:val="24"/>
      <w:szCs w:val="24"/>
    </w:rPr>
  </w:style>
  <w:style w:type="character" w:styleId="CommentReference">
    <w:name w:val="annotation reference"/>
    <w:uiPriority w:val="99"/>
    <w:semiHidden/>
    <w:unhideWhenUsed/>
    <w:rPr>
      <w:sz w:val="16"/>
      <w:szCs w:val="16"/>
    </w:rPr>
  </w:style>
  <w:style w:type="table" w:styleId="TableGrid">
    <w:name w:val="Table Grid"/>
    <w:basedOn w:val="TableNormal"/>
    <w:rPr>
      <w:rFonts w:ascii="Times New Roman" w:eastAsia="Times New Roman" w:hAnsi="Times New Roman" w:cs="Times New Roman"/>
      <w:lang w:val="es-PR" w:eastAsia="es-P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9F0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3043</Words>
  <Characters>16021</Characters>
  <Application>Microsoft Office Word</Application>
  <DocSecurity>4</DocSecurity>
  <Lines>133</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Camyl Moreno Pantojas</cp:lastModifiedBy>
  <cp:revision>2</cp:revision>
  <cp:lastPrinted>2025-01-10T19:27:00Z</cp:lastPrinted>
  <dcterms:created xsi:type="dcterms:W3CDTF">2025-05-15T18:10:00Z</dcterms:created>
  <dcterms:modified xsi:type="dcterms:W3CDTF">2025-05-15T18:10:00Z</dcterms:modified>
</cp:coreProperties>
</file>