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67536B91"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3F6242">
        <w:rPr>
          <w:rFonts w:ascii="Book Antiqua" w:eastAsia="Book Antiqua" w:hAnsi="Book Antiqua" w:cs="Book Antiqua"/>
          <w:b/>
          <w:sz w:val="52"/>
          <w:szCs w:val="52"/>
          <w:lang w:val="es-ES"/>
        </w:rPr>
        <w:t>C</w:t>
      </w:r>
      <w:r w:rsidR="008A0D47">
        <w:rPr>
          <w:rFonts w:ascii="Book Antiqua" w:eastAsia="Book Antiqua" w:hAnsi="Book Antiqua" w:cs="Book Antiqua"/>
          <w:b/>
          <w:sz w:val="52"/>
          <w:szCs w:val="52"/>
          <w:lang w:val="es-ES"/>
        </w:rPr>
        <w:t xml:space="preserve">. </w:t>
      </w:r>
      <w:r w:rsidR="003F6242">
        <w:rPr>
          <w:rFonts w:ascii="Book Antiqua" w:eastAsia="Book Antiqua" w:hAnsi="Book Antiqua" w:cs="Book Antiqua"/>
          <w:b/>
          <w:sz w:val="52"/>
          <w:szCs w:val="52"/>
          <w:lang w:val="es-ES"/>
        </w:rPr>
        <w:t>14</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448A0CDF"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58638E">
        <w:rPr>
          <w:rFonts w:ascii="Book Antiqua" w:eastAsia="Times New Roman" w:hAnsi="Book Antiqua" w:cs="Times New Roman"/>
          <w:sz w:val="24"/>
          <w:szCs w:val="24"/>
          <w:lang w:val="es-ES"/>
        </w:rPr>
        <w:t>30</w:t>
      </w:r>
      <w:r w:rsidR="003F6242">
        <w:rPr>
          <w:rFonts w:ascii="Book Antiqua" w:eastAsia="Times New Roman" w:hAnsi="Book Antiqua" w:cs="Times New Roman"/>
          <w:sz w:val="24"/>
          <w:szCs w:val="24"/>
          <w:lang w:val="es-ES"/>
        </w:rPr>
        <w:t xml:space="preserve"> </w:t>
      </w:r>
      <w:r w:rsidR="00BF27E3">
        <w:rPr>
          <w:rFonts w:ascii="Book Antiqua" w:eastAsia="Times New Roman" w:hAnsi="Book Antiqua" w:cs="Times New Roman"/>
          <w:sz w:val="24"/>
          <w:szCs w:val="24"/>
          <w:lang w:val="es-ES"/>
        </w:rPr>
        <w:t xml:space="preserve">de </w:t>
      </w:r>
      <w:r w:rsidR="0058638E">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06D78950" w:rsidR="00426A07" w:rsidRPr="00044471" w:rsidRDefault="00426A07" w:rsidP="004E110A">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A0D47">
        <w:rPr>
          <w:rFonts w:ascii="Book Antiqua" w:eastAsia="Times New Roman" w:hAnsi="Book Antiqua" w:cs="Times New Roman"/>
          <w:b/>
          <w:sz w:val="24"/>
          <w:szCs w:val="24"/>
          <w:lang w:val="es-ES"/>
        </w:rPr>
        <w:t>de</w:t>
      </w:r>
      <w:r w:rsidR="003F6242">
        <w:rPr>
          <w:rFonts w:ascii="Book Antiqua" w:eastAsia="Times New Roman" w:hAnsi="Book Antiqua" w:cs="Times New Roman"/>
          <w:b/>
          <w:sz w:val="24"/>
          <w:szCs w:val="24"/>
          <w:lang w:val="es-ES"/>
        </w:rPr>
        <w:t xml:space="preserve"> la Cámara</w:t>
      </w:r>
      <w:r w:rsidR="008A0D47">
        <w:rPr>
          <w:rFonts w:ascii="Book Antiqua" w:eastAsia="Times New Roman" w:hAnsi="Book Antiqua" w:cs="Times New Roman"/>
          <w:b/>
          <w:sz w:val="24"/>
          <w:szCs w:val="24"/>
          <w:lang w:val="es-ES"/>
        </w:rPr>
        <w:t xml:space="preserve"> </w:t>
      </w:r>
      <w:r w:rsidR="003F6242">
        <w:rPr>
          <w:rFonts w:ascii="Book Antiqua" w:eastAsia="Times New Roman" w:hAnsi="Book Antiqua" w:cs="Times New Roman"/>
          <w:b/>
          <w:sz w:val="24"/>
          <w:szCs w:val="24"/>
          <w:lang w:val="es-ES"/>
        </w:rPr>
        <w:t>14</w:t>
      </w:r>
      <w:r w:rsidRPr="00044471">
        <w:rPr>
          <w:rFonts w:ascii="Book Antiqua" w:eastAsia="Times New Roman" w:hAnsi="Book Antiqua" w:cs="Times New Roman"/>
          <w:sz w:val="24"/>
          <w:szCs w:val="24"/>
          <w:lang w:val="es-ES"/>
        </w:rPr>
        <w:t xml:space="preserve">, </w:t>
      </w:r>
      <w:r w:rsidR="008A0D47">
        <w:rPr>
          <w:rFonts w:ascii="Book Antiqua" w:eastAsia="Times New Roman" w:hAnsi="Book Antiqua" w:cs="Times New Roman"/>
          <w:sz w:val="24"/>
          <w:szCs w:val="24"/>
          <w:lang w:val="es-ES"/>
        </w:rPr>
        <w:t xml:space="preserve">no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w:t>
      </w:r>
      <w:r w:rsidR="008A0D47">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4E110A">
      <w:pPr>
        <w:pStyle w:val="NoSpacing"/>
        <w:rPr>
          <w:lang w:val="es-ES"/>
        </w:rPr>
      </w:pPr>
    </w:p>
    <w:p w14:paraId="08605908" w14:textId="1740FED0" w:rsidR="003F6242" w:rsidRDefault="00EA7611" w:rsidP="004E110A">
      <w:pPr>
        <w:suppressLineNumbers/>
        <w:spacing w:after="0" w:line="276" w:lineRule="auto"/>
        <w:ind w:left="734" w:hanging="547"/>
        <w:jc w:val="both"/>
        <w:rPr>
          <w:rFonts w:ascii="Book Antiqua" w:hAnsi="Book Antiqua"/>
          <w:sz w:val="24"/>
          <w:szCs w:val="24"/>
          <w:lang w:val="es-PR"/>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 xml:space="preserve">Proyecto </w:t>
      </w:r>
      <w:r w:rsidR="008A0D47">
        <w:rPr>
          <w:rFonts w:ascii="Book Antiqua" w:eastAsia="Times New Roman" w:hAnsi="Book Antiqua"/>
          <w:b/>
          <w:sz w:val="24"/>
          <w:szCs w:val="24"/>
          <w:lang w:val="es-PR"/>
        </w:rPr>
        <w:t>de</w:t>
      </w:r>
      <w:r w:rsidR="003F6242">
        <w:rPr>
          <w:rFonts w:ascii="Book Antiqua" w:eastAsia="Times New Roman" w:hAnsi="Book Antiqua"/>
          <w:b/>
          <w:sz w:val="24"/>
          <w:szCs w:val="24"/>
          <w:lang w:val="es-PR"/>
        </w:rPr>
        <w:t xml:space="preserve"> la Cámara</w:t>
      </w:r>
      <w:r w:rsidR="008A0D47">
        <w:rPr>
          <w:rFonts w:ascii="Book Antiqua" w:eastAsia="Times New Roman" w:hAnsi="Book Antiqua"/>
          <w:b/>
          <w:sz w:val="24"/>
          <w:szCs w:val="24"/>
          <w:lang w:val="es-PR"/>
        </w:rPr>
        <w:t xml:space="preserve"> </w:t>
      </w:r>
      <w:r w:rsidR="003F6242">
        <w:rPr>
          <w:rFonts w:ascii="Book Antiqua" w:eastAsia="Times New Roman" w:hAnsi="Book Antiqua"/>
          <w:b/>
          <w:sz w:val="24"/>
          <w:szCs w:val="24"/>
          <w:lang w:val="es-PR"/>
        </w:rPr>
        <w:t>14</w:t>
      </w:r>
      <w:r w:rsidR="002B58BF">
        <w:rPr>
          <w:rFonts w:ascii="Book Antiqua" w:eastAsia="Times New Roman" w:hAnsi="Book Antiqua"/>
          <w:b/>
          <w:sz w:val="24"/>
          <w:szCs w:val="24"/>
          <w:lang w:val="es-PR"/>
        </w:rPr>
        <w:t xml:space="preserve"> </w:t>
      </w:r>
      <w:r>
        <w:rPr>
          <w:rFonts w:ascii="Book Antiqua" w:eastAsia="Times New Roman" w:hAnsi="Book Antiqua"/>
          <w:sz w:val="24"/>
          <w:szCs w:val="24"/>
          <w:lang w:val="es-PR"/>
        </w:rPr>
        <w:t>propone</w:t>
      </w:r>
      <w:r w:rsidR="003F6242">
        <w:rPr>
          <w:rFonts w:ascii="Book Antiqua" w:hAnsi="Book Antiqua"/>
          <w:sz w:val="24"/>
          <w:szCs w:val="24"/>
          <w:lang w:val="es-PR"/>
        </w:rPr>
        <w:t xml:space="preserve"> enmendar los Artículos 1, 2, 3, 4, 5 y 9; y añadir el Artículo 2A a la Ley 248-2018, conocida como la “Carta de Derechos de las Personas Viviendo con VIH en cualquiera de sus etapas en Puerto Rico”, a los fines de sustituir conceptos que pueden ser estigmatizantes; incluir en la Ley definiciones de conceptos relevantes; clarificar el lenguaje de algunas disposiciones sobre los derechos de las personas con diagnóstico positivo a VIH; aclarar responsabilidades del Departamento de Salud; y para otros fines relacionados.</w:t>
      </w:r>
    </w:p>
    <w:p w14:paraId="05CC4EAB" w14:textId="77777777" w:rsidR="003E0AB6" w:rsidRDefault="003E0AB6" w:rsidP="003E0AB6">
      <w:pPr>
        <w:pStyle w:val="NoSpacing"/>
        <w:rPr>
          <w:lang w:val="es-ES"/>
        </w:rPr>
      </w:pPr>
    </w:p>
    <w:p w14:paraId="7BAA753D" w14:textId="3C3351D5" w:rsidR="007E656E" w:rsidRPr="00C73B33" w:rsidRDefault="00607F19" w:rsidP="00C73B33">
      <w:pPr>
        <w:pStyle w:val="NoSpacing"/>
        <w:spacing w:line="276" w:lineRule="auto"/>
        <w:jc w:val="center"/>
        <w:rPr>
          <w:rFonts w:ascii="Book Antiqua" w:hAnsi="Book Antiqua"/>
          <w:b/>
          <w:bCs/>
        </w:rPr>
      </w:pPr>
      <w:r w:rsidRPr="00C73B33">
        <w:rPr>
          <w:rFonts w:ascii="Book Antiqua" w:hAnsi="Book Antiqua"/>
          <w:b/>
          <w:bCs/>
        </w:rPr>
        <w:t>ANÁLISIS DE LA MEDIDA</w:t>
      </w:r>
    </w:p>
    <w:p w14:paraId="7C3A3D9A" w14:textId="77777777" w:rsidR="00C73B33" w:rsidRDefault="00C73B33" w:rsidP="004E110A">
      <w:pPr>
        <w:pStyle w:val="NoSpacing"/>
        <w:spacing w:line="276" w:lineRule="auto"/>
        <w:jc w:val="both"/>
        <w:rPr>
          <w:rFonts w:ascii="Book Antiqua" w:hAnsi="Book Antiqua"/>
        </w:rPr>
      </w:pPr>
    </w:p>
    <w:p w14:paraId="28D786C7" w14:textId="34FC4FD4" w:rsidR="003F6242" w:rsidRPr="00D54181" w:rsidRDefault="0089666B" w:rsidP="00D54181">
      <w:pPr>
        <w:pStyle w:val="NoSpacing"/>
        <w:spacing w:line="276" w:lineRule="auto"/>
        <w:jc w:val="both"/>
        <w:rPr>
          <w:rFonts w:ascii="Book Antiqua" w:hAnsi="Book Antiqua"/>
          <w:lang w:val="es-419"/>
        </w:rPr>
      </w:pPr>
      <w:r w:rsidRPr="00D54181">
        <w:rPr>
          <w:rFonts w:ascii="Book Antiqua" w:hAnsi="Book Antiqua"/>
          <w:lang w:val="es-419"/>
        </w:rPr>
        <w:t>Según se desprende de la Exposición de Motivos de la medida</w:t>
      </w:r>
      <w:r w:rsidR="00C223A8">
        <w:rPr>
          <w:rFonts w:ascii="Book Antiqua" w:hAnsi="Book Antiqua"/>
          <w:lang w:val="es-419"/>
        </w:rPr>
        <w:t>, con la</w:t>
      </w:r>
      <w:r w:rsidR="00E71F03">
        <w:rPr>
          <w:rFonts w:ascii="Book Antiqua" w:hAnsi="Book Antiqua"/>
          <w:lang w:val="es-419"/>
        </w:rPr>
        <w:t xml:space="preserve"> finalidad</w:t>
      </w:r>
      <w:r w:rsidR="003F6242" w:rsidRPr="00D54181">
        <w:rPr>
          <w:rFonts w:ascii="Book Antiqua" w:hAnsi="Book Antiqua"/>
          <w:lang w:val="es-419"/>
        </w:rPr>
        <w:t xml:space="preserve"> </w:t>
      </w:r>
      <w:r w:rsidR="00C223A8">
        <w:rPr>
          <w:rFonts w:ascii="Book Antiqua" w:hAnsi="Book Antiqua"/>
          <w:lang w:val="es-419"/>
        </w:rPr>
        <w:t>de</w:t>
      </w:r>
      <w:r w:rsidR="003F6242" w:rsidRPr="00D54181">
        <w:rPr>
          <w:rFonts w:ascii="Book Antiqua" w:hAnsi="Book Antiqua"/>
          <w:lang w:val="es-419"/>
        </w:rPr>
        <w:t xml:space="preserve"> garantizar un trato digno y libre de discrimen a las personas viviendo con VIH en cualquiera de sus etapas, se aprobó la Ley 248-2018.  Mediante la referida Ley se estableció la “Carta de Derechos de las Personas Viviendo con VIH en cualquiera de sus etapas en Puerto Rico”.  De esta manera se procuraba garantizar la solidaridad necesaria para evitar el discrimen, estigma, exclusión social y prejuicio.  Además, esta Ley garantiza </w:t>
      </w:r>
      <w:r w:rsidR="003F6242" w:rsidRPr="00D54181">
        <w:rPr>
          <w:rFonts w:ascii="Book Antiqua" w:hAnsi="Book Antiqua"/>
          <w:lang w:val="es-419"/>
        </w:rPr>
        <w:lastRenderedPageBreak/>
        <w:t>calidad de servicios y de tratamiento médico en personas viviendo con el Virus de Inmunodeficiencia Humana (VIH) en cualquiera de sus etapas.</w:t>
      </w:r>
    </w:p>
    <w:p w14:paraId="6F5A4393" w14:textId="77777777" w:rsidR="003F6242" w:rsidRPr="00D54181" w:rsidRDefault="003F6242" w:rsidP="00D54181">
      <w:pPr>
        <w:pStyle w:val="NoSpacing"/>
        <w:spacing w:line="276" w:lineRule="auto"/>
        <w:jc w:val="both"/>
        <w:rPr>
          <w:rFonts w:ascii="Book Antiqua" w:hAnsi="Book Antiqua"/>
          <w:lang w:val="es-419"/>
        </w:rPr>
      </w:pPr>
    </w:p>
    <w:p w14:paraId="74DF62F3" w14:textId="6E1C2606" w:rsidR="003F6242" w:rsidRPr="00D54181" w:rsidRDefault="003F6242" w:rsidP="00D54181">
      <w:pPr>
        <w:pStyle w:val="NoSpacing"/>
        <w:spacing w:line="276" w:lineRule="auto"/>
        <w:jc w:val="both"/>
        <w:rPr>
          <w:rFonts w:ascii="Book Antiqua" w:hAnsi="Book Antiqua"/>
          <w:lang w:val="es-419"/>
        </w:rPr>
      </w:pPr>
      <w:r w:rsidRPr="00D54181">
        <w:rPr>
          <w:rFonts w:ascii="Book Antiqua" w:hAnsi="Book Antiqua"/>
          <w:lang w:val="es-419"/>
        </w:rPr>
        <w:t>Históricamente, las personas con diagnóstico positivo a VIH han sido expuestas al discrimen y el estigma debido a su condición.</w:t>
      </w:r>
      <w:r w:rsidR="0038086B" w:rsidRPr="00D54181">
        <w:rPr>
          <w:rFonts w:ascii="Book Antiqua" w:hAnsi="Book Antiqua"/>
          <w:lang w:val="es-419"/>
        </w:rPr>
        <w:t xml:space="preserve"> </w:t>
      </w:r>
      <w:r w:rsidRPr="00D54181">
        <w:rPr>
          <w:rFonts w:ascii="Book Antiqua" w:hAnsi="Book Antiqua"/>
          <w:lang w:val="es-419"/>
        </w:rPr>
        <w:t>Esto contraviene sus derechos constitucionales, principalmente la Sección 1 del Artículo II de la Constitución de Puerto Rico que decreta que: “La dignidad del ser humano es inviolable. Todos los [seres humanos] son iguales ante la Ley.”  En aras de proteger los derechos de las personas con diagnóstico positivo a VIH, el Gobierno de Puerto Rico aprobó la Carta de Derechos y se comprometió a garantizar los mismos.</w:t>
      </w:r>
    </w:p>
    <w:p w14:paraId="38E3EA8E" w14:textId="77777777" w:rsidR="003F6242" w:rsidRPr="00D54181" w:rsidRDefault="003F6242" w:rsidP="00D54181">
      <w:pPr>
        <w:pStyle w:val="NoSpacing"/>
        <w:spacing w:line="276" w:lineRule="auto"/>
        <w:jc w:val="both"/>
        <w:rPr>
          <w:rFonts w:ascii="Book Antiqua" w:hAnsi="Book Antiqua"/>
          <w:lang w:val="es-419"/>
        </w:rPr>
      </w:pPr>
    </w:p>
    <w:p w14:paraId="1AAA212E" w14:textId="70907BF0" w:rsidR="003F6242" w:rsidRPr="00D54181" w:rsidRDefault="003F6242" w:rsidP="00D54181">
      <w:pPr>
        <w:pStyle w:val="NoSpacing"/>
        <w:spacing w:line="276" w:lineRule="auto"/>
        <w:jc w:val="both"/>
        <w:rPr>
          <w:rFonts w:ascii="Book Antiqua" w:hAnsi="Book Antiqua"/>
          <w:lang w:val="es-419"/>
        </w:rPr>
      </w:pPr>
      <w:r w:rsidRPr="00D54181">
        <w:rPr>
          <w:rFonts w:ascii="Book Antiqua" w:hAnsi="Book Antiqua"/>
          <w:lang w:val="es-419"/>
        </w:rPr>
        <w:t>Uno de los propósitos principales de esta Carta de Derechos es terminar con el discrimen y la estigmatización a las cuales han sido sometidas las personas con diagnóstico positivo a VIH.  Sin embargo, a pesar de que la Ley 248-2018 fue producto de un esfuerzo loable para modernizar la Carta de Derechos, la misma puede ser mejorada. Al presente, las personas con diagnóstico positivo a VIH en cualquiera de sus etapas continúan siendo vulnerabilidades por algunos sectores de nuestra sociedad aun cuando deben gozar de todos los derechos humanos.  Asimismo, debido a que en algunas instancias el lenguaje de la Ley 248-2018 puede resultar estigmatizante, se modifican algunos conceptos. Bajo esta nueva ley se sustituyen conceptos, tales como la expresión “viviendo con VIH” la cual es considerada discriminatoria y se sustituye por “con diagnóstico positivo a VIH”.</w:t>
      </w:r>
    </w:p>
    <w:p w14:paraId="0BC7A227" w14:textId="77777777" w:rsidR="003F6242" w:rsidRPr="00D54181" w:rsidRDefault="003F6242" w:rsidP="00D54181">
      <w:pPr>
        <w:pStyle w:val="NoSpacing"/>
        <w:spacing w:line="276" w:lineRule="auto"/>
        <w:jc w:val="both"/>
        <w:rPr>
          <w:rFonts w:ascii="Book Antiqua" w:hAnsi="Book Antiqua"/>
          <w:lang w:val="es-419"/>
        </w:rPr>
      </w:pPr>
      <w:r w:rsidRPr="00D54181">
        <w:rPr>
          <w:rFonts w:ascii="Book Antiqua" w:hAnsi="Book Antiqua"/>
          <w:lang w:val="es-419"/>
        </w:rPr>
        <w:t xml:space="preserve"> </w:t>
      </w:r>
    </w:p>
    <w:p w14:paraId="04A46DBD" w14:textId="747B2142" w:rsidR="003F6242" w:rsidRPr="00D54181" w:rsidRDefault="003F6242" w:rsidP="00D54181">
      <w:pPr>
        <w:pStyle w:val="NoSpacing"/>
        <w:spacing w:line="276" w:lineRule="auto"/>
        <w:jc w:val="both"/>
        <w:rPr>
          <w:rFonts w:ascii="Book Antiqua" w:hAnsi="Book Antiqua"/>
          <w:lang w:val="es-419"/>
        </w:rPr>
      </w:pPr>
      <w:r w:rsidRPr="00D54181">
        <w:rPr>
          <w:rFonts w:ascii="Book Antiqua" w:hAnsi="Book Antiqua"/>
          <w:lang w:val="es-419"/>
        </w:rPr>
        <w:t>Además, se</w:t>
      </w:r>
      <w:r w:rsidR="00434CA6">
        <w:rPr>
          <w:rFonts w:ascii="Book Antiqua" w:hAnsi="Book Antiqua"/>
          <w:lang w:val="es-419"/>
        </w:rPr>
        <w:t xml:space="preserve"> pretende</w:t>
      </w:r>
      <w:r w:rsidRPr="00D54181">
        <w:rPr>
          <w:rFonts w:ascii="Book Antiqua" w:hAnsi="Book Antiqua"/>
          <w:lang w:val="es-419"/>
        </w:rPr>
        <w:t xml:space="preserve"> utiliza</w:t>
      </w:r>
      <w:r w:rsidR="00434CA6">
        <w:rPr>
          <w:rFonts w:ascii="Book Antiqua" w:hAnsi="Book Antiqua"/>
          <w:lang w:val="es-419"/>
        </w:rPr>
        <w:t>r</w:t>
      </w:r>
      <w:r w:rsidRPr="00D54181">
        <w:rPr>
          <w:rFonts w:ascii="Book Antiqua" w:hAnsi="Book Antiqua"/>
          <w:lang w:val="es-419"/>
        </w:rPr>
        <w:t xml:space="preserve"> un lenguaje más práctico para la protección de los derechos de las personas con diagnóstico positivo a VIH.  El fin es que estos derechos puedan hacerse valer adecuadamente.  De otra parte, se aclaran las responsabilidades del Departamento de Salud (DS) establecidas en la Ley 248-2018. Así, se podrá evitar malentendidos, salvaguardando los derechos de las personas y proveyendo unos parámetros más claros y objetivos. </w:t>
      </w:r>
    </w:p>
    <w:p w14:paraId="3312AEA6" w14:textId="77777777" w:rsidR="003F6242" w:rsidRPr="00D54181" w:rsidRDefault="003F6242" w:rsidP="00D54181">
      <w:pPr>
        <w:pStyle w:val="NoSpacing"/>
        <w:spacing w:line="276" w:lineRule="auto"/>
        <w:jc w:val="both"/>
        <w:rPr>
          <w:rFonts w:ascii="Book Antiqua" w:hAnsi="Book Antiqua"/>
          <w:lang w:val="es-419"/>
        </w:rPr>
      </w:pPr>
    </w:p>
    <w:p w14:paraId="291C2531" w14:textId="77777777" w:rsidR="00C73B33" w:rsidRPr="00D54181" w:rsidRDefault="003F6242" w:rsidP="00D54181">
      <w:pPr>
        <w:pStyle w:val="NoSpacing"/>
        <w:spacing w:line="276" w:lineRule="auto"/>
        <w:jc w:val="both"/>
        <w:rPr>
          <w:rFonts w:ascii="Book Antiqua" w:hAnsi="Book Antiqua"/>
          <w:lang w:val="es-419"/>
        </w:rPr>
      </w:pPr>
      <w:r w:rsidRPr="00D54181">
        <w:rPr>
          <w:rFonts w:ascii="Book Antiqua" w:hAnsi="Book Antiqua"/>
          <w:lang w:val="es-419"/>
        </w:rPr>
        <w:t>En vista de lo anterior, esta Asamblea Legislativa entiende es meritorio enmendar la Carta de Derechos de las Personas con diagnóstico positivo a VIH con el fin de optimizarla al sustituir conceptos que pueden ser estigmatizantes; añadir el Artículo 2A con definiciones de conceptos relevantes; clarificar el lenguaje de algunas disposiciones sobre los derechos de las personas con diagnóstico positivo a VIH.   Con esta enmienda se les brinda un mejor trato a las personas con diagnóstico positivo a VIH y se contribuye a proteger su dignidad.</w:t>
      </w:r>
    </w:p>
    <w:p w14:paraId="6EC2D89D" w14:textId="637EA561" w:rsidR="003F6242" w:rsidRPr="00021CD9" w:rsidRDefault="003F6242" w:rsidP="00021CD9">
      <w:pPr>
        <w:pStyle w:val="NoSpacing"/>
        <w:rPr>
          <w:lang w:val="es-419"/>
        </w:rPr>
      </w:pPr>
      <w:r w:rsidRPr="00D54181">
        <w:rPr>
          <w:lang w:val="es-419"/>
        </w:rPr>
        <w:t xml:space="preserve"> </w:t>
      </w:r>
    </w:p>
    <w:p w14:paraId="62B35931" w14:textId="649B0AAA" w:rsidR="00C41B7E" w:rsidRPr="00D54181" w:rsidRDefault="00C41B7E" w:rsidP="00D54181">
      <w:pPr>
        <w:pStyle w:val="NoSpacing"/>
        <w:spacing w:line="276" w:lineRule="auto"/>
        <w:jc w:val="center"/>
        <w:rPr>
          <w:rFonts w:ascii="Book Antiqua" w:hAnsi="Book Antiqua"/>
          <w:b/>
          <w:bCs/>
          <w:lang w:val="es-419"/>
        </w:rPr>
      </w:pPr>
      <w:r w:rsidRPr="00D54181">
        <w:rPr>
          <w:rFonts w:ascii="Book Antiqua" w:hAnsi="Book Antiqua"/>
          <w:b/>
          <w:bCs/>
          <w:lang w:val="es-419"/>
        </w:rPr>
        <w:lastRenderedPageBreak/>
        <w:t>ALCANCE DEL INFORME</w:t>
      </w:r>
    </w:p>
    <w:p w14:paraId="56278D03" w14:textId="77777777" w:rsidR="00050C02" w:rsidRPr="00D54181" w:rsidRDefault="00050C02" w:rsidP="00D54181">
      <w:pPr>
        <w:pStyle w:val="NoSpacing"/>
        <w:spacing w:line="276" w:lineRule="auto"/>
        <w:jc w:val="both"/>
        <w:rPr>
          <w:rFonts w:ascii="Book Antiqua" w:hAnsi="Book Antiqua"/>
          <w:lang w:val="es-419"/>
        </w:rPr>
      </w:pPr>
    </w:p>
    <w:p w14:paraId="44A4AB18" w14:textId="4CDBF3B9" w:rsidR="006942F3" w:rsidRPr="00D54181" w:rsidRDefault="004A749E" w:rsidP="00D54181">
      <w:pPr>
        <w:pStyle w:val="NoSpacing"/>
        <w:spacing w:line="276" w:lineRule="auto"/>
        <w:jc w:val="both"/>
        <w:rPr>
          <w:rFonts w:ascii="Book Antiqua" w:hAnsi="Book Antiqua"/>
          <w:lang w:val="es-419"/>
        </w:rPr>
      </w:pPr>
      <w:r w:rsidRPr="00D54181">
        <w:rPr>
          <w:rFonts w:ascii="Book Antiqua" w:hAnsi="Book Antiqua"/>
          <w:lang w:val="es-419"/>
        </w:rPr>
        <w:t xml:space="preserve">Atendiendo su responsabilidad y deber ministerial en el estudio y evaluación del </w:t>
      </w:r>
      <w:r w:rsidR="00021CD9">
        <w:rPr>
          <w:rFonts w:ascii="Book Antiqua" w:hAnsi="Book Antiqua"/>
          <w:lang w:val="es-419"/>
        </w:rPr>
        <w:t>P. de la C. 14</w:t>
      </w:r>
      <w:r w:rsidRPr="00D54181">
        <w:rPr>
          <w:rFonts w:ascii="Book Antiqua" w:hAnsi="Book Antiqua"/>
          <w:lang w:val="es-419"/>
        </w:rPr>
        <w:t xml:space="preserve">, la Comisión de </w:t>
      </w:r>
      <w:r w:rsidR="004B6CAC" w:rsidRPr="00D54181">
        <w:rPr>
          <w:rFonts w:ascii="Book Antiqua" w:hAnsi="Book Antiqua"/>
          <w:lang w:val="es-419"/>
        </w:rPr>
        <w:t>Salud</w:t>
      </w:r>
      <w:r w:rsidRPr="00D54181">
        <w:rPr>
          <w:rFonts w:ascii="Book Antiqua" w:hAnsi="Book Antiqua"/>
          <w:lang w:val="es-419"/>
        </w:rPr>
        <w:t xml:space="preserve"> del Senado de Puerto Rico </w:t>
      </w:r>
      <w:r w:rsidR="008A0D47" w:rsidRPr="00D54181">
        <w:rPr>
          <w:rFonts w:ascii="Book Antiqua" w:hAnsi="Book Antiqua"/>
          <w:lang w:val="es-419"/>
        </w:rPr>
        <w:t xml:space="preserve">luego de evaluar la medida ante nuestra consideración, concluyó que el propósito que persigue esta pieza legislativa ya fue atendido por esta Comisión previamente, mediante </w:t>
      </w:r>
      <w:r w:rsidR="0024704D" w:rsidRPr="00D54181">
        <w:rPr>
          <w:rFonts w:ascii="Book Antiqua" w:hAnsi="Book Antiqua"/>
          <w:lang w:val="es-419"/>
        </w:rPr>
        <w:t>una</w:t>
      </w:r>
      <w:r w:rsidR="008A0D47" w:rsidRPr="00D54181">
        <w:rPr>
          <w:rFonts w:ascii="Book Antiqua" w:hAnsi="Book Antiqua"/>
          <w:lang w:val="es-419"/>
        </w:rPr>
        <w:t xml:space="preserve"> medida presentada ante </w:t>
      </w:r>
      <w:r w:rsidR="0024704D" w:rsidRPr="00D54181">
        <w:rPr>
          <w:rFonts w:ascii="Book Antiqua" w:hAnsi="Book Antiqua"/>
          <w:lang w:val="es-419"/>
        </w:rPr>
        <w:t>el Senado</w:t>
      </w:r>
      <w:r w:rsidR="008A0D47" w:rsidRPr="00D54181">
        <w:rPr>
          <w:rFonts w:ascii="Book Antiqua" w:hAnsi="Book Antiqua"/>
          <w:lang w:val="es-419"/>
        </w:rPr>
        <w:t xml:space="preserve"> de </w:t>
      </w:r>
      <w:r w:rsidR="0024704D" w:rsidRPr="00D54181">
        <w:rPr>
          <w:rFonts w:ascii="Book Antiqua" w:hAnsi="Book Antiqua"/>
          <w:lang w:val="es-419"/>
        </w:rPr>
        <w:t>Puerto Rico</w:t>
      </w:r>
      <w:r w:rsidR="008A0D47" w:rsidRPr="00D54181">
        <w:rPr>
          <w:rFonts w:ascii="Book Antiqua" w:hAnsi="Book Antiqua"/>
          <w:lang w:val="es-419"/>
        </w:rPr>
        <w:t>.</w:t>
      </w:r>
    </w:p>
    <w:p w14:paraId="427964FA" w14:textId="77777777" w:rsidR="00050C02" w:rsidRPr="00D54181" w:rsidRDefault="00050C02" w:rsidP="00D54181">
      <w:pPr>
        <w:pStyle w:val="NoSpacing"/>
        <w:spacing w:line="276" w:lineRule="auto"/>
        <w:jc w:val="both"/>
        <w:rPr>
          <w:rFonts w:ascii="Book Antiqua" w:hAnsi="Book Antiqua"/>
          <w:lang w:val="es-419"/>
        </w:rPr>
      </w:pPr>
    </w:p>
    <w:p w14:paraId="53194BE7" w14:textId="47AE3F2F" w:rsidR="001F677F" w:rsidRPr="00B3450B" w:rsidRDefault="008A0D47" w:rsidP="00D54181">
      <w:pPr>
        <w:pStyle w:val="NoSpacing"/>
        <w:spacing w:line="276" w:lineRule="auto"/>
        <w:jc w:val="both"/>
        <w:rPr>
          <w:rFonts w:ascii="Book Antiqua" w:hAnsi="Book Antiqua"/>
        </w:rPr>
      </w:pPr>
      <w:r w:rsidRPr="00D54181">
        <w:rPr>
          <w:rFonts w:ascii="Book Antiqua" w:hAnsi="Book Antiqua"/>
          <w:lang w:val="es-419"/>
        </w:rPr>
        <w:t xml:space="preserve">El día el </w:t>
      </w:r>
      <w:r w:rsidR="000E3AD5" w:rsidRPr="00D54181">
        <w:rPr>
          <w:rFonts w:ascii="Book Antiqua" w:hAnsi="Book Antiqua"/>
          <w:lang w:val="es-419"/>
        </w:rPr>
        <w:t>2</w:t>
      </w:r>
      <w:r w:rsidRPr="00D54181">
        <w:rPr>
          <w:rFonts w:ascii="Book Antiqua" w:hAnsi="Book Antiqua"/>
          <w:lang w:val="es-419"/>
        </w:rPr>
        <w:t xml:space="preserve"> de </w:t>
      </w:r>
      <w:r w:rsidR="000E3AD5" w:rsidRPr="00D54181">
        <w:rPr>
          <w:rFonts w:ascii="Book Antiqua" w:hAnsi="Book Antiqua"/>
          <w:lang w:val="es-419"/>
        </w:rPr>
        <w:t>enero</w:t>
      </w:r>
      <w:r w:rsidRPr="00D54181">
        <w:rPr>
          <w:rFonts w:ascii="Book Antiqua" w:hAnsi="Book Antiqua"/>
          <w:lang w:val="es-419"/>
        </w:rPr>
        <w:t xml:space="preserve"> de 2025, </w:t>
      </w:r>
      <w:proofErr w:type="spellStart"/>
      <w:r w:rsidRPr="00D54181">
        <w:rPr>
          <w:rFonts w:ascii="Book Antiqua" w:hAnsi="Book Antiqua"/>
          <w:lang w:val="es-419"/>
        </w:rPr>
        <w:t>Hon</w:t>
      </w:r>
      <w:proofErr w:type="spellEnd"/>
      <w:r w:rsidRPr="00D54181">
        <w:rPr>
          <w:rFonts w:ascii="Book Antiqua" w:hAnsi="Book Antiqua"/>
          <w:lang w:val="es-419"/>
        </w:rPr>
        <w:t xml:space="preserve">. </w:t>
      </w:r>
      <w:r w:rsidR="000E3AD5" w:rsidRPr="00D54181">
        <w:rPr>
          <w:rFonts w:ascii="Book Antiqua" w:hAnsi="Book Antiqua"/>
          <w:lang w:val="es-419"/>
        </w:rPr>
        <w:t>Thomas Rivera Schat</w:t>
      </w:r>
      <w:r w:rsidR="001F677F" w:rsidRPr="00D54181">
        <w:rPr>
          <w:rFonts w:ascii="Book Antiqua" w:hAnsi="Book Antiqua"/>
          <w:lang w:val="es-419"/>
        </w:rPr>
        <w:t>z</w:t>
      </w:r>
      <w:r w:rsidRPr="00D54181">
        <w:rPr>
          <w:rFonts w:ascii="Book Antiqua" w:hAnsi="Book Antiqua"/>
          <w:lang w:val="es-419"/>
        </w:rPr>
        <w:t>, radic</w:t>
      </w:r>
      <w:r w:rsidR="001F677F" w:rsidRPr="00D54181">
        <w:rPr>
          <w:rFonts w:ascii="Book Antiqua" w:hAnsi="Book Antiqua"/>
          <w:lang w:val="es-419"/>
        </w:rPr>
        <w:t>ó</w:t>
      </w:r>
      <w:r w:rsidRPr="00D54181">
        <w:rPr>
          <w:rFonts w:ascii="Book Antiqua" w:hAnsi="Book Antiqua"/>
          <w:lang w:val="es-419"/>
        </w:rPr>
        <w:t xml:space="preserve"> el Proyecto de</w:t>
      </w:r>
      <w:r w:rsidR="001F677F" w:rsidRPr="00D54181">
        <w:rPr>
          <w:rFonts w:ascii="Book Antiqua" w:hAnsi="Book Antiqua"/>
          <w:lang w:val="es-419"/>
        </w:rPr>
        <w:t>l Senado 29</w:t>
      </w:r>
      <w:r w:rsidRPr="00D54181">
        <w:rPr>
          <w:rFonts w:ascii="Book Antiqua" w:hAnsi="Book Antiqua"/>
          <w:lang w:val="es-419"/>
        </w:rPr>
        <w:t>, el cual propone “enmendar</w:t>
      </w:r>
      <w:r w:rsidR="001F677F" w:rsidRPr="00D54181">
        <w:rPr>
          <w:rFonts w:ascii="Book Antiqua" w:hAnsi="Book Antiqua"/>
          <w:lang w:val="es-419"/>
        </w:rPr>
        <w:t xml:space="preserve"> los Artículos 1, 3, 4, 5 y 9; enmendar el inciso (c) del Artículo 2 y añadir el Artículo 2A a la Ley 248-2018, conocida como la “Carta de Derechos de las Personas Viviendo con VIH en cualquiera de sus etapas en Puerto Rico”, a los fines de sustituir conceptos que pueden ser estigmatizantes; incluir en la Ley definiciones de conceptos relevantes; clarificar el lenguaje de algunas disposiciones sobre los derechos de las personas con diagnóstico positivo a VIH; aclarar responsabilidades del Departamento de Salud; y para otros fines relacionados.</w:t>
      </w:r>
      <w:r w:rsidR="00B3450B">
        <w:rPr>
          <w:rFonts w:ascii="Book Antiqua" w:hAnsi="Book Antiqua"/>
        </w:rPr>
        <w:t>”</w:t>
      </w:r>
    </w:p>
    <w:p w14:paraId="30D628DA" w14:textId="0C81C286" w:rsidR="008A0D47" w:rsidRPr="00D54181" w:rsidRDefault="008A0D47" w:rsidP="00D54181">
      <w:pPr>
        <w:pStyle w:val="NoSpacing"/>
        <w:spacing w:line="276" w:lineRule="auto"/>
        <w:jc w:val="both"/>
        <w:rPr>
          <w:rFonts w:ascii="Book Antiqua" w:hAnsi="Book Antiqua"/>
          <w:lang w:val="es-419"/>
        </w:rPr>
      </w:pPr>
    </w:p>
    <w:p w14:paraId="47DCF892" w14:textId="230A9AEC" w:rsidR="008A0D47" w:rsidRPr="00D54181" w:rsidRDefault="008A0D47" w:rsidP="00D54181">
      <w:pPr>
        <w:pStyle w:val="NoSpacing"/>
        <w:spacing w:line="276" w:lineRule="auto"/>
        <w:jc w:val="both"/>
        <w:rPr>
          <w:rFonts w:ascii="Book Antiqua" w:hAnsi="Book Antiqua"/>
          <w:lang w:val="es-419"/>
        </w:rPr>
      </w:pPr>
      <w:r w:rsidRPr="00D54181">
        <w:rPr>
          <w:rFonts w:ascii="Book Antiqua" w:hAnsi="Book Antiqua"/>
          <w:lang w:val="es-419"/>
        </w:rPr>
        <w:t xml:space="preserve">La mencionada pieza legislativa fue referida a nuestra Comisión y fue atendida con la premura y celeridad que merece, por tratarse de una medida en beneficio de la salud de nuestro Pueblo. Luego de haber analizado los memoriales explicativos recibidos por las diferentes agencias y entidades con inherencia en la materia, pudimos </w:t>
      </w:r>
      <w:r w:rsidR="005A3907" w:rsidRPr="00D54181">
        <w:rPr>
          <w:rFonts w:ascii="Book Antiqua" w:hAnsi="Book Antiqua"/>
          <w:lang w:val="es-419"/>
        </w:rPr>
        <w:t xml:space="preserve">concluir </w:t>
      </w:r>
      <w:r w:rsidRPr="00D54181">
        <w:rPr>
          <w:rFonts w:ascii="Book Antiqua" w:hAnsi="Book Antiqua"/>
          <w:lang w:val="es-419"/>
        </w:rPr>
        <w:t>que el P. de</w:t>
      </w:r>
      <w:r w:rsidR="006A5BE3" w:rsidRPr="00D54181">
        <w:rPr>
          <w:rFonts w:ascii="Book Antiqua" w:hAnsi="Book Antiqua"/>
          <w:lang w:val="es-419"/>
        </w:rPr>
        <w:t>l</w:t>
      </w:r>
      <w:r w:rsidRPr="00D54181">
        <w:rPr>
          <w:rFonts w:ascii="Book Antiqua" w:hAnsi="Book Antiqua"/>
          <w:lang w:val="es-419"/>
        </w:rPr>
        <w:t xml:space="preserve"> </w:t>
      </w:r>
      <w:r w:rsidR="00BC0FC7" w:rsidRPr="00D54181">
        <w:rPr>
          <w:rFonts w:ascii="Book Antiqua" w:hAnsi="Book Antiqua"/>
          <w:lang w:val="es-419"/>
        </w:rPr>
        <w:t>S. 29</w:t>
      </w:r>
      <w:r w:rsidRPr="00D54181">
        <w:rPr>
          <w:rFonts w:ascii="Book Antiqua" w:hAnsi="Book Antiqua"/>
          <w:lang w:val="es-419"/>
        </w:rPr>
        <w:t xml:space="preserve"> contó con el endoso del Departamento de Salud, </w:t>
      </w:r>
      <w:r w:rsidR="009923BE" w:rsidRPr="00D54181">
        <w:rPr>
          <w:rFonts w:ascii="Book Antiqua" w:hAnsi="Book Antiqua"/>
          <w:lang w:val="es-419"/>
        </w:rPr>
        <w:t xml:space="preserve">Administración de Seguros de Salud </w:t>
      </w:r>
      <w:r w:rsidRPr="00D54181">
        <w:rPr>
          <w:rFonts w:ascii="Book Antiqua" w:hAnsi="Book Antiqua"/>
          <w:lang w:val="es-419"/>
        </w:rPr>
        <w:t>de Puerto Rico</w:t>
      </w:r>
      <w:r w:rsidR="009923BE" w:rsidRPr="00D54181">
        <w:rPr>
          <w:rFonts w:ascii="Book Antiqua" w:hAnsi="Book Antiqua"/>
          <w:lang w:val="es-419"/>
        </w:rPr>
        <w:t xml:space="preserve"> (ASES); Oficina del Procurador del Paciente (OPP); Departamento del Trabajo (DTRH)</w:t>
      </w:r>
      <w:r w:rsidRPr="00D54181">
        <w:rPr>
          <w:rFonts w:ascii="Book Antiqua" w:hAnsi="Book Antiqua"/>
          <w:lang w:val="es-419"/>
        </w:rPr>
        <w:t xml:space="preserve">y la </w:t>
      </w:r>
      <w:r w:rsidR="009923BE" w:rsidRPr="00D54181">
        <w:rPr>
          <w:rFonts w:ascii="Book Antiqua" w:hAnsi="Book Antiqua"/>
          <w:lang w:val="es-419"/>
        </w:rPr>
        <w:t>Oficina del Comisionado de Seguros (OCS)</w:t>
      </w:r>
      <w:r w:rsidRPr="00D54181">
        <w:rPr>
          <w:rFonts w:ascii="Book Antiqua" w:hAnsi="Book Antiqua"/>
          <w:lang w:val="es-419"/>
        </w:rPr>
        <w:t xml:space="preserve">. </w:t>
      </w:r>
    </w:p>
    <w:p w14:paraId="067915AA" w14:textId="77777777" w:rsidR="008A0D47" w:rsidRPr="00D54181" w:rsidRDefault="008A0D47" w:rsidP="00D54181">
      <w:pPr>
        <w:pStyle w:val="NoSpacing"/>
        <w:spacing w:line="276" w:lineRule="auto"/>
        <w:jc w:val="both"/>
        <w:rPr>
          <w:rFonts w:ascii="Book Antiqua" w:hAnsi="Book Antiqua"/>
          <w:lang w:val="es-419"/>
        </w:rPr>
      </w:pPr>
    </w:p>
    <w:p w14:paraId="458298FF" w14:textId="53CFB17A" w:rsidR="008A0D47" w:rsidRPr="00D54181" w:rsidRDefault="008A0D47" w:rsidP="00D54181">
      <w:pPr>
        <w:pStyle w:val="NoSpacing"/>
        <w:spacing w:line="276" w:lineRule="auto"/>
        <w:jc w:val="both"/>
        <w:rPr>
          <w:rFonts w:ascii="Book Antiqua" w:hAnsi="Book Antiqua"/>
          <w:lang w:val="es-419"/>
        </w:rPr>
      </w:pPr>
      <w:r w:rsidRPr="00D54181">
        <w:rPr>
          <w:rFonts w:ascii="Book Antiqua" w:hAnsi="Book Antiqua"/>
          <w:lang w:val="es-419"/>
        </w:rPr>
        <w:t xml:space="preserve">La Comisión de Salud del </w:t>
      </w:r>
      <w:r w:rsidR="005A3907" w:rsidRPr="00D54181">
        <w:rPr>
          <w:rFonts w:ascii="Book Antiqua" w:hAnsi="Book Antiqua"/>
          <w:lang w:val="es-419"/>
        </w:rPr>
        <w:t>S</w:t>
      </w:r>
      <w:r w:rsidRPr="00D54181">
        <w:rPr>
          <w:rFonts w:ascii="Book Antiqua" w:hAnsi="Book Antiqua"/>
          <w:lang w:val="es-419"/>
        </w:rPr>
        <w:t>enado de Puerto Rico, radicó un Informe Positivo, sin enmiendas, sobre la P. de</w:t>
      </w:r>
      <w:r w:rsidR="009923BE" w:rsidRPr="00D54181">
        <w:rPr>
          <w:rFonts w:ascii="Book Antiqua" w:hAnsi="Book Antiqua"/>
          <w:lang w:val="es-419"/>
        </w:rPr>
        <w:t>l S. 29</w:t>
      </w:r>
      <w:r w:rsidR="005A3907" w:rsidRPr="00D54181">
        <w:rPr>
          <w:rFonts w:ascii="Book Antiqua" w:hAnsi="Book Antiqua"/>
          <w:lang w:val="es-419"/>
        </w:rPr>
        <w:t xml:space="preserve"> por</w:t>
      </w:r>
      <w:r w:rsidRPr="00D54181">
        <w:rPr>
          <w:rFonts w:ascii="Book Antiqua" w:hAnsi="Book Antiqua"/>
          <w:lang w:val="es-419"/>
        </w:rPr>
        <w:t xml:space="preserve"> entender que a través esta pieza legislativa se reafirma el </w:t>
      </w:r>
      <w:r w:rsidR="009923BE" w:rsidRPr="00D54181">
        <w:rPr>
          <w:rFonts w:ascii="Book Antiqua" w:hAnsi="Book Antiqua"/>
          <w:lang w:val="es-419"/>
        </w:rPr>
        <w:t>compromiso de garantizar un trato digno y libre de discrimen a las personas viviendo con VIH en cualquiera de sus etapas.</w:t>
      </w:r>
      <w:r w:rsidRPr="00D54181">
        <w:rPr>
          <w:rFonts w:ascii="Book Antiqua" w:hAnsi="Book Antiqua"/>
          <w:lang w:val="es-419"/>
        </w:rPr>
        <w:t xml:space="preserve"> </w:t>
      </w:r>
      <w:r w:rsidR="00A82061">
        <w:rPr>
          <w:rFonts w:ascii="Book Antiqua" w:hAnsi="Book Antiqua"/>
          <w:lang w:val="es-419"/>
        </w:rPr>
        <w:t>El P. del S. 29</w:t>
      </w:r>
      <w:r w:rsidRPr="00D54181">
        <w:rPr>
          <w:rFonts w:ascii="Book Antiqua" w:hAnsi="Book Antiqua"/>
          <w:lang w:val="es-419"/>
        </w:rPr>
        <w:t xml:space="preserve"> fue aprobad</w:t>
      </w:r>
      <w:r w:rsidR="006A2E73" w:rsidRPr="00D54181">
        <w:rPr>
          <w:rFonts w:ascii="Book Antiqua" w:hAnsi="Book Antiqua"/>
          <w:lang w:val="es-419"/>
        </w:rPr>
        <w:t>o</w:t>
      </w:r>
      <w:r w:rsidRPr="00D54181">
        <w:rPr>
          <w:rFonts w:ascii="Book Antiqua" w:hAnsi="Book Antiqua"/>
          <w:lang w:val="es-419"/>
        </w:rPr>
        <w:t xml:space="preserve"> por el Senado de Puerto Rico en votación </w:t>
      </w:r>
      <w:r w:rsidR="00B3450B">
        <w:rPr>
          <w:rFonts w:ascii="Book Antiqua" w:hAnsi="Book Antiqua"/>
          <w:lang w:val="es-419"/>
        </w:rPr>
        <w:t xml:space="preserve">final </w:t>
      </w:r>
      <w:r w:rsidRPr="00D54181">
        <w:rPr>
          <w:rFonts w:ascii="Book Antiqua" w:hAnsi="Book Antiqua"/>
          <w:lang w:val="es-419"/>
        </w:rPr>
        <w:t xml:space="preserve">durante la Sesión Legislativa del </w:t>
      </w:r>
      <w:r w:rsidR="006A2E73" w:rsidRPr="00D54181">
        <w:rPr>
          <w:rFonts w:ascii="Book Antiqua" w:hAnsi="Book Antiqua"/>
          <w:lang w:val="es-419"/>
        </w:rPr>
        <w:t xml:space="preserve">10 </w:t>
      </w:r>
      <w:r w:rsidRPr="00D54181">
        <w:rPr>
          <w:rFonts w:ascii="Book Antiqua" w:hAnsi="Book Antiqua"/>
          <w:lang w:val="es-419"/>
        </w:rPr>
        <w:t>de abril de 2025</w:t>
      </w:r>
      <w:r w:rsidR="00D92F01">
        <w:rPr>
          <w:rFonts w:ascii="Book Antiqua" w:hAnsi="Book Antiqua"/>
          <w:lang w:val="es-419"/>
        </w:rPr>
        <w:t>. D</w:t>
      </w:r>
      <w:r w:rsidR="009749BF" w:rsidRPr="00D54181">
        <w:rPr>
          <w:rFonts w:ascii="Book Antiqua" w:hAnsi="Book Antiqua"/>
          <w:lang w:val="es-419"/>
        </w:rPr>
        <w:t>e igual manera</w:t>
      </w:r>
      <w:r w:rsidR="00D92F01">
        <w:rPr>
          <w:rFonts w:ascii="Book Antiqua" w:hAnsi="Book Antiqua"/>
          <w:lang w:val="es-419"/>
        </w:rPr>
        <w:t>,</w:t>
      </w:r>
      <w:r w:rsidR="009749BF" w:rsidRPr="00D54181">
        <w:rPr>
          <w:rFonts w:ascii="Book Antiqua" w:hAnsi="Book Antiqua"/>
          <w:lang w:val="es-419"/>
        </w:rPr>
        <w:t xml:space="preserve"> fue aprobado </w:t>
      </w:r>
      <w:r w:rsidR="00841FD5">
        <w:rPr>
          <w:rFonts w:ascii="Book Antiqua" w:hAnsi="Book Antiqua"/>
          <w:lang w:val="es-419"/>
        </w:rPr>
        <w:t xml:space="preserve">en votación final </w:t>
      </w:r>
      <w:r w:rsidR="009749BF" w:rsidRPr="00D54181">
        <w:rPr>
          <w:rFonts w:ascii="Book Antiqua" w:hAnsi="Book Antiqua"/>
          <w:lang w:val="es-419"/>
        </w:rPr>
        <w:t>por la Cámara de Representantes durante la Sesión del 25 de junio de 2025</w:t>
      </w:r>
      <w:r w:rsidR="00841FD5">
        <w:rPr>
          <w:rFonts w:ascii="Book Antiqua" w:hAnsi="Book Antiqua"/>
          <w:lang w:val="es-419"/>
        </w:rPr>
        <w:t xml:space="preserve">, por lo que </w:t>
      </w:r>
      <w:r w:rsidR="00A82061">
        <w:rPr>
          <w:rFonts w:ascii="Book Antiqua" w:hAnsi="Book Antiqua"/>
          <w:lang w:val="es-419"/>
        </w:rPr>
        <w:t>próximamente</w:t>
      </w:r>
      <w:r w:rsidR="00841FD5">
        <w:rPr>
          <w:rFonts w:ascii="Book Antiqua" w:hAnsi="Book Antiqua"/>
          <w:lang w:val="es-419"/>
        </w:rPr>
        <w:t xml:space="preserve"> pasará ante la consideración de la Gobernadora de Puerto Rico </w:t>
      </w:r>
      <w:r w:rsidR="00A82061">
        <w:rPr>
          <w:rFonts w:ascii="Book Antiqua" w:hAnsi="Book Antiqua"/>
          <w:lang w:val="es-419"/>
        </w:rPr>
        <w:t>en aras de convertirse en Ley.</w:t>
      </w:r>
    </w:p>
    <w:p w14:paraId="3A5D83FF" w14:textId="77777777" w:rsidR="006A2E73" w:rsidRPr="00D54181" w:rsidRDefault="006A2E73" w:rsidP="00D54181">
      <w:pPr>
        <w:pStyle w:val="NoSpacing"/>
        <w:spacing w:line="276" w:lineRule="auto"/>
        <w:jc w:val="both"/>
        <w:rPr>
          <w:rFonts w:ascii="Book Antiqua" w:hAnsi="Book Antiqua"/>
          <w:lang w:val="es-419"/>
        </w:rPr>
      </w:pPr>
    </w:p>
    <w:p w14:paraId="6FF8DECD" w14:textId="1349DC56" w:rsidR="006A2E73" w:rsidRPr="00D54181" w:rsidRDefault="008A0D47" w:rsidP="00A82061">
      <w:pPr>
        <w:pStyle w:val="NoSpacing"/>
        <w:spacing w:line="276" w:lineRule="auto"/>
        <w:jc w:val="both"/>
        <w:rPr>
          <w:rFonts w:ascii="Book Antiqua" w:hAnsi="Book Antiqua"/>
          <w:lang w:val="es-419"/>
        </w:rPr>
      </w:pPr>
      <w:r w:rsidRPr="00D54181">
        <w:rPr>
          <w:rFonts w:ascii="Book Antiqua" w:hAnsi="Book Antiqua"/>
          <w:lang w:val="es-419"/>
        </w:rPr>
        <w:t xml:space="preserve">En aras de evitar la duplicidad de medidas en nuestra Asamblea Legislativa, la Comisión suscribiente se ve impedida de recomendar la aprobación del P. </w:t>
      </w:r>
      <w:r w:rsidR="003C0D98" w:rsidRPr="00D54181">
        <w:rPr>
          <w:rFonts w:ascii="Book Antiqua" w:hAnsi="Book Antiqua"/>
          <w:lang w:val="es-419"/>
        </w:rPr>
        <w:t xml:space="preserve">del </w:t>
      </w:r>
      <w:r w:rsidR="006A2E73" w:rsidRPr="00D54181">
        <w:rPr>
          <w:rFonts w:ascii="Book Antiqua" w:hAnsi="Book Antiqua"/>
          <w:lang w:val="es-419"/>
        </w:rPr>
        <w:t>C</w:t>
      </w:r>
      <w:r w:rsidRPr="00D54181">
        <w:rPr>
          <w:rFonts w:ascii="Book Antiqua" w:hAnsi="Book Antiqua"/>
          <w:lang w:val="es-419"/>
        </w:rPr>
        <w:t xml:space="preserve">. </w:t>
      </w:r>
      <w:r w:rsidR="006A2E73" w:rsidRPr="00D54181">
        <w:rPr>
          <w:rFonts w:ascii="Book Antiqua" w:hAnsi="Book Antiqua"/>
          <w:lang w:val="es-419"/>
        </w:rPr>
        <w:t>14</w:t>
      </w:r>
      <w:r w:rsidRPr="00D54181">
        <w:rPr>
          <w:rFonts w:ascii="Book Antiqua" w:hAnsi="Book Antiqua"/>
          <w:lang w:val="es-419"/>
        </w:rPr>
        <w:t>, toda vez que, previamente, el Senado</w:t>
      </w:r>
      <w:r w:rsidR="00A82061">
        <w:rPr>
          <w:rFonts w:ascii="Book Antiqua" w:hAnsi="Book Antiqua"/>
          <w:lang w:val="es-419"/>
        </w:rPr>
        <w:t xml:space="preserve"> y la Cámara de Representantes</w:t>
      </w:r>
      <w:r w:rsidRPr="00D54181">
        <w:rPr>
          <w:rFonts w:ascii="Book Antiqua" w:hAnsi="Book Antiqua"/>
          <w:lang w:val="es-419"/>
        </w:rPr>
        <w:t xml:space="preserve"> de Puerto Rico apr</w:t>
      </w:r>
      <w:r w:rsidR="00A82061">
        <w:rPr>
          <w:rFonts w:ascii="Book Antiqua" w:hAnsi="Book Antiqua"/>
          <w:lang w:val="es-419"/>
        </w:rPr>
        <w:t>obaron</w:t>
      </w:r>
      <w:r w:rsidRPr="00D54181">
        <w:rPr>
          <w:rFonts w:ascii="Book Antiqua" w:hAnsi="Book Antiqua"/>
          <w:lang w:val="es-419"/>
        </w:rPr>
        <w:t xml:space="preserve"> el P. </w:t>
      </w:r>
      <w:r w:rsidR="003C0D98" w:rsidRPr="00D54181">
        <w:rPr>
          <w:rFonts w:ascii="Book Antiqua" w:hAnsi="Book Antiqua"/>
          <w:lang w:val="es-419"/>
        </w:rPr>
        <w:lastRenderedPageBreak/>
        <w:t>de</w:t>
      </w:r>
      <w:r w:rsidR="006A2E73" w:rsidRPr="00D54181">
        <w:rPr>
          <w:rFonts w:ascii="Book Antiqua" w:hAnsi="Book Antiqua"/>
          <w:lang w:val="es-419"/>
        </w:rPr>
        <w:t>l S. 29</w:t>
      </w:r>
      <w:r w:rsidRPr="00D54181">
        <w:rPr>
          <w:rFonts w:ascii="Book Antiqua" w:hAnsi="Book Antiqua"/>
          <w:lang w:val="es-419"/>
        </w:rPr>
        <w:t xml:space="preserve">, pieza legislativa </w:t>
      </w:r>
      <w:r w:rsidR="003C0D98" w:rsidRPr="00D54181">
        <w:rPr>
          <w:rFonts w:ascii="Book Antiqua" w:hAnsi="Book Antiqua"/>
          <w:lang w:val="es-419"/>
        </w:rPr>
        <w:t>homóloga presentada ante la Cámara de Representantes</w:t>
      </w:r>
      <w:r w:rsidR="00A82061">
        <w:rPr>
          <w:rFonts w:ascii="Book Antiqua" w:hAnsi="Book Antiqua"/>
          <w:lang w:val="es-419"/>
        </w:rPr>
        <w:t>,</w:t>
      </w:r>
      <w:r w:rsidR="003C0D98" w:rsidRPr="00D54181">
        <w:rPr>
          <w:rFonts w:ascii="Book Antiqua" w:hAnsi="Book Antiqua"/>
          <w:lang w:val="es-419"/>
        </w:rPr>
        <w:t xml:space="preserve"> la cual </w:t>
      </w:r>
      <w:r w:rsidRPr="00D54181">
        <w:rPr>
          <w:rFonts w:ascii="Book Antiqua" w:hAnsi="Book Antiqua"/>
          <w:lang w:val="es-419"/>
        </w:rPr>
        <w:t>persigue el mismo propósito:</w:t>
      </w:r>
      <w:r w:rsidR="006A2E73" w:rsidRPr="00D54181">
        <w:rPr>
          <w:rFonts w:ascii="Book Antiqua" w:hAnsi="Book Antiqua"/>
          <w:lang w:val="es-419"/>
        </w:rPr>
        <w:t xml:space="preserve"> enmendar los Artículos 1, 3, 4, 5 y 9; enmendar el inciso (c) del Artículo 2 y añadir el Artículo 2A a la Ley 248-2018, conocida como la “Carta de Derechos de las Personas Viviendo con VIH en cualquiera de sus etapas en Puerto Rico”, a los fines de sustituir conceptos que pueden ser estigmatizantes; incluir en la Ley definiciones de conceptos relevantes; clarificar el lenguaje de algunas disposiciones sobre los derechos de las personas con diagnóstico positivo a VIH; aclarar responsabilidades del Departamento de Salud; y para otros fines relacionados.</w:t>
      </w:r>
      <w:r w:rsidRPr="00D54181">
        <w:rPr>
          <w:rFonts w:ascii="Book Antiqua" w:hAnsi="Book Antiqua"/>
          <w:lang w:val="es-419"/>
        </w:rPr>
        <w:t xml:space="preserve"> </w:t>
      </w:r>
    </w:p>
    <w:p w14:paraId="7803B406" w14:textId="77777777" w:rsidR="008A0D47" w:rsidRPr="004E110A" w:rsidRDefault="008A0D47" w:rsidP="004E110A">
      <w:pPr>
        <w:pStyle w:val="NoSpacing"/>
        <w:spacing w:line="276" w:lineRule="auto"/>
        <w:jc w:val="both"/>
        <w:rPr>
          <w:rFonts w:ascii="Book Antiqua" w:hAnsi="Book Antiqua"/>
        </w:rPr>
      </w:pPr>
    </w:p>
    <w:p w14:paraId="2304453E" w14:textId="0896DB24" w:rsidR="00044471" w:rsidRPr="00A82061" w:rsidRDefault="00426A07" w:rsidP="00A82061">
      <w:pPr>
        <w:pStyle w:val="NoSpacing"/>
        <w:spacing w:line="276" w:lineRule="auto"/>
        <w:jc w:val="center"/>
        <w:rPr>
          <w:rFonts w:ascii="Book Antiqua" w:hAnsi="Book Antiqua"/>
          <w:b/>
          <w:bCs/>
        </w:rPr>
      </w:pPr>
      <w:r w:rsidRPr="00A82061">
        <w:rPr>
          <w:rFonts w:ascii="Book Antiqua" w:hAnsi="Book Antiqua"/>
          <w:b/>
          <w:bCs/>
        </w:rPr>
        <w:t>CONCLUSIÓN</w:t>
      </w:r>
    </w:p>
    <w:p w14:paraId="7B6999A3" w14:textId="77777777" w:rsidR="00044471" w:rsidRPr="004E110A" w:rsidRDefault="00044471" w:rsidP="004E110A">
      <w:pPr>
        <w:pStyle w:val="NoSpacing"/>
        <w:spacing w:line="276" w:lineRule="auto"/>
        <w:jc w:val="both"/>
        <w:rPr>
          <w:rFonts w:ascii="Book Antiqua" w:hAnsi="Book Antiqua"/>
        </w:rPr>
      </w:pPr>
    </w:p>
    <w:p w14:paraId="3F5D92D6" w14:textId="1433EF33" w:rsidR="00AC628E" w:rsidRDefault="00AC628E" w:rsidP="00A82061">
      <w:pPr>
        <w:spacing w:after="0" w:line="276" w:lineRule="auto"/>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xml:space="preserve">, </w:t>
      </w:r>
      <w:r w:rsidR="003C0D98" w:rsidRPr="003C0D98">
        <w:rPr>
          <w:rFonts w:ascii="Book Antiqua" w:eastAsia="Times New Roman" w:hAnsi="Book Antiqua"/>
          <w:sz w:val="24"/>
          <w:szCs w:val="24"/>
          <w:lang w:val="es-PR"/>
        </w:rPr>
        <w:t xml:space="preserve">luego de la consideración correspondiente, tiene a bien someter a este Alto Cuerpo su </w:t>
      </w:r>
      <w:r w:rsidR="003C0D98" w:rsidRPr="003C0D98">
        <w:rPr>
          <w:rFonts w:ascii="Book Antiqua" w:eastAsia="Times New Roman" w:hAnsi="Book Antiqua"/>
          <w:b/>
          <w:bCs/>
          <w:sz w:val="24"/>
          <w:szCs w:val="24"/>
          <w:lang w:val="es-PR"/>
        </w:rPr>
        <w:t>Informe Negativo</w:t>
      </w:r>
      <w:r w:rsidR="003C0D98" w:rsidRPr="003C0D98">
        <w:rPr>
          <w:rFonts w:ascii="Book Antiqua" w:eastAsia="Times New Roman" w:hAnsi="Book Antiqua"/>
          <w:sz w:val="24"/>
          <w:szCs w:val="24"/>
          <w:lang w:val="es-PR"/>
        </w:rPr>
        <w:t xml:space="preserve"> sobre el </w:t>
      </w:r>
      <w:r w:rsidR="003C0D98" w:rsidRPr="003C0D98">
        <w:rPr>
          <w:rFonts w:ascii="Book Antiqua" w:eastAsia="Times New Roman" w:hAnsi="Book Antiqua"/>
          <w:b/>
          <w:bCs/>
          <w:sz w:val="24"/>
          <w:szCs w:val="24"/>
          <w:lang w:val="es-PR"/>
        </w:rPr>
        <w:t>P. de</w:t>
      </w:r>
      <w:r w:rsidR="003C0D98">
        <w:rPr>
          <w:rFonts w:ascii="Book Antiqua" w:eastAsia="Times New Roman" w:hAnsi="Book Antiqua"/>
          <w:b/>
          <w:bCs/>
          <w:sz w:val="24"/>
          <w:szCs w:val="24"/>
          <w:lang w:val="es-PR"/>
        </w:rPr>
        <w:t xml:space="preserve">l </w:t>
      </w:r>
      <w:r w:rsidR="006A2E73">
        <w:rPr>
          <w:rFonts w:ascii="Book Antiqua" w:eastAsia="Times New Roman" w:hAnsi="Book Antiqua"/>
          <w:b/>
          <w:bCs/>
          <w:sz w:val="24"/>
          <w:szCs w:val="24"/>
          <w:lang w:val="es-PR"/>
        </w:rPr>
        <w:t>C</w:t>
      </w:r>
      <w:r w:rsidR="003C0D98">
        <w:rPr>
          <w:rFonts w:ascii="Book Antiqua" w:eastAsia="Times New Roman" w:hAnsi="Book Antiqua"/>
          <w:b/>
          <w:bCs/>
          <w:sz w:val="24"/>
          <w:szCs w:val="24"/>
          <w:lang w:val="es-PR"/>
        </w:rPr>
        <w:t xml:space="preserve">. </w:t>
      </w:r>
      <w:r w:rsidR="006A2E73">
        <w:rPr>
          <w:rFonts w:ascii="Book Antiqua" w:eastAsia="Times New Roman" w:hAnsi="Book Antiqua"/>
          <w:b/>
          <w:bCs/>
          <w:sz w:val="24"/>
          <w:szCs w:val="24"/>
          <w:lang w:val="es-PR"/>
        </w:rPr>
        <w:t>14</w:t>
      </w:r>
      <w:r w:rsidR="003C0D98" w:rsidRPr="003C0D98">
        <w:rPr>
          <w:rFonts w:ascii="Book Antiqua" w:eastAsia="Times New Roman" w:hAnsi="Book Antiqua"/>
          <w:sz w:val="24"/>
          <w:szCs w:val="24"/>
          <w:lang w:val="es-PR"/>
        </w:rPr>
        <w:t>, No Recomendando su aprobación</w:t>
      </w:r>
      <w:r w:rsidR="00A66397">
        <w:rPr>
          <w:rFonts w:ascii="Book Antiqua" w:eastAsia="Times New Roman" w:hAnsi="Book Antiqua"/>
          <w:b/>
          <w:sz w:val="24"/>
          <w:szCs w:val="24"/>
          <w:lang w:val="es-PR"/>
        </w:rPr>
        <w:t xml:space="preserve">. </w:t>
      </w:r>
    </w:p>
    <w:p w14:paraId="31D6ADD0" w14:textId="77777777" w:rsidR="00044471" w:rsidRPr="00AC628E" w:rsidRDefault="00044471" w:rsidP="00A02B9D">
      <w:pPr>
        <w:rPr>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Default="00E616CD" w:rsidP="00A02B9D">
      <w:pPr>
        <w:pStyle w:val="NoSpacing"/>
        <w:rPr>
          <w:lang w:val="es-ES"/>
        </w:rPr>
      </w:pPr>
    </w:p>
    <w:p w14:paraId="4D291429" w14:textId="77777777" w:rsidR="00A37E22" w:rsidRDefault="00A37E22" w:rsidP="00A02B9D">
      <w:pPr>
        <w:pStyle w:val="NoSpacing"/>
        <w:rPr>
          <w:lang w:val="es-ES"/>
        </w:rPr>
      </w:pPr>
    </w:p>
    <w:p w14:paraId="41400B07" w14:textId="77777777" w:rsidR="00A02B9D" w:rsidRPr="00E616CD" w:rsidRDefault="00A02B9D" w:rsidP="00A02B9D">
      <w:pPr>
        <w:pStyle w:val="NoSpacing"/>
        <w:rPr>
          <w:lang w:val="es-ES"/>
        </w:rPr>
      </w:pPr>
    </w:p>
    <w:p w14:paraId="54EF6A93" w14:textId="149E1B37"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E2C15">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57FAFAB7" w:rsidR="00A2416A" w:rsidRPr="00FC6C67" w:rsidRDefault="00E22516" w:rsidP="00FC6C67">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FC6C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DC7AEA9"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de</w:t>
    </w:r>
    <w:r w:rsidR="003F6242">
      <w:rPr>
        <w:rFonts w:ascii="Book Antiqua" w:hAnsi="Book Antiqua" w:cs="Arial"/>
        <w:b/>
        <w:bCs/>
        <w:sz w:val="20"/>
        <w:szCs w:val="20"/>
        <w:lang w:val="es-419"/>
      </w:rPr>
      <w:t xml:space="preserve"> la Cámara 14</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1"/>
  </w:num>
  <w:num w:numId="3" w16cid:durableId="587807769">
    <w:abstractNumId w:val="4"/>
  </w:num>
  <w:num w:numId="4" w16cid:durableId="965046320">
    <w:abstractNumId w:val="2"/>
  </w:num>
  <w:num w:numId="5" w16cid:durableId="96758950">
    <w:abstractNumId w:val="8"/>
  </w:num>
  <w:num w:numId="6" w16cid:durableId="1647588523">
    <w:abstractNumId w:val="9"/>
  </w:num>
  <w:num w:numId="7" w16cid:durableId="1210799447">
    <w:abstractNumId w:val="5"/>
  </w:num>
  <w:num w:numId="8" w16cid:durableId="1791895634">
    <w:abstractNumId w:val="0"/>
  </w:num>
  <w:num w:numId="9" w16cid:durableId="1404450626">
    <w:abstractNumId w:val="3"/>
  </w:num>
  <w:num w:numId="10" w16cid:durableId="9355519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1640D"/>
    <w:rsid w:val="00021CD9"/>
    <w:rsid w:val="000220F0"/>
    <w:rsid w:val="0002358E"/>
    <w:rsid w:val="0002692C"/>
    <w:rsid w:val="00027F4E"/>
    <w:rsid w:val="00042970"/>
    <w:rsid w:val="00044471"/>
    <w:rsid w:val="00050C02"/>
    <w:rsid w:val="00052747"/>
    <w:rsid w:val="00064CB7"/>
    <w:rsid w:val="00066964"/>
    <w:rsid w:val="00067918"/>
    <w:rsid w:val="000713DF"/>
    <w:rsid w:val="0008359E"/>
    <w:rsid w:val="0008420D"/>
    <w:rsid w:val="0009185C"/>
    <w:rsid w:val="000B7421"/>
    <w:rsid w:val="000C6862"/>
    <w:rsid w:val="000D6D51"/>
    <w:rsid w:val="000E3382"/>
    <w:rsid w:val="000E360A"/>
    <w:rsid w:val="000E3AD5"/>
    <w:rsid w:val="000F067D"/>
    <w:rsid w:val="00101BCE"/>
    <w:rsid w:val="00102103"/>
    <w:rsid w:val="00107E83"/>
    <w:rsid w:val="001138DC"/>
    <w:rsid w:val="00114466"/>
    <w:rsid w:val="00115431"/>
    <w:rsid w:val="00115B27"/>
    <w:rsid w:val="00121C66"/>
    <w:rsid w:val="001242A1"/>
    <w:rsid w:val="00131CEE"/>
    <w:rsid w:val="00136FCB"/>
    <w:rsid w:val="00143F4A"/>
    <w:rsid w:val="0016187F"/>
    <w:rsid w:val="00163B7A"/>
    <w:rsid w:val="001665C8"/>
    <w:rsid w:val="00171190"/>
    <w:rsid w:val="00173401"/>
    <w:rsid w:val="001746A0"/>
    <w:rsid w:val="001752C0"/>
    <w:rsid w:val="00182681"/>
    <w:rsid w:val="001826A5"/>
    <w:rsid w:val="00187045"/>
    <w:rsid w:val="001A2329"/>
    <w:rsid w:val="001B7A9B"/>
    <w:rsid w:val="001C09CB"/>
    <w:rsid w:val="001C3557"/>
    <w:rsid w:val="001D046A"/>
    <w:rsid w:val="001E28D8"/>
    <w:rsid w:val="001E6943"/>
    <w:rsid w:val="001E723F"/>
    <w:rsid w:val="001F677F"/>
    <w:rsid w:val="00202B89"/>
    <w:rsid w:val="00205268"/>
    <w:rsid w:val="00211C12"/>
    <w:rsid w:val="002129CF"/>
    <w:rsid w:val="0023195A"/>
    <w:rsid w:val="002339D2"/>
    <w:rsid w:val="00243BBA"/>
    <w:rsid w:val="0024506B"/>
    <w:rsid w:val="0024559D"/>
    <w:rsid w:val="00245CF4"/>
    <w:rsid w:val="0024704D"/>
    <w:rsid w:val="0024719A"/>
    <w:rsid w:val="002667B9"/>
    <w:rsid w:val="00271566"/>
    <w:rsid w:val="00282A21"/>
    <w:rsid w:val="0028500A"/>
    <w:rsid w:val="002A68F3"/>
    <w:rsid w:val="002B0ADE"/>
    <w:rsid w:val="002B58BF"/>
    <w:rsid w:val="002B7C37"/>
    <w:rsid w:val="002D2EE2"/>
    <w:rsid w:val="002D53C6"/>
    <w:rsid w:val="0030144D"/>
    <w:rsid w:val="00303724"/>
    <w:rsid w:val="00304053"/>
    <w:rsid w:val="00305FAE"/>
    <w:rsid w:val="00307357"/>
    <w:rsid w:val="00311229"/>
    <w:rsid w:val="003144C1"/>
    <w:rsid w:val="003164F9"/>
    <w:rsid w:val="00344ADE"/>
    <w:rsid w:val="00354DC8"/>
    <w:rsid w:val="00361147"/>
    <w:rsid w:val="00364E2E"/>
    <w:rsid w:val="0036586B"/>
    <w:rsid w:val="0036586D"/>
    <w:rsid w:val="0038086B"/>
    <w:rsid w:val="003825FF"/>
    <w:rsid w:val="0038402F"/>
    <w:rsid w:val="00385D57"/>
    <w:rsid w:val="0038786D"/>
    <w:rsid w:val="00393A60"/>
    <w:rsid w:val="003A065C"/>
    <w:rsid w:val="003A6B27"/>
    <w:rsid w:val="003C0D98"/>
    <w:rsid w:val="003C2347"/>
    <w:rsid w:val="003D1330"/>
    <w:rsid w:val="003D176A"/>
    <w:rsid w:val="003E0AB6"/>
    <w:rsid w:val="003E49DB"/>
    <w:rsid w:val="003F47A7"/>
    <w:rsid w:val="003F6242"/>
    <w:rsid w:val="004023BD"/>
    <w:rsid w:val="004171FC"/>
    <w:rsid w:val="00426A07"/>
    <w:rsid w:val="004335F5"/>
    <w:rsid w:val="00434CA6"/>
    <w:rsid w:val="00441E2B"/>
    <w:rsid w:val="00443B96"/>
    <w:rsid w:val="00445C3E"/>
    <w:rsid w:val="00447817"/>
    <w:rsid w:val="0047020E"/>
    <w:rsid w:val="00473585"/>
    <w:rsid w:val="0047762C"/>
    <w:rsid w:val="004A0375"/>
    <w:rsid w:val="004A749E"/>
    <w:rsid w:val="004B2DB0"/>
    <w:rsid w:val="004B3D9A"/>
    <w:rsid w:val="004B6507"/>
    <w:rsid w:val="004B6CAC"/>
    <w:rsid w:val="004C1C8A"/>
    <w:rsid w:val="004C1F0F"/>
    <w:rsid w:val="004C2432"/>
    <w:rsid w:val="004C32B1"/>
    <w:rsid w:val="004D1DB2"/>
    <w:rsid w:val="004D4887"/>
    <w:rsid w:val="004D57DE"/>
    <w:rsid w:val="004D7782"/>
    <w:rsid w:val="004E110A"/>
    <w:rsid w:val="004F08A2"/>
    <w:rsid w:val="00501E8E"/>
    <w:rsid w:val="00505311"/>
    <w:rsid w:val="00546410"/>
    <w:rsid w:val="00555766"/>
    <w:rsid w:val="00560C4D"/>
    <w:rsid w:val="0056266F"/>
    <w:rsid w:val="0056602E"/>
    <w:rsid w:val="00573C7B"/>
    <w:rsid w:val="00581A62"/>
    <w:rsid w:val="00584443"/>
    <w:rsid w:val="00585856"/>
    <w:rsid w:val="0058638E"/>
    <w:rsid w:val="00586F42"/>
    <w:rsid w:val="00594FC0"/>
    <w:rsid w:val="00596B42"/>
    <w:rsid w:val="005A3907"/>
    <w:rsid w:val="005A3E2E"/>
    <w:rsid w:val="005B2E7F"/>
    <w:rsid w:val="005C2919"/>
    <w:rsid w:val="005C4804"/>
    <w:rsid w:val="005D2E68"/>
    <w:rsid w:val="005E243D"/>
    <w:rsid w:val="005E5101"/>
    <w:rsid w:val="00605A09"/>
    <w:rsid w:val="00607E03"/>
    <w:rsid w:val="00607F19"/>
    <w:rsid w:val="006423B9"/>
    <w:rsid w:val="00667FF9"/>
    <w:rsid w:val="00673C97"/>
    <w:rsid w:val="0068118A"/>
    <w:rsid w:val="006911A8"/>
    <w:rsid w:val="00692C4E"/>
    <w:rsid w:val="00693271"/>
    <w:rsid w:val="006942F3"/>
    <w:rsid w:val="00696626"/>
    <w:rsid w:val="006A2E73"/>
    <w:rsid w:val="006A5BE3"/>
    <w:rsid w:val="006B1A89"/>
    <w:rsid w:val="006B1D8B"/>
    <w:rsid w:val="006D172A"/>
    <w:rsid w:val="006F7C1D"/>
    <w:rsid w:val="007136A5"/>
    <w:rsid w:val="00714352"/>
    <w:rsid w:val="00715E89"/>
    <w:rsid w:val="00735BAE"/>
    <w:rsid w:val="00737B58"/>
    <w:rsid w:val="00754CB9"/>
    <w:rsid w:val="0076193A"/>
    <w:rsid w:val="007730A6"/>
    <w:rsid w:val="00784CC2"/>
    <w:rsid w:val="00790B2F"/>
    <w:rsid w:val="00790FEB"/>
    <w:rsid w:val="0079710A"/>
    <w:rsid w:val="0079725F"/>
    <w:rsid w:val="007A07E0"/>
    <w:rsid w:val="007D3B61"/>
    <w:rsid w:val="007E656E"/>
    <w:rsid w:val="007F67FB"/>
    <w:rsid w:val="00811351"/>
    <w:rsid w:val="00812A4F"/>
    <w:rsid w:val="00822F46"/>
    <w:rsid w:val="0082413F"/>
    <w:rsid w:val="008259CC"/>
    <w:rsid w:val="00830915"/>
    <w:rsid w:val="00837BDD"/>
    <w:rsid w:val="00841FD5"/>
    <w:rsid w:val="00847104"/>
    <w:rsid w:val="00853AB1"/>
    <w:rsid w:val="00856F89"/>
    <w:rsid w:val="00857B6A"/>
    <w:rsid w:val="00857E10"/>
    <w:rsid w:val="00857EB8"/>
    <w:rsid w:val="00863829"/>
    <w:rsid w:val="00873A58"/>
    <w:rsid w:val="0089459D"/>
    <w:rsid w:val="0089597A"/>
    <w:rsid w:val="0089666B"/>
    <w:rsid w:val="008A02D7"/>
    <w:rsid w:val="008A0D47"/>
    <w:rsid w:val="008A0F91"/>
    <w:rsid w:val="008B0B4A"/>
    <w:rsid w:val="008B65A9"/>
    <w:rsid w:val="008B6B59"/>
    <w:rsid w:val="008C4012"/>
    <w:rsid w:val="008C4CF4"/>
    <w:rsid w:val="008C63DB"/>
    <w:rsid w:val="008C670B"/>
    <w:rsid w:val="008E1B99"/>
    <w:rsid w:val="008E2C15"/>
    <w:rsid w:val="00903165"/>
    <w:rsid w:val="00903BC2"/>
    <w:rsid w:val="0090642F"/>
    <w:rsid w:val="009070B9"/>
    <w:rsid w:val="0091125D"/>
    <w:rsid w:val="00913256"/>
    <w:rsid w:val="009225AE"/>
    <w:rsid w:val="00932C0E"/>
    <w:rsid w:val="009333EE"/>
    <w:rsid w:val="00935BF5"/>
    <w:rsid w:val="00945AE9"/>
    <w:rsid w:val="00946428"/>
    <w:rsid w:val="00953FDE"/>
    <w:rsid w:val="009559B5"/>
    <w:rsid w:val="00960C5A"/>
    <w:rsid w:val="00970A7F"/>
    <w:rsid w:val="00970C8D"/>
    <w:rsid w:val="009749BF"/>
    <w:rsid w:val="00976808"/>
    <w:rsid w:val="00981A85"/>
    <w:rsid w:val="00982738"/>
    <w:rsid w:val="0099019D"/>
    <w:rsid w:val="00991038"/>
    <w:rsid w:val="009923BE"/>
    <w:rsid w:val="00992615"/>
    <w:rsid w:val="009B12D6"/>
    <w:rsid w:val="009B15B9"/>
    <w:rsid w:val="009C0F58"/>
    <w:rsid w:val="009C303A"/>
    <w:rsid w:val="009C4659"/>
    <w:rsid w:val="009C7756"/>
    <w:rsid w:val="009F1CA2"/>
    <w:rsid w:val="009F2C59"/>
    <w:rsid w:val="009F6FA3"/>
    <w:rsid w:val="009F7B8D"/>
    <w:rsid w:val="00A02B9D"/>
    <w:rsid w:val="00A03E13"/>
    <w:rsid w:val="00A10509"/>
    <w:rsid w:val="00A12D6F"/>
    <w:rsid w:val="00A146AF"/>
    <w:rsid w:val="00A14818"/>
    <w:rsid w:val="00A2392F"/>
    <w:rsid w:val="00A2416A"/>
    <w:rsid w:val="00A37E22"/>
    <w:rsid w:val="00A50CF5"/>
    <w:rsid w:val="00A52183"/>
    <w:rsid w:val="00A66208"/>
    <w:rsid w:val="00A66397"/>
    <w:rsid w:val="00A72CAB"/>
    <w:rsid w:val="00A73D5D"/>
    <w:rsid w:val="00A7513C"/>
    <w:rsid w:val="00A76CC0"/>
    <w:rsid w:val="00A82061"/>
    <w:rsid w:val="00A854E8"/>
    <w:rsid w:val="00A87A70"/>
    <w:rsid w:val="00A92BB8"/>
    <w:rsid w:val="00AA5383"/>
    <w:rsid w:val="00AB275A"/>
    <w:rsid w:val="00AB43F3"/>
    <w:rsid w:val="00AC1355"/>
    <w:rsid w:val="00AC628E"/>
    <w:rsid w:val="00AD1510"/>
    <w:rsid w:val="00AE3133"/>
    <w:rsid w:val="00AF772B"/>
    <w:rsid w:val="00B1528E"/>
    <w:rsid w:val="00B3450B"/>
    <w:rsid w:val="00B41848"/>
    <w:rsid w:val="00B62321"/>
    <w:rsid w:val="00B7072B"/>
    <w:rsid w:val="00B727F9"/>
    <w:rsid w:val="00B73770"/>
    <w:rsid w:val="00B829FB"/>
    <w:rsid w:val="00B920DA"/>
    <w:rsid w:val="00B93805"/>
    <w:rsid w:val="00B93902"/>
    <w:rsid w:val="00B9492A"/>
    <w:rsid w:val="00B97BCB"/>
    <w:rsid w:val="00BA1C54"/>
    <w:rsid w:val="00BA5086"/>
    <w:rsid w:val="00BB1912"/>
    <w:rsid w:val="00BB28D2"/>
    <w:rsid w:val="00BB2E81"/>
    <w:rsid w:val="00BB4341"/>
    <w:rsid w:val="00BC0FC7"/>
    <w:rsid w:val="00BC74A8"/>
    <w:rsid w:val="00BE0D51"/>
    <w:rsid w:val="00BE1115"/>
    <w:rsid w:val="00BE154F"/>
    <w:rsid w:val="00BF27E3"/>
    <w:rsid w:val="00C0137F"/>
    <w:rsid w:val="00C04C96"/>
    <w:rsid w:val="00C12DB2"/>
    <w:rsid w:val="00C15669"/>
    <w:rsid w:val="00C223A8"/>
    <w:rsid w:val="00C3020F"/>
    <w:rsid w:val="00C34095"/>
    <w:rsid w:val="00C41B7E"/>
    <w:rsid w:val="00C41DC3"/>
    <w:rsid w:val="00C50AF5"/>
    <w:rsid w:val="00C54EE1"/>
    <w:rsid w:val="00C73B33"/>
    <w:rsid w:val="00C766B6"/>
    <w:rsid w:val="00C87595"/>
    <w:rsid w:val="00C965B5"/>
    <w:rsid w:val="00CA352E"/>
    <w:rsid w:val="00CA62E8"/>
    <w:rsid w:val="00CB049F"/>
    <w:rsid w:val="00CB1613"/>
    <w:rsid w:val="00CB64C1"/>
    <w:rsid w:val="00CC19B5"/>
    <w:rsid w:val="00CD02BC"/>
    <w:rsid w:val="00CE4112"/>
    <w:rsid w:val="00CF0661"/>
    <w:rsid w:val="00D12C50"/>
    <w:rsid w:val="00D12D7A"/>
    <w:rsid w:val="00D14E06"/>
    <w:rsid w:val="00D21F65"/>
    <w:rsid w:val="00D23D1A"/>
    <w:rsid w:val="00D360F4"/>
    <w:rsid w:val="00D45D3F"/>
    <w:rsid w:val="00D54181"/>
    <w:rsid w:val="00D566A9"/>
    <w:rsid w:val="00D56CC0"/>
    <w:rsid w:val="00D80200"/>
    <w:rsid w:val="00D8627E"/>
    <w:rsid w:val="00D92E85"/>
    <w:rsid w:val="00D92F01"/>
    <w:rsid w:val="00D931FF"/>
    <w:rsid w:val="00D9432E"/>
    <w:rsid w:val="00DA0B1E"/>
    <w:rsid w:val="00DA2BD2"/>
    <w:rsid w:val="00DB1880"/>
    <w:rsid w:val="00DC23D9"/>
    <w:rsid w:val="00DC4633"/>
    <w:rsid w:val="00DD40B2"/>
    <w:rsid w:val="00DE4337"/>
    <w:rsid w:val="00DE7E51"/>
    <w:rsid w:val="00DF4A9B"/>
    <w:rsid w:val="00E06128"/>
    <w:rsid w:val="00E07731"/>
    <w:rsid w:val="00E206E7"/>
    <w:rsid w:val="00E22516"/>
    <w:rsid w:val="00E429B2"/>
    <w:rsid w:val="00E43A42"/>
    <w:rsid w:val="00E51B20"/>
    <w:rsid w:val="00E525BA"/>
    <w:rsid w:val="00E56CD7"/>
    <w:rsid w:val="00E616CD"/>
    <w:rsid w:val="00E6485B"/>
    <w:rsid w:val="00E70BAA"/>
    <w:rsid w:val="00E71F03"/>
    <w:rsid w:val="00E72848"/>
    <w:rsid w:val="00E738FA"/>
    <w:rsid w:val="00E80D4F"/>
    <w:rsid w:val="00E84CA7"/>
    <w:rsid w:val="00E85D49"/>
    <w:rsid w:val="00EA20BB"/>
    <w:rsid w:val="00EA3604"/>
    <w:rsid w:val="00EA7611"/>
    <w:rsid w:val="00EB1BBF"/>
    <w:rsid w:val="00EC291A"/>
    <w:rsid w:val="00EC675A"/>
    <w:rsid w:val="00EC75AE"/>
    <w:rsid w:val="00ED5B64"/>
    <w:rsid w:val="00EE428D"/>
    <w:rsid w:val="00EE5266"/>
    <w:rsid w:val="00EE5CE6"/>
    <w:rsid w:val="00EF687A"/>
    <w:rsid w:val="00EF7045"/>
    <w:rsid w:val="00F02250"/>
    <w:rsid w:val="00F14ACA"/>
    <w:rsid w:val="00F15EC5"/>
    <w:rsid w:val="00F17096"/>
    <w:rsid w:val="00F23B9B"/>
    <w:rsid w:val="00F335F6"/>
    <w:rsid w:val="00F50386"/>
    <w:rsid w:val="00F5577B"/>
    <w:rsid w:val="00F62273"/>
    <w:rsid w:val="00F6728B"/>
    <w:rsid w:val="00F73F27"/>
    <w:rsid w:val="00F7790D"/>
    <w:rsid w:val="00FA5EAD"/>
    <w:rsid w:val="00FB1365"/>
    <w:rsid w:val="00FB18BB"/>
    <w:rsid w:val="00FB2671"/>
    <w:rsid w:val="00FB2BB6"/>
    <w:rsid w:val="00FC6C67"/>
    <w:rsid w:val="00FE2680"/>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4SQX5P7U7WPY-958212181-816880</_dlc_DocId>
    <_dlc_DocIdUrl xmlns="c890fddd-4e87-4e08-8b51-545f2a3f7b06">
      <Url>https://senpr.sharepoint.com/sites/obralegislativa/_layouts/15/DocIdRedir.aspx?ID=4SQX5P7U7WPY-958212181-816880</Url>
      <Description>4SQX5P7U7WPY-958212181-816880</Description>
    </_dlc_DocIdUrl>
  </documentManagement>
</p:properti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2025-06-26T17:07:00Z</cp:lastPrinted>
  <dcterms:created xsi:type="dcterms:W3CDTF">2025-06-30T23:51:00Z</dcterms:created>
  <dcterms:modified xsi:type="dcterms:W3CDTF">2025-06-30T23:51:00Z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17d47600-fe5c-4fc2-bc8a-e6e960d138c2</vt:lpwstr>
  </property>
  <property fmtid="{D5CDD505-2E9C-101B-9397-08002B2CF9AE}" pid="4" name="MediaServiceImageTags">
    <vt:lpwstr/>
  </property>
</Properties>
</file>