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390A8A09"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PR"/>
        </w:rPr>
        <w:t>20</w:t>
      </w:r>
      <w:r w:rsidRPr="235409E1">
        <w:rPr>
          <w:rFonts w:ascii="Book Antiqua" w:eastAsia="Book Antiqua" w:hAnsi="Book Antiqua" w:cs="Book Antiqua"/>
          <w:color w:val="000000" w:themeColor="text1"/>
          <w:szCs w:val="24"/>
          <w:vertAlign w:val="superscript"/>
          <w:lang w:val="es-PR"/>
        </w:rPr>
        <w:t>ma.</w:t>
      </w:r>
      <w:r w:rsidRPr="00593B10">
        <w:rPr>
          <w:lang w:val="es-PR"/>
        </w:rPr>
        <w:tab/>
      </w:r>
      <w:r w:rsidRPr="235409E1">
        <w:rPr>
          <w:rFonts w:ascii="Book Antiqua" w:eastAsia="Book Antiqua" w:hAnsi="Book Antiqua" w:cs="Book Antiqua"/>
          <w:color w:val="000000" w:themeColor="text1"/>
          <w:szCs w:val="24"/>
          <w:lang w:val="es-ES"/>
        </w:rPr>
        <w:t>Asamblea</w:t>
      </w:r>
      <w:r w:rsidRPr="00593B10">
        <w:rPr>
          <w:lang w:val="es-PR"/>
        </w:rPr>
        <w:tab/>
      </w:r>
      <w:r w:rsidRPr="235409E1">
        <w:rPr>
          <w:rFonts w:ascii="Book Antiqua" w:eastAsia="Book Antiqua" w:hAnsi="Book Antiqua" w:cs="Book Antiqua"/>
          <w:color w:val="000000" w:themeColor="text1"/>
          <w:szCs w:val="24"/>
          <w:lang w:val="es-ES"/>
        </w:rPr>
        <w:t>1</w:t>
      </w:r>
      <w:r w:rsidRPr="235409E1">
        <w:rPr>
          <w:rFonts w:ascii="Book Antiqua" w:eastAsia="Book Antiqua" w:hAnsi="Book Antiqua" w:cs="Book Antiqua"/>
          <w:color w:val="000000" w:themeColor="text1"/>
          <w:szCs w:val="24"/>
          <w:vertAlign w:val="superscript"/>
          <w:lang w:val="es-ES"/>
        </w:rPr>
        <w:t>ra.</w:t>
      </w:r>
      <w:r w:rsidRPr="00593B10">
        <w:rPr>
          <w:lang w:val="es-PR"/>
        </w:rPr>
        <w:tab/>
      </w:r>
      <w:r w:rsidRPr="235409E1">
        <w:rPr>
          <w:rFonts w:ascii="Book Antiqua" w:eastAsia="Book Antiqua" w:hAnsi="Book Antiqua" w:cs="Book Antiqua"/>
          <w:color w:val="000000" w:themeColor="text1"/>
          <w:szCs w:val="24"/>
          <w:lang w:val="es-ES"/>
        </w:rPr>
        <w:t>Sesión</w:t>
      </w:r>
    </w:p>
    <w:p w14:paraId="30B84E04" w14:textId="3D9BC8BC" w:rsidR="27576F6A" w:rsidRDefault="27576F6A" w:rsidP="235409E1">
      <w:pPr>
        <w:pStyle w:val="Title2"/>
        <w:rPr>
          <w:rFonts w:ascii="Book Antiqua" w:eastAsia="Book Antiqua" w:hAnsi="Book Antiqua" w:cs="Book Antiqua"/>
          <w:color w:val="000000" w:themeColor="text1"/>
          <w:szCs w:val="24"/>
          <w:lang w:val="es-ES"/>
        </w:rPr>
      </w:pPr>
      <w:r w:rsidRPr="235409E1">
        <w:rPr>
          <w:rFonts w:ascii="Book Antiqua" w:eastAsia="Book Antiqua" w:hAnsi="Book Antiqua" w:cs="Book Antiqua"/>
          <w:color w:val="000000" w:themeColor="text1"/>
          <w:szCs w:val="24"/>
          <w:lang w:val="es-ES"/>
        </w:rPr>
        <w:t>Legislativa</w:t>
      </w:r>
      <w:r w:rsidRPr="00593B10">
        <w:rPr>
          <w:lang w:val="es-PR"/>
        </w:rPr>
        <w:tab/>
      </w:r>
      <w:r w:rsidRPr="00593B10">
        <w:rPr>
          <w:lang w:val="es-PR"/>
        </w:rPr>
        <w:tab/>
      </w:r>
      <w:r w:rsidRPr="235409E1">
        <w:rPr>
          <w:rFonts w:ascii="Book Antiqua" w:eastAsia="Book Antiqua" w:hAnsi="Book Antiqua" w:cs="Book Antiqua"/>
          <w:color w:val="000000" w:themeColor="text1"/>
          <w:szCs w:val="24"/>
          <w:lang w:val="es-ES"/>
        </w:rPr>
        <w:t>Ordinaria</w:t>
      </w:r>
    </w:p>
    <w:p w14:paraId="4E206420" w14:textId="1846D82F" w:rsidR="00D21F6F" w:rsidRPr="00D21F6F" w:rsidRDefault="00D21F6F" w:rsidP="6FF1347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D21F6F" w:rsidRDefault="00D21F6F" w:rsidP="00D21F6F">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FF13472">
        <w:rPr>
          <w:rFonts w:ascii="Book Antiqua" w:eastAsia="Book Antiqua" w:hAnsi="Book Antiqua" w:cs="Book Antiqua"/>
          <w:b/>
          <w:bCs/>
          <w:color w:val="000000" w:themeColor="text1"/>
          <w:sz w:val="36"/>
          <w:szCs w:val="36"/>
          <w:lang w:val="es-ES"/>
        </w:rPr>
        <w:t>CÁMARA DE REPRESENTANTES DE PUERTO RICO</w:t>
      </w:r>
    </w:p>
    <w:p w14:paraId="4E27C3E9" w14:textId="4474484F"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2F6AF055" w14:textId="695C5AD6" w:rsidR="00D21F6F" w:rsidRPr="00C06313" w:rsidRDefault="0E4637C4" w:rsidP="3C3F330B">
      <w:pPr>
        <w:spacing w:after="0" w:line="360" w:lineRule="auto"/>
        <w:jc w:val="center"/>
        <w:rPr>
          <w:rFonts w:ascii="Book Antiqua" w:eastAsia="Book Antiqua" w:hAnsi="Book Antiqua" w:cs="Book Antiqua"/>
          <w:b/>
          <w:bCs/>
          <w:color w:val="000000" w:themeColor="text1"/>
          <w:sz w:val="52"/>
          <w:szCs w:val="52"/>
          <w:lang w:val="es-US"/>
        </w:rPr>
      </w:pPr>
      <w:r w:rsidRPr="3C3F330B">
        <w:rPr>
          <w:rFonts w:ascii="Book Antiqua" w:eastAsia="Book Antiqua" w:hAnsi="Book Antiqua" w:cs="Book Antiqua"/>
          <w:b/>
          <w:bCs/>
          <w:color w:val="000000" w:themeColor="text1"/>
          <w:sz w:val="52"/>
          <w:szCs w:val="52"/>
          <w:lang w:val="es-US"/>
        </w:rPr>
        <w:t>P. de</w:t>
      </w:r>
      <w:r w:rsidR="2366A448" w:rsidRPr="3C3F330B">
        <w:rPr>
          <w:rFonts w:ascii="Book Antiqua" w:eastAsia="Book Antiqua" w:hAnsi="Book Antiqua" w:cs="Book Antiqua"/>
          <w:b/>
          <w:bCs/>
          <w:color w:val="000000" w:themeColor="text1"/>
          <w:sz w:val="52"/>
          <w:szCs w:val="52"/>
          <w:lang w:val="es-US"/>
        </w:rPr>
        <w:t>l S. 92</w:t>
      </w:r>
    </w:p>
    <w:p w14:paraId="654BEA48" w14:textId="4FB4C359"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FF13472">
        <w:rPr>
          <w:rFonts w:ascii="Book Antiqua" w:eastAsia="Book Antiqua" w:hAnsi="Book Antiqua" w:cs="Book Antiqua"/>
          <w:b/>
          <w:bCs/>
          <w:color w:val="000000" w:themeColor="text1"/>
          <w:sz w:val="28"/>
          <w:szCs w:val="28"/>
          <w:lang w:val="es-US"/>
        </w:rPr>
        <w:t>INFORME POSITIVO</w:t>
      </w:r>
    </w:p>
    <w:p w14:paraId="26745FF3" w14:textId="7CF4DD67" w:rsidR="00D21F6F" w:rsidRPr="00C06313" w:rsidRDefault="003E55D0" w:rsidP="6FF1347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24</w:t>
      </w:r>
      <w:r w:rsidR="0E4637C4" w:rsidRPr="6FF13472">
        <w:rPr>
          <w:rFonts w:ascii="Book Antiqua" w:eastAsia="Book Antiqua" w:hAnsi="Book Antiqua" w:cs="Book Antiqua"/>
          <w:color w:val="000000" w:themeColor="text1"/>
          <w:sz w:val="24"/>
          <w:szCs w:val="24"/>
          <w:lang w:val="es-US"/>
        </w:rPr>
        <w:t xml:space="preserve"> de abril de 2025</w:t>
      </w:r>
    </w:p>
    <w:p w14:paraId="6201E0D2" w14:textId="3D4B6338" w:rsidR="00D21F6F" w:rsidRPr="00C06313" w:rsidRDefault="00D21F6F" w:rsidP="6FF13472">
      <w:pPr>
        <w:spacing w:after="0" w:line="360" w:lineRule="auto"/>
        <w:jc w:val="center"/>
        <w:rPr>
          <w:rFonts w:ascii="Book Antiqua" w:eastAsia="Times New Roman" w:hAnsi="Book Antiqua" w:cs="Times New Roman"/>
          <w:sz w:val="28"/>
          <w:szCs w:val="28"/>
          <w:lang w:val="es-US"/>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4E375C09" w:rsidR="002217BA" w:rsidRPr="00C06313" w:rsidRDefault="0E4637C4" w:rsidP="6FF13472">
      <w:pPr>
        <w:spacing w:after="0" w:line="240" w:lineRule="auto"/>
        <w:ind w:firstLine="720"/>
        <w:jc w:val="both"/>
        <w:rPr>
          <w:rFonts w:ascii="Book Antiqua" w:hAnsi="Book Antiqua"/>
          <w:sz w:val="24"/>
          <w:szCs w:val="24"/>
          <w:lang w:val="es-PR"/>
        </w:rPr>
      </w:pPr>
      <w:r w:rsidRPr="3C3F330B">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Informe Positivo del P. d</w:t>
      </w:r>
      <w:r w:rsidR="5B30958F" w:rsidRPr="3C3F330B">
        <w:rPr>
          <w:rFonts w:ascii="Book Antiqua" w:eastAsia="Book Antiqua" w:hAnsi="Book Antiqua" w:cs="Book Antiqua"/>
          <w:color w:val="000000" w:themeColor="text1"/>
          <w:sz w:val="24"/>
          <w:szCs w:val="24"/>
          <w:lang w:val="es-PR"/>
        </w:rPr>
        <w:t>el S. 92</w:t>
      </w:r>
      <w:r w:rsidRPr="3C3F330B">
        <w:rPr>
          <w:rFonts w:ascii="Book Antiqua" w:eastAsia="Book Antiqua" w:hAnsi="Book Antiqua" w:cs="Book Antiqua"/>
          <w:color w:val="000000" w:themeColor="text1"/>
          <w:sz w:val="24"/>
          <w:szCs w:val="24"/>
          <w:lang w:val="es-PR"/>
        </w:rPr>
        <w:t xml:space="preserve">, </w:t>
      </w:r>
      <w:r w:rsidR="733E28D8" w:rsidRPr="3C3F330B">
        <w:rPr>
          <w:rFonts w:ascii="Book Antiqua" w:hAnsi="Book Antiqua"/>
          <w:sz w:val="24"/>
          <w:szCs w:val="24"/>
          <w:lang w:val="es-PR"/>
        </w:rPr>
        <w:t>sin</w:t>
      </w:r>
      <w:r w:rsidR="5349914D" w:rsidRPr="3C3F330B">
        <w:rPr>
          <w:rFonts w:ascii="Book Antiqua" w:hAnsi="Book Antiqua"/>
          <w:sz w:val="24"/>
          <w:szCs w:val="24"/>
          <w:lang w:val="es-PR"/>
        </w:rPr>
        <w:t xml:space="preserve"> enmiendas</w:t>
      </w:r>
      <w:r w:rsidR="2C5AE9CE" w:rsidRPr="3C3F330B">
        <w:rPr>
          <w:rFonts w:ascii="Book Antiqua" w:hAnsi="Book Antiqua"/>
          <w:sz w:val="24"/>
          <w:szCs w:val="24"/>
          <w:lang w:val="es-PR"/>
        </w:rPr>
        <w:t xml:space="preserve">. </w:t>
      </w:r>
    </w:p>
    <w:p w14:paraId="6975E7A6" w14:textId="7667562C" w:rsidR="002217BA" w:rsidRPr="00C06313" w:rsidRDefault="002217BA" w:rsidP="006C1EF8">
      <w:pPr>
        <w:spacing w:after="0" w:line="240" w:lineRule="auto"/>
        <w:jc w:val="both"/>
        <w:rPr>
          <w:rFonts w:ascii="Book Antiqua" w:hAnsi="Book Antiqua"/>
          <w:sz w:val="24"/>
          <w:szCs w:val="24"/>
          <w:lang w:val="es-PR"/>
        </w:rPr>
      </w:pPr>
    </w:p>
    <w:p w14:paraId="7561C94C" w14:textId="77777777" w:rsidR="00B84008" w:rsidRPr="00C06313" w:rsidRDefault="00B84008" w:rsidP="006C1EF8">
      <w:pPr>
        <w:spacing w:after="0" w:line="240" w:lineRule="auto"/>
        <w:jc w:val="both"/>
        <w:rPr>
          <w:rFonts w:ascii="Book Antiqua" w:hAnsi="Book Antiqua"/>
          <w:sz w:val="24"/>
          <w:szCs w:val="24"/>
          <w:lang w:val="es-PR"/>
        </w:rPr>
      </w:pPr>
    </w:p>
    <w:p w14:paraId="4792E66A" w14:textId="622F418C" w:rsidR="00D21F6F" w:rsidRPr="00C06313" w:rsidRDefault="00D21F6F" w:rsidP="6FF13472">
      <w:pPr>
        <w:spacing w:after="0" w:line="240" w:lineRule="auto"/>
        <w:jc w:val="center"/>
        <w:rPr>
          <w:rFonts w:ascii="Book Antiqua" w:eastAsia="Times New Roman" w:hAnsi="Book Antiqua" w:cs="Times New Roman"/>
          <w:b/>
          <w:bCs/>
          <w:sz w:val="24"/>
          <w:szCs w:val="24"/>
          <w:lang w:val="es-PR"/>
        </w:rPr>
      </w:pPr>
      <w:bookmarkStart w:id="1" w:name="_Hlk138146543"/>
      <w:r w:rsidRPr="6FF13472">
        <w:rPr>
          <w:rFonts w:ascii="Book Antiqua" w:eastAsia="Times New Roman" w:hAnsi="Book Antiqua" w:cs="Times New Roman"/>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62F7EC0F" w:rsidR="0095525D" w:rsidRPr="00C06313" w:rsidRDefault="2AEFDE95" w:rsidP="3C3F330B">
      <w:pPr>
        <w:spacing w:after="0" w:line="240" w:lineRule="auto"/>
        <w:jc w:val="both"/>
        <w:rPr>
          <w:rFonts w:ascii="Book Antiqua" w:eastAsia="Book Antiqua" w:hAnsi="Book Antiqua" w:cs="Book Antiqua"/>
          <w:color w:val="000000" w:themeColor="text1"/>
          <w:sz w:val="24"/>
          <w:szCs w:val="24"/>
          <w:lang w:val="es-ES"/>
        </w:rPr>
      </w:pPr>
      <w:r w:rsidRPr="3C3F330B">
        <w:rPr>
          <w:rFonts w:ascii="Book Antiqua" w:eastAsia="Book Antiqua" w:hAnsi="Book Antiqua" w:cs="Book Antiqua"/>
          <w:color w:val="000000" w:themeColor="text1"/>
          <w:sz w:val="24"/>
          <w:szCs w:val="24"/>
          <w:lang w:val="es-ES"/>
        </w:rPr>
        <w:t>El Proyecto de</w:t>
      </w:r>
      <w:r w:rsidR="69D66CB4" w:rsidRPr="3C3F330B">
        <w:rPr>
          <w:rFonts w:ascii="Book Antiqua" w:eastAsia="Book Antiqua" w:hAnsi="Book Antiqua" w:cs="Book Antiqua"/>
          <w:color w:val="000000" w:themeColor="text1"/>
          <w:sz w:val="24"/>
          <w:szCs w:val="24"/>
          <w:lang w:val="es-ES"/>
        </w:rPr>
        <w:t>l Senado 92</w:t>
      </w:r>
      <w:r w:rsidRPr="3C3F330B">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56B3339F" w14:textId="5F619D3E" w:rsidR="0D9DC30D" w:rsidRDefault="0D9DC30D" w:rsidP="3C3F330B">
      <w:pPr>
        <w:spacing w:after="0" w:line="240" w:lineRule="auto"/>
        <w:ind w:left="900"/>
        <w:jc w:val="both"/>
        <w:rPr>
          <w:rFonts w:ascii="Book Antiqua" w:eastAsia="Book Antiqua" w:hAnsi="Book Antiqua" w:cs="Book Antiqua"/>
          <w:color w:val="000000" w:themeColor="text1"/>
          <w:sz w:val="24"/>
          <w:szCs w:val="24"/>
          <w:lang w:val="es-ES"/>
        </w:rPr>
      </w:pPr>
      <w:r w:rsidRPr="3C3F330B">
        <w:rPr>
          <w:rFonts w:ascii="Book Antiqua" w:eastAsia="Book Antiqua" w:hAnsi="Book Antiqua" w:cs="Book Antiqua"/>
          <w:color w:val="000000" w:themeColor="text1"/>
          <w:sz w:val="24"/>
          <w:szCs w:val="24"/>
          <w:lang w:val="es-ES"/>
        </w:rPr>
        <w:t>... enmendar los Artículos 3, 8 y 11 de la Ley 121-2019, según enmendada, conocida como “Carta de Derechos y la Política Pública del Gobierno a favor de los Adultos Mayores”, con el fin de realizar enmiendas técnicas y conformar el lenguaje en las Leyes 130-2024 y 195-2024, y para otros fines relacionados.</w:t>
      </w:r>
    </w:p>
    <w:p w14:paraId="5131ABCE" w14:textId="77777777" w:rsidR="00DD0955" w:rsidRPr="00C06313" w:rsidRDefault="00DD0955" w:rsidP="006C1EF8">
      <w:pPr>
        <w:spacing w:after="0" w:line="240" w:lineRule="auto"/>
        <w:jc w:val="both"/>
        <w:rPr>
          <w:rFonts w:ascii="Book Antiqua" w:eastAsia="Times New Roman" w:hAnsi="Book Antiqua" w:cs="Times New Roman"/>
          <w:b/>
          <w:sz w:val="24"/>
          <w:szCs w:val="24"/>
          <w:lang w:val="es-ES_tradnl"/>
        </w:rPr>
      </w:pPr>
    </w:p>
    <w:p w14:paraId="0D53C04D" w14:textId="550927B5" w:rsidR="2744AB3B" w:rsidRDefault="2744AB3B" w:rsidP="3C3F330B">
      <w:pPr>
        <w:spacing w:after="0" w:line="240" w:lineRule="auto"/>
        <w:contextualSpacing/>
        <w:jc w:val="center"/>
        <w:rPr>
          <w:rFonts w:ascii="Book Antiqua" w:eastAsia="Book Antiqua" w:hAnsi="Book Antiqua" w:cs="Book Antiqua"/>
          <w:b/>
          <w:bCs/>
          <w:color w:val="000000" w:themeColor="text1"/>
          <w:sz w:val="24"/>
          <w:szCs w:val="24"/>
          <w:lang w:val="es-ES"/>
        </w:rPr>
      </w:pPr>
      <w:r w:rsidRPr="3C3F330B">
        <w:rPr>
          <w:rFonts w:ascii="Book Antiqua" w:eastAsia="Book Antiqua" w:hAnsi="Book Antiqua" w:cs="Book Antiqua"/>
          <w:b/>
          <w:bCs/>
          <w:color w:val="000000" w:themeColor="text1"/>
          <w:sz w:val="24"/>
          <w:szCs w:val="24"/>
          <w:lang w:val="es-ES"/>
        </w:rPr>
        <w:t>INTRODUCCIÓN</w:t>
      </w:r>
    </w:p>
    <w:p w14:paraId="1D63CE56" w14:textId="32E840C6" w:rsidR="3C3F330B" w:rsidRDefault="3C3F330B" w:rsidP="3C3F330B">
      <w:pPr>
        <w:spacing w:after="0" w:line="240" w:lineRule="auto"/>
        <w:contextualSpacing/>
        <w:jc w:val="center"/>
        <w:rPr>
          <w:rFonts w:ascii="Book Antiqua" w:eastAsia="Book Antiqua" w:hAnsi="Book Antiqua" w:cs="Book Antiqua"/>
          <w:b/>
          <w:bCs/>
          <w:color w:val="000000" w:themeColor="text1"/>
          <w:sz w:val="24"/>
          <w:szCs w:val="24"/>
          <w:lang w:val="es-ES"/>
        </w:rPr>
      </w:pPr>
    </w:p>
    <w:p w14:paraId="43464BD4" w14:textId="4CA89BA5" w:rsidR="7F0F9E0A" w:rsidRDefault="7F0F9E0A" w:rsidP="3C3F330B">
      <w:pPr>
        <w:spacing w:before="240" w:after="240"/>
        <w:ind w:firstLine="72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 xml:space="preserve">La Comisión reconoce la importancia de salvaguardar y reforzar la política pública del Estado Libre Asociado de Puerto Rico a favor de los adultos mayores. Con ese objetivo, la Ley 121-2019, conocida como la “Carta de Derechos y la Política Pública del </w:t>
      </w:r>
      <w:r w:rsidRPr="3C3F330B">
        <w:rPr>
          <w:rFonts w:ascii="Book Antiqua" w:eastAsia="Book Antiqua" w:hAnsi="Book Antiqua" w:cs="Book Antiqua"/>
          <w:sz w:val="24"/>
          <w:szCs w:val="24"/>
          <w:lang w:val="es-ES"/>
        </w:rPr>
        <w:lastRenderedPageBreak/>
        <w:t xml:space="preserve">Gobierno a favor de los Adultos Mayores”, ha servido como eje normativo para garantizar el bienestar, la </w:t>
      </w:r>
      <w:proofErr w:type="gramStart"/>
      <w:r w:rsidRPr="3C3F330B">
        <w:rPr>
          <w:rFonts w:ascii="Book Antiqua" w:eastAsia="Book Antiqua" w:hAnsi="Book Antiqua" w:cs="Book Antiqua"/>
          <w:sz w:val="24"/>
          <w:szCs w:val="24"/>
          <w:lang w:val="es-ES"/>
        </w:rPr>
        <w:t>participación activa</w:t>
      </w:r>
      <w:proofErr w:type="gramEnd"/>
      <w:r w:rsidRPr="3C3F330B">
        <w:rPr>
          <w:rFonts w:ascii="Book Antiqua" w:eastAsia="Book Antiqua" w:hAnsi="Book Antiqua" w:cs="Book Antiqua"/>
          <w:sz w:val="24"/>
          <w:szCs w:val="24"/>
          <w:lang w:val="es-ES"/>
        </w:rPr>
        <w:t xml:space="preserve"> y la integración social de esta población, promoviendo servicios gubernamentales ágiles, accesibles y con perspectiva de equidad.</w:t>
      </w:r>
    </w:p>
    <w:p w14:paraId="64921962" w14:textId="2F50DEDC" w:rsidR="7F0F9E0A" w:rsidRDefault="7F0F9E0A" w:rsidP="3C3F330B">
      <w:pPr>
        <w:spacing w:before="240" w:after="240"/>
        <w:ind w:firstLine="72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En las pasadas sesiones legislativas, el cuerpo legislativo ha continuado fortaleciendo dicha política pública mediante legislación adicional. La Ley 130-2024 amplió las responsabilidades de familiares, tutores y personas responsables frente a situaciones de abandono en instituciones médico-hospitalarias. Por su parte, la Ley 195-2024 introdujo nuevas definiciones, mecanismos de implantación, y la identificación clara de deberes específicos por parte de las agencias responsables, todo con miras a promover el bienestar integral y el envejecimiento saludable.</w:t>
      </w:r>
    </w:p>
    <w:p w14:paraId="5792A191" w14:textId="3F16C681" w:rsidR="7F0F9E0A" w:rsidRDefault="7F0F9E0A" w:rsidP="3C3F330B">
      <w:pPr>
        <w:spacing w:before="240" w:after="240"/>
        <w:ind w:firstLine="72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No obstante, pese a que ambas leyes responden a objetivos loables y complementarios, sus enmiendas a la Ley 121-2019 han generado conflictos de redacción y armonización, lo que ha producido, de forma involuntaria, la derogación tácita de disposiciones previamente vigentes.</w:t>
      </w:r>
    </w:p>
    <w:p w14:paraId="2E30E390" w14:textId="24A139C8" w:rsidR="7F0F9E0A" w:rsidRDefault="7F0F9E0A" w:rsidP="3C3F330B">
      <w:pPr>
        <w:spacing w:before="240" w:after="240"/>
        <w:ind w:firstLine="72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 xml:space="preserve">Ante este escenario, el Proyecto objeto de este informe propone realizar </w:t>
      </w:r>
      <w:r w:rsidRPr="3C3F330B">
        <w:rPr>
          <w:rFonts w:ascii="Book Antiqua" w:eastAsia="Book Antiqua" w:hAnsi="Book Antiqua" w:cs="Book Antiqua"/>
          <w:b/>
          <w:bCs/>
          <w:sz w:val="24"/>
          <w:szCs w:val="24"/>
          <w:lang w:val="es-ES"/>
        </w:rPr>
        <w:t>enmiendas técnicas</w:t>
      </w:r>
      <w:r w:rsidRPr="3C3F330B">
        <w:rPr>
          <w:rFonts w:ascii="Book Antiqua" w:eastAsia="Book Antiqua" w:hAnsi="Book Antiqua" w:cs="Book Antiqua"/>
          <w:sz w:val="24"/>
          <w:szCs w:val="24"/>
          <w:lang w:val="es-ES"/>
        </w:rPr>
        <w:t xml:space="preserve"> y ajustes de lenguaje para restablecer coherencia interna en el texto legal, preservar la intención legislativa de las leyes 130-2024 y 195-2024, y garantizar la aplicación efectiva de la política pública en favor de los adultos mayores.</w:t>
      </w:r>
    </w:p>
    <w:p w14:paraId="2FEDACC1" w14:textId="42D531A0" w:rsidR="007728D9" w:rsidRPr="00C06313" w:rsidRDefault="4A2B8946"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C3F330B">
        <w:rPr>
          <w:rFonts w:ascii="Book Antiqua" w:eastAsia="Book Antiqua" w:hAnsi="Book Antiqua" w:cs="Book Antiqua"/>
          <w:sz w:val="24"/>
          <w:szCs w:val="24"/>
          <w:lang w:val="es-PR"/>
        </w:rPr>
        <w:t xml:space="preserve"> </w:t>
      </w:r>
      <w:r w:rsidR="4B8327FA" w:rsidRPr="3C3F330B">
        <w:rPr>
          <w:rFonts w:ascii="Book Antiqua" w:eastAsia="Book Antiqua" w:hAnsi="Book Antiqua" w:cs="Book Antiqua"/>
          <w:b/>
          <w:bCs/>
          <w:color w:val="000000" w:themeColor="text1"/>
          <w:sz w:val="24"/>
          <w:szCs w:val="24"/>
          <w:lang w:val="es-ES"/>
        </w:rPr>
        <w:t>ANÁLISIS DE LA MEDIDA</w:t>
      </w:r>
      <w:r w:rsidR="4EFC05C2" w:rsidRPr="3C3F330B">
        <w:rPr>
          <w:rFonts w:ascii="Book Antiqua" w:eastAsia="Book Antiqua" w:hAnsi="Book Antiqua" w:cs="Book Antiqua"/>
          <w:b/>
          <w:bCs/>
          <w:color w:val="000000" w:themeColor="text1"/>
          <w:sz w:val="24"/>
          <w:szCs w:val="24"/>
          <w:lang w:val="es-ES"/>
        </w:rPr>
        <w:t xml:space="preserve"> </w:t>
      </w:r>
    </w:p>
    <w:p w14:paraId="3D9765F7" w14:textId="5654D958" w:rsidR="5E87DE39" w:rsidRDefault="5E87DE39" w:rsidP="3C3F330B">
      <w:pPr>
        <w:spacing w:before="240" w:after="240" w:line="240" w:lineRule="auto"/>
        <w:ind w:firstLine="720"/>
        <w:jc w:val="both"/>
        <w:rPr>
          <w:rFonts w:ascii="Book Antiqua" w:eastAsia="Book Antiqua" w:hAnsi="Book Antiqua" w:cs="Book Antiqua"/>
          <w:b/>
          <w:bCs/>
          <w:color w:val="000000" w:themeColor="text1"/>
          <w:sz w:val="24"/>
          <w:szCs w:val="24"/>
          <w:lang w:val="es-ES"/>
        </w:rPr>
      </w:pPr>
      <w:r w:rsidRPr="3C3F330B">
        <w:rPr>
          <w:rFonts w:ascii="Book Antiqua" w:eastAsia="Book Antiqua" w:hAnsi="Book Antiqua" w:cs="Book Antiqua"/>
          <w:sz w:val="24"/>
          <w:szCs w:val="24"/>
          <w:lang w:val="es-ES"/>
        </w:rPr>
        <w:t>El Proyecto del Senado 92 propone enmendar los Artículos 3, 8 y 11 de la Ley 121-2019, según enmendada, conocida como la “Carta de Derechos y la Política Pública del Gobierno a favor de los Adultos Mayores”. Estas enmiendas tienen como finalidad corregir conflictos técnicos y de redacción surgidos tras la aprobación de las Leyes 130-2024 y 195-2024, las cuales modificaron sustancialmente la estructura de la ley base, afectando involuntariamente su coherencia interna.</w:t>
      </w:r>
    </w:p>
    <w:p w14:paraId="5B631AE9" w14:textId="5BA2A823" w:rsidR="5E87DE39" w:rsidRPr="003E55D0" w:rsidRDefault="5E87DE39" w:rsidP="3C3F330B">
      <w:pPr>
        <w:spacing w:before="240" w:after="240"/>
        <w:jc w:val="both"/>
        <w:rPr>
          <w:lang w:val="es-ES"/>
        </w:rPr>
      </w:pPr>
      <w:r w:rsidRPr="3C3F330B">
        <w:rPr>
          <w:rFonts w:ascii="Book Antiqua" w:eastAsia="Book Antiqua" w:hAnsi="Book Antiqua" w:cs="Book Antiqua"/>
          <w:sz w:val="24"/>
          <w:szCs w:val="24"/>
          <w:lang w:val="es-ES"/>
        </w:rPr>
        <w:t>En términos generales, la medida persigue los siguientes propósitos:</w:t>
      </w:r>
    </w:p>
    <w:p w14:paraId="63476A58" w14:textId="25B9575D" w:rsidR="5E87DE39" w:rsidRDefault="5E87DE39" w:rsidP="3C3F330B">
      <w:pPr>
        <w:pStyle w:val="ListParagraph"/>
        <w:numPr>
          <w:ilvl w:val="0"/>
          <w:numId w:val="4"/>
        </w:numPr>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u w:val="single"/>
          <w:lang w:val="es-ES"/>
        </w:rPr>
        <w:t>Conformar el lenguaje legal y sistematizar disposiciones dispersas:</w:t>
      </w:r>
      <w:r w:rsidRPr="003E55D0">
        <w:rPr>
          <w:lang w:val="es-ES"/>
        </w:rPr>
        <w:br/>
      </w:r>
      <w:r w:rsidRPr="3C3F330B">
        <w:rPr>
          <w:rFonts w:ascii="Book Antiqua" w:eastAsia="Book Antiqua" w:hAnsi="Book Antiqua" w:cs="Book Antiqua"/>
          <w:sz w:val="24"/>
          <w:szCs w:val="24"/>
          <w:lang w:val="es-ES"/>
        </w:rPr>
        <w:t>Las enmiendas propuestas alinean el texto de la Ley 121-2019 con las disposiciones recientemente aprobadas en las Leyes 130-2024 y 195-2024. Esto incluye la inclusión de definiciones, deberes específicos y lenguaje uniforme que permita la aplicación clara de sus disposiciones por las agencias concernidas.</w:t>
      </w:r>
    </w:p>
    <w:p w14:paraId="366BB1EA" w14:textId="1DB6A756" w:rsidR="5E87DE39" w:rsidRDefault="5E87DE39" w:rsidP="3C3F330B">
      <w:pPr>
        <w:pStyle w:val="ListParagraph"/>
        <w:numPr>
          <w:ilvl w:val="0"/>
          <w:numId w:val="4"/>
        </w:numPr>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u w:val="single"/>
          <w:lang w:val="es-ES"/>
        </w:rPr>
        <w:t>Evitar derogaciones tácitas:</w:t>
      </w:r>
      <w:r w:rsidRPr="003E55D0">
        <w:rPr>
          <w:lang w:val="es-ES"/>
        </w:rPr>
        <w:br/>
      </w:r>
      <w:r w:rsidRPr="003E55D0">
        <w:rPr>
          <w:lang w:val="es-ES"/>
        </w:rPr>
        <w:tab/>
      </w:r>
      <w:r w:rsidRPr="3C3F330B">
        <w:rPr>
          <w:rFonts w:ascii="Book Antiqua" w:eastAsia="Book Antiqua" w:hAnsi="Book Antiqua" w:cs="Book Antiqua"/>
          <w:sz w:val="24"/>
          <w:szCs w:val="24"/>
          <w:lang w:val="es-ES"/>
        </w:rPr>
        <w:t xml:space="preserve">Las leyes aprobadas en el año 2024, si bien complementarias, modificaron secciones similares del estatuto base sin considerar las enmiendas previas, lo que generó duplicidad y, en algunos casos, eliminación involuntaria de lenguaje </w:t>
      </w:r>
      <w:r w:rsidRPr="3C3F330B">
        <w:rPr>
          <w:rFonts w:ascii="Book Antiqua" w:eastAsia="Book Antiqua" w:hAnsi="Book Antiqua" w:cs="Book Antiqua"/>
          <w:sz w:val="24"/>
          <w:szCs w:val="24"/>
          <w:lang w:val="es-ES"/>
        </w:rPr>
        <w:lastRenderedPageBreak/>
        <w:t>vigente. Este proyecto busca restaurar el texto legal de manera que se refleje con fidelidad la intención legislativa de ambas piezas.</w:t>
      </w:r>
    </w:p>
    <w:p w14:paraId="40967F0D" w14:textId="1B222DE0" w:rsidR="3C3F330B" w:rsidRDefault="3C3F330B" w:rsidP="3C3F330B">
      <w:pPr>
        <w:pStyle w:val="ListParagraph"/>
        <w:spacing w:before="240" w:after="240"/>
        <w:jc w:val="both"/>
        <w:rPr>
          <w:rFonts w:ascii="Book Antiqua" w:eastAsia="Book Antiqua" w:hAnsi="Book Antiqua" w:cs="Book Antiqua"/>
          <w:sz w:val="24"/>
          <w:szCs w:val="24"/>
          <w:lang w:val="es-ES"/>
        </w:rPr>
      </w:pPr>
    </w:p>
    <w:p w14:paraId="04E1FC0E" w14:textId="560F7323" w:rsidR="5E87DE39" w:rsidRDefault="5E87DE39" w:rsidP="3C3F330B">
      <w:pPr>
        <w:pStyle w:val="ListParagraph"/>
        <w:numPr>
          <w:ilvl w:val="0"/>
          <w:numId w:val="4"/>
        </w:numPr>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u w:val="single"/>
          <w:lang w:val="es-ES"/>
        </w:rPr>
        <w:t>Reafirmar la política pública a favor de los adultos mayores:</w:t>
      </w:r>
      <w:r w:rsidRPr="003E55D0">
        <w:rPr>
          <w:lang w:val="es-ES"/>
        </w:rPr>
        <w:br/>
      </w:r>
      <w:r w:rsidRPr="003E55D0">
        <w:rPr>
          <w:lang w:val="es-ES"/>
        </w:rPr>
        <w:tab/>
      </w:r>
      <w:r w:rsidRPr="3C3F330B">
        <w:rPr>
          <w:rFonts w:ascii="Book Antiqua" w:eastAsia="Book Antiqua" w:hAnsi="Book Antiqua" w:cs="Book Antiqua"/>
          <w:sz w:val="24"/>
          <w:szCs w:val="24"/>
          <w:lang w:val="es-ES"/>
        </w:rPr>
        <w:t>La medida mantiene intactos los principios rectores de participación, inclusión y protección integral del adulto mayor, garantizando que las enmiendas técnicas no alteren el contenido sustantivo, sino que lo refuercen en estructura y aplicación.</w:t>
      </w:r>
    </w:p>
    <w:p w14:paraId="6D7F3EA1" w14:textId="151528D7" w:rsidR="5E87DE39" w:rsidRPr="003E55D0" w:rsidRDefault="5E87DE39" w:rsidP="3C3F330B">
      <w:pPr>
        <w:spacing w:before="240" w:after="240"/>
        <w:ind w:firstLine="720"/>
        <w:jc w:val="both"/>
        <w:rPr>
          <w:lang w:val="es-ES"/>
        </w:rPr>
      </w:pPr>
      <w:r w:rsidRPr="3C3F330B">
        <w:rPr>
          <w:rFonts w:ascii="Book Antiqua" w:eastAsia="Book Antiqua" w:hAnsi="Book Antiqua" w:cs="Book Antiqua"/>
          <w:sz w:val="24"/>
          <w:szCs w:val="24"/>
          <w:lang w:val="es-ES"/>
        </w:rPr>
        <w:t>En efecto, se trata de una legislación de carácter técnico que no introduce cambios sustantivos a los derechos o deberes previamente reconocidos, sino que busca asegurar la correcta implementación del marco jurídico vigente y evitar confusión normativa tanto para las entidades gubernamentales como para la ciudadanía.</w:t>
      </w:r>
    </w:p>
    <w:p w14:paraId="7ECDCC5E" w14:textId="50A932E8" w:rsidR="007728D9" w:rsidRPr="00C06313" w:rsidRDefault="5E87DE39" w:rsidP="3C3F330B">
      <w:pPr>
        <w:spacing w:after="0" w:line="240" w:lineRule="auto"/>
        <w:ind w:firstLine="720"/>
        <w:jc w:val="both"/>
        <w:rPr>
          <w:rFonts w:ascii="Book Antiqua" w:eastAsia="Book Antiqua" w:hAnsi="Book Antiqua" w:cs="Book Antiqua"/>
          <w:color w:val="000000" w:themeColor="text1"/>
          <w:sz w:val="24"/>
          <w:szCs w:val="24"/>
          <w:lang w:val="es-ES"/>
        </w:rPr>
      </w:pPr>
      <w:r w:rsidRPr="3C3F330B">
        <w:rPr>
          <w:rFonts w:ascii="Book Antiqua" w:eastAsia="Book Antiqua" w:hAnsi="Book Antiqua" w:cs="Book Antiqua"/>
          <w:color w:val="000000" w:themeColor="text1"/>
          <w:sz w:val="24"/>
          <w:szCs w:val="24"/>
          <w:lang w:val="es-ES"/>
        </w:rPr>
        <w:t xml:space="preserve">Sin embargo, y como </w:t>
      </w:r>
      <w:r w:rsidR="4B8327FA" w:rsidRPr="3C3F330B">
        <w:rPr>
          <w:rFonts w:ascii="Book Antiqua" w:eastAsia="Book Antiqua" w:hAnsi="Book Antiqua" w:cs="Book Antiqua"/>
          <w:color w:val="000000" w:themeColor="text1"/>
          <w:sz w:val="24"/>
          <w:szCs w:val="24"/>
          <w:lang w:val="es-ES"/>
        </w:rPr>
        <w:t>parte del proceso de evaluación legislativa, se solicitaron y recibieron memoriales explicativos del Departamento de la Familia</w:t>
      </w:r>
      <w:r w:rsidR="682FB0CC" w:rsidRPr="3C3F330B">
        <w:rPr>
          <w:rFonts w:ascii="Book Antiqua" w:eastAsia="Book Antiqua" w:hAnsi="Book Antiqua" w:cs="Book Antiqua"/>
          <w:color w:val="000000" w:themeColor="text1"/>
          <w:sz w:val="24"/>
          <w:szCs w:val="24"/>
          <w:lang w:val="es-ES"/>
        </w:rPr>
        <w:t xml:space="preserve">, de la Oficina del Procurador de las Personas de edad Avanzada de Puerto Rico. Así también se solicitaron comentarios a </w:t>
      </w:r>
      <w:r w:rsidR="4B8327FA" w:rsidRPr="3C3F330B">
        <w:rPr>
          <w:rFonts w:ascii="Book Antiqua" w:eastAsia="Book Antiqua" w:hAnsi="Book Antiqua" w:cs="Book Antiqua"/>
          <w:color w:val="000000" w:themeColor="text1"/>
          <w:sz w:val="24"/>
          <w:szCs w:val="24"/>
          <w:lang w:val="es-ES"/>
        </w:rPr>
        <w:t xml:space="preserve">la American </w:t>
      </w:r>
      <w:proofErr w:type="spellStart"/>
      <w:r w:rsidR="4B8327FA" w:rsidRPr="3C3F330B">
        <w:rPr>
          <w:rFonts w:ascii="Book Antiqua" w:eastAsia="Book Antiqua" w:hAnsi="Book Antiqua" w:cs="Book Antiqua"/>
          <w:color w:val="000000" w:themeColor="text1"/>
          <w:sz w:val="24"/>
          <w:szCs w:val="24"/>
          <w:lang w:val="es-ES"/>
        </w:rPr>
        <w:t>Association</w:t>
      </w:r>
      <w:proofErr w:type="spellEnd"/>
      <w:r w:rsidR="4B8327FA" w:rsidRPr="3C3F330B">
        <w:rPr>
          <w:rFonts w:ascii="Book Antiqua" w:eastAsia="Book Antiqua" w:hAnsi="Book Antiqua" w:cs="Book Antiqua"/>
          <w:color w:val="000000" w:themeColor="text1"/>
          <w:sz w:val="24"/>
          <w:szCs w:val="24"/>
          <w:lang w:val="es-ES"/>
        </w:rPr>
        <w:t xml:space="preserve"> </w:t>
      </w:r>
      <w:proofErr w:type="spellStart"/>
      <w:r w:rsidR="4B8327FA" w:rsidRPr="3C3F330B">
        <w:rPr>
          <w:rFonts w:ascii="Book Antiqua" w:eastAsia="Book Antiqua" w:hAnsi="Book Antiqua" w:cs="Book Antiqua"/>
          <w:color w:val="000000" w:themeColor="text1"/>
          <w:sz w:val="24"/>
          <w:szCs w:val="24"/>
          <w:lang w:val="es-ES"/>
        </w:rPr>
        <w:t>of</w:t>
      </w:r>
      <w:proofErr w:type="spellEnd"/>
      <w:r w:rsidR="4B8327FA" w:rsidRPr="3C3F330B">
        <w:rPr>
          <w:rFonts w:ascii="Book Antiqua" w:eastAsia="Book Antiqua" w:hAnsi="Book Antiqua" w:cs="Book Antiqua"/>
          <w:color w:val="000000" w:themeColor="text1"/>
          <w:sz w:val="24"/>
          <w:szCs w:val="24"/>
          <w:lang w:val="es-ES"/>
        </w:rPr>
        <w:t xml:space="preserve"> </w:t>
      </w:r>
      <w:proofErr w:type="spellStart"/>
      <w:r w:rsidR="4B8327FA" w:rsidRPr="3C3F330B">
        <w:rPr>
          <w:rFonts w:ascii="Book Antiqua" w:eastAsia="Book Antiqua" w:hAnsi="Book Antiqua" w:cs="Book Antiqua"/>
          <w:color w:val="000000" w:themeColor="text1"/>
          <w:sz w:val="24"/>
          <w:szCs w:val="24"/>
          <w:lang w:val="es-ES"/>
        </w:rPr>
        <w:t>Retired</w:t>
      </w:r>
      <w:proofErr w:type="spellEnd"/>
      <w:r w:rsidR="4B8327FA" w:rsidRPr="3C3F330B">
        <w:rPr>
          <w:rFonts w:ascii="Book Antiqua" w:eastAsia="Book Antiqua" w:hAnsi="Book Antiqua" w:cs="Book Antiqua"/>
          <w:color w:val="000000" w:themeColor="text1"/>
          <w:sz w:val="24"/>
          <w:szCs w:val="24"/>
          <w:lang w:val="es-ES"/>
        </w:rPr>
        <w:t xml:space="preserve"> </w:t>
      </w:r>
      <w:proofErr w:type="spellStart"/>
      <w:r w:rsidR="4B8327FA" w:rsidRPr="3C3F330B">
        <w:rPr>
          <w:rFonts w:ascii="Book Antiqua" w:eastAsia="Book Antiqua" w:hAnsi="Book Antiqua" w:cs="Book Antiqua"/>
          <w:color w:val="000000" w:themeColor="text1"/>
          <w:sz w:val="24"/>
          <w:szCs w:val="24"/>
          <w:lang w:val="es-ES"/>
        </w:rPr>
        <w:t>Persons</w:t>
      </w:r>
      <w:proofErr w:type="spellEnd"/>
      <w:r w:rsidR="7E862D56" w:rsidRPr="3C3F330B">
        <w:rPr>
          <w:rFonts w:ascii="Book Antiqua" w:eastAsia="Book Antiqua" w:hAnsi="Book Antiqua" w:cs="Book Antiqua"/>
          <w:color w:val="000000" w:themeColor="text1"/>
          <w:sz w:val="24"/>
          <w:szCs w:val="24"/>
          <w:lang w:val="es-ES"/>
        </w:rPr>
        <w:t xml:space="preserve"> (</w:t>
      </w:r>
      <w:r w:rsidR="4B8327FA" w:rsidRPr="3C3F330B">
        <w:rPr>
          <w:rFonts w:ascii="Book Antiqua" w:eastAsia="Book Antiqua" w:hAnsi="Book Antiqua" w:cs="Book Antiqua"/>
          <w:color w:val="000000" w:themeColor="text1"/>
          <w:sz w:val="24"/>
          <w:szCs w:val="24"/>
          <w:lang w:val="es-ES"/>
        </w:rPr>
        <w:t>AARP</w:t>
      </w:r>
      <w:r w:rsidR="04E3D826" w:rsidRPr="3C3F330B">
        <w:rPr>
          <w:rFonts w:ascii="Book Antiqua" w:eastAsia="Book Antiqua" w:hAnsi="Book Antiqua" w:cs="Book Antiqua"/>
          <w:color w:val="000000" w:themeColor="text1"/>
          <w:sz w:val="24"/>
          <w:szCs w:val="24"/>
          <w:lang w:val="es-ES"/>
        </w:rPr>
        <w:t>)</w:t>
      </w:r>
      <w:r w:rsidR="61F27890" w:rsidRPr="3C3F330B">
        <w:rPr>
          <w:rFonts w:ascii="Book Antiqua" w:eastAsia="Book Antiqua" w:hAnsi="Book Antiqua" w:cs="Book Antiqua"/>
          <w:color w:val="000000" w:themeColor="text1"/>
          <w:sz w:val="24"/>
          <w:szCs w:val="24"/>
          <w:lang w:val="es-ES"/>
        </w:rPr>
        <w:t>,</w:t>
      </w:r>
      <w:r w:rsidR="5F950882" w:rsidRPr="3C3F330B">
        <w:rPr>
          <w:rFonts w:ascii="Book Antiqua" w:eastAsia="Book Antiqua" w:hAnsi="Book Antiqua" w:cs="Book Antiqua"/>
          <w:color w:val="000000" w:themeColor="text1"/>
          <w:sz w:val="24"/>
          <w:szCs w:val="24"/>
          <w:lang w:val="es-ES"/>
        </w:rPr>
        <w:t xml:space="preserve"> pero no se recibieron los mismos.</w:t>
      </w:r>
    </w:p>
    <w:p w14:paraId="5B3B2AFE" w14:textId="2FAB2847" w:rsidR="007728D9" w:rsidRPr="00C06313" w:rsidRDefault="4B8327FA" w:rsidP="6FF13472">
      <w:pPr>
        <w:spacing w:before="240" w:after="240"/>
        <w:ind w:firstLine="720"/>
        <w:jc w:val="both"/>
        <w:rPr>
          <w:rFonts w:ascii="Book Antiqua" w:eastAsia="Book Antiqua" w:hAnsi="Book Antiqua" w:cs="Book Antiqua"/>
          <w:color w:val="000000" w:themeColor="text1"/>
          <w:sz w:val="24"/>
          <w:szCs w:val="24"/>
          <w:lang w:val="es-ES"/>
        </w:rPr>
      </w:pPr>
      <w:r w:rsidRPr="6FF13472">
        <w:rPr>
          <w:rFonts w:ascii="Book Antiqua" w:eastAsia="Book Antiqua" w:hAnsi="Book Antiqua" w:cs="Book Antiqua"/>
          <w:color w:val="000000" w:themeColor="text1"/>
          <w:sz w:val="24"/>
          <w:szCs w:val="24"/>
          <w:lang w:val="es-ES"/>
        </w:rPr>
        <w:t>Conform</w:t>
      </w:r>
      <w:r w:rsidR="373DB0FF" w:rsidRPr="6FF13472">
        <w:rPr>
          <w:rFonts w:ascii="Book Antiqua" w:eastAsia="Book Antiqua" w:hAnsi="Book Antiqua" w:cs="Book Antiqua"/>
          <w:color w:val="000000" w:themeColor="text1"/>
          <w:sz w:val="24"/>
          <w:szCs w:val="24"/>
          <w:lang w:val="es-ES"/>
        </w:rPr>
        <w:t xml:space="preserve">e </w:t>
      </w:r>
      <w:r w:rsidRPr="6FF13472">
        <w:rPr>
          <w:rFonts w:ascii="Book Antiqua" w:eastAsia="Book Antiqua" w:hAnsi="Book Antiqua" w:cs="Book Antiqua"/>
          <w:color w:val="000000" w:themeColor="text1"/>
          <w:sz w:val="24"/>
          <w:szCs w:val="24"/>
          <w:lang w:val="es-ES"/>
        </w:rPr>
        <w:t>los memoriales explicativos recibidos, las agencias comparecientes avalaron la aprobación de la medida. A continuación, se detallan las posiciones expresadas por cada una de las agencias convocadas.</w:t>
      </w:r>
    </w:p>
    <w:p w14:paraId="16FD624F" w14:textId="76D02850" w:rsidR="166B93A3" w:rsidRDefault="166B93A3" w:rsidP="3C3F330B">
      <w:pPr>
        <w:pStyle w:val="ListParagraph"/>
        <w:spacing w:after="0" w:line="240" w:lineRule="auto"/>
        <w:jc w:val="center"/>
        <w:rPr>
          <w:rFonts w:ascii="Book Antiqua" w:eastAsia="Times New Roman" w:hAnsi="Book Antiqua" w:cs="Times New Roman"/>
          <w:b/>
          <w:bCs/>
          <w:sz w:val="24"/>
          <w:szCs w:val="24"/>
          <w:lang w:val="es-PR"/>
        </w:rPr>
      </w:pPr>
      <w:r w:rsidRPr="3C3F330B">
        <w:rPr>
          <w:rFonts w:ascii="Book Antiqua" w:eastAsia="Times New Roman" w:hAnsi="Book Antiqua" w:cs="Times New Roman"/>
          <w:b/>
          <w:bCs/>
          <w:sz w:val="24"/>
          <w:szCs w:val="24"/>
          <w:lang w:val="es-PR"/>
        </w:rPr>
        <w:t xml:space="preserve">Departamento de la </w:t>
      </w:r>
      <w:r w:rsidR="063CA91E" w:rsidRPr="3C3F330B">
        <w:rPr>
          <w:rFonts w:ascii="Book Antiqua" w:eastAsia="Times New Roman" w:hAnsi="Book Antiqua" w:cs="Times New Roman"/>
          <w:b/>
          <w:bCs/>
          <w:sz w:val="24"/>
          <w:szCs w:val="24"/>
          <w:lang w:val="es-PR"/>
        </w:rPr>
        <w:t>Familia</w:t>
      </w:r>
      <w:r w:rsidR="270858E6" w:rsidRPr="3C3F330B">
        <w:rPr>
          <w:rFonts w:ascii="Book Antiqua" w:eastAsia="Times New Roman" w:hAnsi="Book Antiqua" w:cs="Times New Roman"/>
          <w:b/>
          <w:bCs/>
          <w:sz w:val="24"/>
          <w:szCs w:val="24"/>
          <w:lang w:val="es-PR"/>
        </w:rPr>
        <w:t xml:space="preserve"> </w:t>
      </w:r>
    </w:p>
    <w:p w14:paraId="530B60EA" w14:textId="3D83D15A" w:rsidR="3C3F330B" w:rsidRDefault="3C3F330B" w:rsidP="3C3F330B">
      <w:pPr>
        <w:spacing w:after="0" w:line="240" w:lineRule="auto"/>
        <w:ind w:firstLine="720"/>
        <w:jc w:val="both"/>
        <w:rPr>
          <w:rFonts w:ascii="Book Antiqua" w:eastAsia="Book Antiqua" w:hAnsi="Book Antiqua" w:cs="Book Antiqua"/>
          <w:sz w:val="24"/>
          <w:szCs w:val="24"/>
          <w:lang w:val="es-PR"/>
        </w:rPr>
      </w:pPr>
    </w:p>
    <w:p w14:paraId="3BCBB3EE" w14:textId="48677838" w:rsidR="3DFC61B2" w:rsidRDefault="3DFC61B2" w:rsidP="3C3F330B">
      <w:pPr>
        <w:spacing w:after="0" w:line="240" w:lineRule="auto"/>
        <w:ind w:firstLine="720"/>
        <w:jc w:val="both"/>
        <w:rPr>
          <w:rFonts w:ascii="Book Antiqua" w:eastAsia="Times New Roman" w:hAnsi="Book Antiqua" w:cs="Times New Roman"/>
          <w:b/>
          <w:bCs/>
          <w:sz w:val="24"/>
          <w:szCs w:val="24"/>
          <w:lang w:val="es-PR"/>
        </w:rPr>
      </w:pPr>
      <w:r w:rsidRPr="3C3F330B">
        <w:rPr>
          <w:rFonts w:ascii="Book Antiqua" w:eastAsia="Book Antiqua" w:hAnsi="Book Antiqua" w:cs="Book Antiqua"/>
          <w:sz w:val="24"/>
          <w:szCs w:val="24"/>
          <w:lang w:val="es-PR"/>
        </w:rPr>
        <w:t>El Departamento de la Familia expresó su respaldo total al Proyecto del Senado 92. La agencia destacó que estas enmiendas previas, aunque dirigidas a continuar el desarrollo de la política pública en favor de los adultos mayores, provocaron la derogación tácita de disposiciones vigentes en la Ley 121, por lo que es necesario unificar el lenguaje y eliminar inconsistencias normativas.</w:t>
      </w:r>
    </w:p>
    <w:p w14:paraId="2A8A6BD3" w14:textId="402EAF09" w:rsidR="3DFC61B2" w:rsidRPr="003E55D0" w:rsidRDefault="3DFC61B2" w:rsidP="3C3F330B">
      <w:pPr>
        <w:spacing w:before="240" w:after="240"/>
        <w:ind w:firstLine="720"/>
        <w:jc w:val="both"/>
        <w:rPr>
          <w:lang w:val="es-ES"/>
        </w:rPr>
      </w:pPr>
      <w:r w:rsidRPr="3C3F330B">
        <w:rPr>
          <w:rFonts w:ascii="Book Antiqua" w:eastAsia="Book Antiqua" w:hAnsi="Book Antiqua" w:cs="Book Antiqua"/>
          <w:sz w:val="24"/>
          <w:szCs w:val="24"/>
          <w:lang w:val="es-PR"/>
        </w:rPr>
        <w:t xml:space="preserve">En su memorial, el Departamento subrayó la importancia de que toda legislación relacionada a los adultos mayores sea cónsona con la política pública vigente, dado su rol como ente rector de programas sociales y de protección a esta población. Reafirmaron que la protección, bienestar y </w:t>
      </w:r>
      <w:proofErr w:type="gramStart"/>
      <w:r w:rsidRPr="3C3F330B">
        <w:rPr>
          <w:rFonts w:ascii="Book Antiqua" w:eastAsia="Book Antiqua" w:hAnsi="Book Antiqua" w:cs="Book Antiqua"/>
          <w:sz w:val="24"/>
          <w:szCs w:val="24"/>
          <w:lang w:val="es-PR"/>
        </w:rPr>
        <w:t>participación activa</w:t>
      </w:r>
      <w:proofErr w:type="gramEnd"/>
      <w:r w:rsidRPr="3C3F330B">
        <w:rPr>
          <w:rFonts w:ascii="Book Antiqua" w:eastAsia="Book Antiqua" w:hAnsi="Book Antiqua" w:cs="Book Antiqua"/>
          <w:sz w:val="24"/>
          <w:szCs w:val="24"/>
          <w:lang w:val="es-PR"/>
        </w:rPr>
        <w:t xml:space="preserve"> del adulto mayor es un objetivo central del gobierno y una prioridad para su administración.</w:t>
      </w:r>
    </w:p>
    <w:p w14:paraId="0C67A351" w14:textId="3D4CE4E7" w:rsidR="3DFC61B2" w:rsidRPr="003E55D0" w:rsidRDefault="3DFC61B2" w:rsidP="3C3F330B">
      <w:pPr>
        <w:spacing w:before="240" w:after="240"/>
        <w:ind w:firstLine="720"/>
        <w:jc w:val="both"/>
        <w:rPr>
          <w:lang w:val="es-ES"/>
        </w:rPr>
      </w:pPr>
      <w:r w:rsidRPr="3C3F330B">
        <w:rPr>
          <w:rFonts w:ascii="Book Antiqua" w:eastAsia="Book Antiqua" w:hAnsi="Book Antiqua" w:cs="Book Antiqua"/>
          <w:sz w:val="24"/>
          <w:szCs w:val="24"/>
          <w:lang w:val="es-PR"/>
        </w:rPr>
        <w:t xml:space="preserve">Asimismo, el Departamento de la Familia contextualizó la medida dentro del fenómeno demográfico del envejecimiento poblacional acelerado en Puerto Rico, lo que exige respuestas legislativas proactivas para garantizar servicios adecuados, integrales y continuos. Destacaron que la Carta de Derechos, desde su aprobación en 2019, ha buscado consolidar un marco legal que salvaguarde la integridad física y emocional de las </w:t>
      </w:r>
      <w:r w:rsidRPr="3C3F330B">
        <w:rPr>
          <w:rFonts w:ascii="Book Antiqua" w:eastAsia="Book Antiqua" w:hAnsi="Book Antiqua" w:cs="Book Antiqua"/>
          <w:sz w:val="24"/>
          <w:szCs w:val="24"/>
          <w:lang w:val="es-PR"/>
        </w:rPr>
        <w:lastRenderedPageBreak/>
        <w:t>personas de 60 años o más, reconociendo también el rol fundamental que desempeñan sus familiares y cuidadores.</w:t>
      </w:r>
    </w:p>
    <w:p w14:paraId="0BC212AA" w14:textId="171458F3" w:rsidR="3DFC61B2" w:rsidRPr="003E55D0" w:rsidRDefault="3DFC61B2" w:rsidP="3C3F330B">
      <w:pPr>
        <w:spacing w:before="240" w:after="240"/>
        <w:ind w:firstLine="720"/>
        <w:jc w:val="both"/>
        <w:rPr>
          <w:lang w:val="es-ES"/>
        </w:rPr>
      </w:pPr>
      <w:r w:rsidRPr="3C3F330B">
        <w:rPr>
          <w:rFonts w:ascii="Book Antiqua" w:eastAsia="Book Antiqua" w:hAnsi="Book Antiqua" w:cs="Book Antiqua"/>
          <w:sz w:val="24"/>
          <w:szCs w:val="24"/>
          <w:lang w:val="es-PR"/>
        </w:rPr>
        <w:t>Por último, la agencia puntualizó que el P. del S. 92 va en la dirección correcta al procurar uniformar y actualizar la normativa vigente, por lo que apoyan su aprobación sin reservas, reiterando su compromiso de colaboración con la Asamblea Legislativa para fortalecer la política pública a favor de los adultos mayores.</w:t>
      </w:r>
    </w:p>
    <w:p w14:paraId="3F85837D" w14:textId="50CD53D4" w:rsidR="521DA05B" w:rsidRDefault="521DA05B" w:rsidP="3C3F330B">
      <w:pPr>
        <w:pStyle w:val="ListParagraph"/>
        <w:spacing w:after="0" w:line="240" w:lineRule="auto"/>
        <w:jc w:val="center"/>
        <w:rPr>
          <w:rFonts w:ascii="Book Antiqua" w:eastAsia="Times New Roman" w:hAnsi="Book Antiqua" w:cs="Times New Roman"/>
          <w:b/>
          <w:bCs/>
          <w:sz w:val="24"/>
          <w:szCs w:val="24"/>
          <w:lang w:val="es-PR"/>
        </w:rPr>
      </w:pPr>
      <w:r w:rsidRPr="3C3F330B">
        <w:rPr>
          <w:rFonts w:ascii="Book Antiqua" w:eastAsia="Times New Roman" w:hAnsi="Book Antiqua" w:cs="Times New Roman"/>
          <w:b/>
          <w:bCs/>
          <w:sz w:val="24"/>
          <w:szCs w:val="24"/>
          <w:lang w:val="es-PR"/>
        </w:rPr>
        <w:t>Departamento de Salud</w:t>
      </w:r>
    </w:p>
    <w:p w14:paraId="41499628" w14:textId="30EC270D" w:rsidR="5C10F2F3" w:rsidRDefault="5C10F2F3" w:rsidP="3C3F330B">
      <w:pPr>
        <w:spacing w:before="240" w:after="240"/>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El Departamento de Salud, tras consulta con la Secretaría Auxiliar de Servicios para la Salud Integral (SASSI), evaluó el Proyecto del Senado 92, el cual propone enmendar los Artículos 3, 8 y 11 de la Ley 121-2019 con el fin de armonizar su lenguaje con las enmiendas introducidas por las Leyes 130-2024 y 195-2024. Según expresa la agencia, estas leyes más recientes promovieron importantes reformas orientadas a fortalecer la política pública a favor de los adultos mayores, particularmente en aspectos relacionados con la responsabilidad legal de familiares o tutores ante el abandono institucional y con el establecimiento de mecanismos para promover el envejecimiento saludable.</w:t>
      </w:r>
    </w:p>
    <w:p w14:paraId="3C3805DD" w14:textId="2790E2DA" w:rsidR="5C10F2F3" w:rsidRDefault="5C10F2F3" w:rsidP="3C3F330B">
      <w:pPr>
        <w:spacing w:before="240" w:after="240"/>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El Departamento reconoce que, si bien las leyes antes mencionadas comparten un fin común, su aprobación de forma separada provocó la derogación tácita de ciertos textos dentro de la Ley 121-2019. Por consiguiente, el Proyecto del Senado 92 responde a la necesidad de consolidar y uniformar las disposiciones legales que conforman esta política pública.</w:t>
      </w:r>
    </w:p>
    <w:p w14:paraId="4B50D065" w14:textId="7EECD999" w:rsidR="5C10F2F3" w:rsidRDefault="5C10F2F3" w:rsidP="3C3F330B">
      <w:pPr>
        <w:spacing w:before="240" w:after="240"/>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Luego de un análisis exhaustivo, el Departamento de Salud expresó que no tiene objeciones al contenido del proyecto y endosa la medida sin reservas. La agencia considera que la propuesta legislativa cumple con el objetivo de armonizar y clarificar el marco normativo vigente en beneficio de la población adulta mayor.</w:t>
      </w:r>
    </w:p>
    <w:p w14:paraId="7B9FCFB3" w14:textId="7CAE483D" w:rsidR="3C3F330B" w:rsidRDefault="3C3F330B" w:rsidP="3C3F330B">
      <w:pPr>
        <w:spacing w:after="0" w:line="240" w:lineRule="auto"/>
        <w:ind w:left="720"/>
        <w:jc w:val="both"/>
        <w:rPr>
          <w:rFonts w:ascii="Book Antiqua" w:eastAsia="Times New Roman" w:hAnsi="Book Antiqua" w:cs="Times New Roman"/>
          <w:b/>
          <w:bCs/>
          <w:sz w:val="24"/>
          <w:szCs w:val="24"/>
          <w:lang w:val="es-PR"/>
        </w:rPr>
      </w:pPr>
    </w:p>
    <w:p w14:paraId="18F9A871" w14:textId="462E894E" w:rsidR="521DA05B" w:rsidRDefault="521DA05B" w:rsidP="3C3F330B">
      <w:pPr>
        <w:pStyle w:val="ListParagraph"/>
        <w:spacing w:after="0" w:line="240" w:lineRule="auto"/>
        <w:jc w:val="center"/>
        <w:rPr>
          <w:rFonts w:ascii="Book Antiqua" w:eastAsia="Times New Roman" w:hAnsi="Book Antiqua" w:cs="Times New Roman"/>
          <w:b/>
          <w:bCs/>
          <w:sz w:val="24"/>
          <w:szCs w:val="24"/>
          <w:lang w:val="es-PR"/>
        </w:rPr>
      </w:pPr>
      <w:r w:rsidRPr="3C3F330B">
        <w:rPr>
          <w:rFonts w:ascii="Book Antiqua" w:eastAsia="Times New Roman" w:hAnsi="Book Antiqua" w:cs="Times New Roman"/>
          <w:b/>
          <w:bCs/>
          <w:sz w:val="24"/>
          <w:szCs w:val="24"/>
          <w:lang w:val="es-PR"/>
        </w:rPr>
        <w:t>Oficina del Procurador de Personas de Edad Avanzada (OPPEA)</w:t>
      </w:r>
    </w:p>
    <w:p w14:paraId="2CE8B6A1" w14:textId="6C1E8FCA" w:rsidR="3C3F330B" w:rsidRDefault="3C3F330B" w:rsidP="3C3F330B">
      <w:pPr>
        <w:pStyle w:val="ListParagraph"/>
        <w:spacing w:after="0" w:line="240" w:lineRule="auto"/>
        <w:jc w:val="center"/>
        <w:rPr>
          <w:rFonts w:ascii="Book Antiqua" w:eastAsia="Times New Roman" w:hAnsi="Book Antiqua" w:cs="Times New Roman"/>
          <w:b/>
          <w:bCs/>
          <w:sz w:val="24"/>
          <w:szCs w:val="24"/>
          <w:lang w:val="es-PR"/>
        </w:rPr>
      </w:pPr>
    </w:p>
    <w:p w14:paraId="18198BEF" w14:textId="2C0A1BED" w:rsidR="4DEC1779" w:rsidRDefault="4DEC1779" w:rsidP="3C3F330B">
      <w:pPr>
        <w:spacing w:after="0" w:line="240" w:lineRule="auto"/>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La Oficina del Procurador de las Personas de Edad Avanzada (OPPEA) sometió comentarios positivos sobre el Proyecto del Senado 92, reconociendo la necesidad de armonizar la Ley 121-2019 con las Leyes 130-2024 y 195-2024. Señalan que el efecto involuntario de estas enmiendas previas fue derogar tácitamente partes del texto vigente, lo que justifica la medida legislativa actual.</w:t>
      </w:r>
    </w:p>
    <w:p w14:paraId="1728CCC8" w14:textId="04AC7248" w:rsidR="4DEC1779" w:rsidRPr="003E55D0" w:rsidRDefault="4DEC1779" w:rsidP="3C3F330B">
      <w:pPr>
        <w:spacing w:before="240" w:after="240"/>
        <w:ind w:firstLine="720"/>
        <w:jc w:val="both"/>
        <w:rPr>
          <w:lang w:val="es-ES"/>
        </w:rPr>
      </w:pPr>
      <w:r w:rsidRPr="3C3F330B">
        <w:rPr>
          <w:rFonts w:ascii="Book Antiqua" w:eastAsia="Book Antiqua" w:hAnsi="Book Antiqua" w:cs="Book Antiqua"/>
          <w:sz w:val="24"/>
          <w:szCs w:val="24"/>
          <w:lang w:val="es-PR"/>
        </w:rPr>
        <w:t xml:space="preserve">Destacan la existencia del Comité Multisectorial creado por la Ley 121, el cual tiene el deber de supervisar e implementar su política pública. OPPEA subraya que toda legislación sobre adultos mayores debe beneficiarse del insumo de este comité, por lo que </w:t>
      </w:r>
      <w:r w:rsidRPr="3C3F330B">
        <w:rPr>
          <w:rFonts w:ascii="Book Antiqua" w:eastAsia="Book Antiqua" w:hAnsi="Book Antiqua" w:cs="Book Antiqua"/>
          <w:sz w:val="24"/>
          <w:szCs w:val="24"/>
          <w:lang w:val="es-PR"/>
        </w:rPr>
        <w:lastRenderedPageBreak/>
        <w:t>recomienda que todas las propuestas legislativas pasen por su evaluación. La Oficina forma parte activa de este grupo y ha participado en los procesos que originaron las leyes que ahora se armonizan.</w:t>
      </w:r>
    </w:p>
    <w:p w14:paraId="74673A2B" w14:textId="2CD0DCE1" w:rsidR="4DEC1779" w:rsidRDefault="4DEC1779" w:rsidP="3C3F330B">
      <w:pPr>
        <w:spacing w:before="240" w:after="240"/>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En cuanto a las definiciones sobre abandono, OPPEA favorece la redacción del Proyecto del Senado 92, pues integra adecuadamente las disposiciones de las Leyes 130 y 195-2024. No obstante, expresan reservas sobre una de las frases propuestas que responsabiliza a "la persona que esté a cargo de la persona adulta mayor", en ausencia de un nombramiento formal. Consideran que esta disposición podría desalentar a miembros de la comunidad o buenos samaritanos de prestar asistencia voluntaria, por miedo a ser posteriormente acusados de abandono.</w:t>
      </w:r>
    </w:p>
    <w:p w14:paraId="2CB627E9" w14:textId="78FFE35E" w:rsidR="4DEC1779" w:rsidRDefault="4DEC1779" w:rsidP="3C3F330B">
      <w:pPr>
        <w:spacing w:before="240" w:after="240"/>
        <w:ind w:firstLine="720"/>
        <w:jc w:val="both"/>
        <w:rPr>
          <w:rFonts w:ascii="Book Antiqua" w:eastAsia="Book Antiqua" w:hAnsi="Book Antiqua" w:cs="Book Antiqua"/>
          <w:sz w:val="24"/>
          <w:szCs w:val="24"/>
          <w:lang w:val="es-PR"/>
        </w:rPr>
      </w:pPr>
      <w:r w:rsidRPr="3C3F330B">
        <w:rPr>
          <w:rFonts w:ascii="Book Antiqua" w:eastAsia="Book Antiqua" w:hAnsi="Book Antiqua" w:cs="Book Antiqua"/>
          <w:sz w:val="24"/>
          <w:szCs w:val="24"/>
          <w:lang w:val="es-PR"/>
        </w:rPr>
        <w:t>Por otra parte, OPPEA objeta una propuesta contenida en el Artículo 8(g) del proyecto (según se recoge del P. del S. 9</w:t>
      </w:r>
      <w:r w:rsidR="317125E1" w:rsidRPr="3C3F330B">
        <w:rPr>
          <w:rFonts w:ascii="Book Antiqua" w:eastAsia="Book Antiqua" w:hAnsi="Book Antiqua" w:cs="Book Antiqua"/>
          <w:sz w:val="24"/>
          <w:szCs w:val="24"/>
          <w:lang w:val="es-PR"/>
        </w:rPr>
        <w:t>2</w:t>
      </w:r>
      <w:r w:rsidRPr="3C3F330B">
        <w:rPr>
          <w:rFonts w:ascii="Book Antiqua" w:eastAsia="Book Antiqua" w:hAnsi="Book Antiqua" w:cs="Book Antiqua"/>
          <w:sz w:val="24"/>
          <w:szCs w:val="24"/>
          <w:lang w:val="es-PR"/>
        </w:rPr>
        <w:t>), que faculta al Departamento de Justicia a presentar acciones civiles contra familiares o tutores legales para recobrar costos de atención médica tras el alta hospitalaria del adulto mayor. OPPEA entiende que esto podría carecer de base jurídica, al imponer deudas personales a terceros sin vínculo contractual, y representar un riesgo para personas que no ostenten la custodia formal ni hayan asumido obligaciones legales respecto a la persona adulta mayor.</w:t>
      </w:r>
    </w:p>
    <w:p w14:paraId="77510BF5" w14:textId="168A1713" w:rsidR="4DEC1779" w:rsidRPr="003E55D0" w:rsidRDefault="4DEC1779" w:rsidP="3C3F330B">
      <w:pPr>
        <w:spacing w:before="240" w:after="240"/>
        <w:ind w:firstLine="720"/>
        <w:jc w:val="both"/>
        <w:rPr>
          <w:lang w:val="es-ES"/>
        </w:rPr>
      </w:pPr>
      <w:r w:rsidRPr="3C3F330B">
        <w:rPr>
          <w:rFonts w:ascii="Book Antiqua" w:eastAsia="Book Antiqua" w:hAnsi="Book Antiqua" w:cs="Book Antiqua"/>
          <w:sz w:val="24"/>
          <w:szCs w:val="24"/>
          <w:lang w:val="es-PR"/>
        </w:rPr>
        <w:t>En conclusión, OPPEA respalda el Proyecto del Senado 92 en términos generales, pero con recomendaciones específicas para asegurar la equidad, evitar efectos disuasivos indeseados y garantizar el debido proceso legal.</w:t>
      </w:r>
    </w:p>
    <w:p w14:paraId="57DE6FA3" w14:textId="0B2BC948" w:rsidR="3C3F330B" w:rsidRDefault="3C3F330B" w:rsidP="3C3F330B">
      <w:pPr>
        <w:spacing w:after="0" w:line="240" w:lineRule="auto"/>
        <w:jc w:val="both"/>
        <w:rPr>
          <w:rFonts w:ascii="Book Antiqua" w:eastAsia="Book Antiqua" w:hAnsi="Book Antiqua" w:cs="Book Antiqua"/>
          <w:sz w:val="24"/>
          <w:szCs w:val="24"/>
          <w:lang w:val="es-PR"/>
        </w:rPr>
      </w:pPr>
    </w:p>
    <w:p w14:paraId="090A2112" w14:textId="3D28ABCF" w:rsidR="00C57C4A" w:rsidRDefault="00C57C4A" w:rsidP="3C3F330B">
      <w:pPr>
        <w:spacing w:after="0" w:line="240" w:lineRule="auto"/>
        <w:jc w:val="both"/>
        <w:rPr>
          <w:rFonts w:ascii="Book Antiqua" w:eastAsia="Times New Roman" w:hAnsi="Book Antiqua" w:cs="Times New Roman"/>
          <w:b/>
          <w:bCs/>
          <w:sz w:val="24"/>
          <w:szCs w:val="24"/>
          <w:lang w:val="es-PR"/>
        </w:rPr>
      </w:pPr>
      <w:r w:rsidRPr="3C3F330B">
        <w:rPr>
          <w:rFonts w:ascii="Book Antiqua" w:eastAsia="Times New Roman" w:hAnsi="Book Antiqua" w:cs="Times New Roman"/>
          <w:b/>
          <w:bCs/>
          <w:sz w:val="24"/>
          <w:szCs w:val="24"/>
          <w:lang w:val="es-PR"/>
        </w:rPr>
        <w:t>RECOMENDACIONES</w:t>
      </w:r>
      <w:r w:rsidR="003E7904" w:rsidRPr="3C3F330B">
        <w:rPr>
          <w:rFonts w:ascii="Book Antiqua" w:eastAsia="Times New Roman" w:hAnsi="Book Antiqua" w:cs="Times New Roman"/>
          <w:b/>
          <w:bCs/>
          <w:sz w:val="24"/>
          <w:szCs w:val="24"/>
          <w:lang w:val="es-PR"/>
        </w:rPr>
        <w:t xml:space="preserve"> Y CONCLUSIONES</w:t>
      </w:r>
    </w:p>
    <w:p w14:paraId="381D8839" w14:textId="07670E8E" w:rsidR="3C3F330B" w:rsidRDefault="3C3F330B" w:rsidP="3C3F330B">
      <w:pPr>
        <w:spacing w:after="0" w:line="240" w:lineRule="auto"/>
        <w:ind w:firstLine="720"/>
        <w:jc w:val="both"/>
        <w:rPr>
          <w:rFonts w:ascii="Book Antiqua" w:eastAsia="Book Antiqua" w:hAnsi="Book Antiqua" w:cs="Book Antiqua"/>
          <w:sz w:val="24"/>
          <w:szCs w:val="24"/>
          <w:lang w:val="es-ES"/>
        </w:rPr>
      </w:pPr>
    </w:p>
    <w:p w14:paraId="4649ADAE" w14:textId="535080F7" w:rsidR="39E180A0" w:rsidRDefault="39E180A0" w:rsidP="3C3F330B">
      <w:pPr>
        <w:spacing w:after="0" w:line="240" w:lineRule="auto"/>
        <w:ind w:firstLine="720"/>
        <w:jc w:val="both"/>
        <w:rPr>
          <w:rFonts w:ascii="Book Antiqua" w:eastAsia="Times New Roman" w:hAnsi="Book Antiqua" w:cs="Times New Roman"/>
          <w:b/>
          <w:bCs/>
          <w:sz w:val="24"/>
          <w:szCs w:val="24"/>
          <w:lang w:val="es-PR"/>
        </w:rPr>
      </w:pPr>
      <w:r w:rsidRPr="3C3F330B">
        <w:rPr>
          <w:rFonts w:ascii="Book Antiqua" w:eastAsia="Book Antiqua" w:hAnsi="Book Antiqua" w:cs="Book Antiqua"/>
          <w:sz w:val="24"/>
          <w:szCs w:val="24"/>
          <w:lang w:val="es-ES"/>
        </w:rPr>
        <w:t>Tras el análisis integral del Proyecto del Senado 92, así como el estudio de los memoriales explicativos sometidos por el Departamento de la Familia, el Departamento de Salud y la Oficina del Procurador de las Personas de Edad Avanzada (OPPEA), esta Comisión concluye que la medida presentada cumple con el propósito de realizar enmiendas técnicas necesarias y puntuales a la Ley 121-2019, mejor conocida como la “Carta de Derechos y la Política Pública del Gobierno a favor de los Adultos Mayores”.</w:t>
      </w:r>
    </w:p>
    <w:p w14:paraId="5CFB06C8" w14:textId="3D5F3B7B" w:rsidR="39E180A0" w:rsidRPr="003E55D0" w:rsidRDefault="39E180A0" w:rsidP="3C3F330B">
      <w:pPr>
        <w:spacing w:before="240" w:after="240"/>
        <w:ind w:firstLine="720"/>
        <w:jc w:val="both"/>
        <w:rPr>
          <w:lang w:val="es-ES"/>
        </w:rPr>
      </w:pPr>
      <w:r w:rsidRPr="3C3F330B">
        <w:rPr>
          <w:rFonts w:ascii="Book Antiqua" w:eastAsia="Book Antiqua" w:hAnsi="Book Antiqua" w:cs="Book Antiqua"/>
          <w:sz w:val="24"/>
          <w:szCs w:val="24"/>
          <w:lang w:val="es-ES"/>
        </w:rPr>
        <w:t>Las enmiendas que propone el P. del S. 92 permiten corregir conflictos de redacción, reorganizar disposiciones dispersas y evitar derogaciones tácitas provocadas por la aprobación de las Leyes 130-2024 y 195-2024. Estas leyes, aunque complementarias, modificaron secciones similares sin una integración uniforme del texto, lo cual ha generado confusión en la interpretación y aplicación de la política pública vigente.</w:t>
      </w:r>
    </w:p>
    <w:p w14:paraId="5FBFC395" w14:textId="01194B84" w:rsidR="39E180A0" w:rsidRPr="003E55D0" w:rsidRDefault="39E180A0" w:rsidP="3C3F330B">
      <w:pPr>
        <w:spacing w:before="240" w:after="240"/>
        <w:ind w:firstLine="720"/>
        <w:jc w:val="both"/>
        <w:rPr>
          <w:lang w:val="es-ES"/>
        </w:rPr>
      </w:pPr>
      <w:r w:rsidRPr="3C3F330B">
        <w:rPr>
          <w:rFonts w:ascii="Book Antiqua" w:eastAsia="Book Antiqua" w:hAnsi="Book Antiqua" w:cs="Book Antiqua"/>
          <w:sz w:val="24"/>
          <w:szCs w:val="24"/>
          <w:lang w:val="es-ES"/>
        </w:rPr>
        <w:t>De igual forma, esta Comisión reconoce que el proyecto mantiene in</w:t>
      </w:r>
      <w:r w:rsidR="6CE0DB60" w:rsidRPr="3C3F330B">
        <w:rPr>
          <w:rFonts w:ascii="Book Antiqua" w:eastAsia="Book Antiqua" w:hAnsi="Book Antiqua" w:cs="Book Antiqua"/>
          <w:sz w:val="24"/>
          <w:szCs w:val="24"/>
          <w:lang w:val="es-ES"/>
        </w:rPr>
        <w:t xml:space="preserve">alterada </w:t>
      </w:r>
      <w:r w:rsidRPr="3C3F330B">
        <w:rPr>
          <w:rFonts w:ascii="Book Antiqua" w:eastAsia="Book Antiqua" w:hAnsi="Book Antiqua" w:cs="Book Antiqua"/>
          <w:sz w:val="24"/>
          <w:szCs w:val="24"/>
          <w:lang w:val="es-ES"/>
        </w:rPr>
        <w:t xml:space="preserve">la estructura sustantiva de la política pública a favor de los adultos mayores, y no introduce </w:t>
      </w:r>
      <w:r w:rsidRPr="3C3F330B">
        <w:rPr>
          <w:rFonts w:ascii="Book Antiqua" w:eastAsia="Book Antiqua" w:hAnsi="Book Antiqua" w:cs="Book Antiqua"/>
          <w:sz w:val="24"/>
          <w:szCs w:val="24"/>
          <w:lang w:val="es-ES"/>
        </w:rPr>
        <w:lastRenderedPageBreak/>
        <w:t>cambios de fondo en los derechos establecidos</w:t>
      </w:r>
      <w:r w:rsidR="10B71E55" w:rsidRPr="3C3F330B">
        <w:rPr>
          <w:rFonts w:ascii="Book Antiqua" w:eastAsia="Book Antiqua" w:hAnsi="Book Antiqua" w:cs="Book Antiqua"/>
          <w:sz w:val="24"/>
          <w:szCs w:val="24"/>
          <w:lang w:val="es-ES"/>
        </w:rPr>
        <w:t xml:space="preserve">. Por ello, esta medida </w:t>
      </w:r>
      <w:r w:rsidRPr="3C3F330B">
        <w:rPr>
          <w:rFonts w:ascii="Book Antiqua" w:eastAsia="Book Antiqua" w:hAnsi="Book Antiqua" w:cs="Book Antiqua"/>
          <w:sz w:val="24"/>
          <w:szCs w:val="24"/>
          <w:lang w:val="es-ES"/>
        </w:rPr>
        <w:t>fortalece y armoniza los elementos ya reconocidos por la legislación vigente, reafirmando la intención del legislador.</w:t>
      </w:r>
    </w:p>
    <w:p w14:paraId="29441A53" w14:textId="3F6188A4" w:rsidR="39E180A0" w:rsidRDefault="39E180A0" w:rsidP="3C3F330B">
      <w:pPr>
        <w:spacing w:before="240" w:after="240"/>
        <w:ind w:firstLine="72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 xml:space="preserve">Esta Comisión ha considerado con detenimiento las recomendaciones ofrecidas por </w:t>
      </w:r>
      <w:r w:rsidR="1AD8E106" w:rsidRPr="3C3F330B">
        <w:rPr>
          <w:rFonts w:ascii="Book Antiqua" w:eastAsia="Book Antiqua" w:hAnsi="Book Antiqua" w:cs="Book Antiqua"/>
          <w:sz w:val="24"/>
          <w:szCs w:val="24"/>
          <w:lang w:val="es-ES"/>
        </w:rPr>
        <w:t>las agencias</w:t>
      </w:r>
      <w:r w:rsidRPr="3C3F330B">
        <w:rPr>
          <w:rFonts w:ascii="Book Antiqua" w:eastAsia="Book Antiqua" w:hAnsi="Book Antiqua" w:cs="Book Antiqua"/>
          <w:sz w:val="24"/>
          <w:szCs w:val="24"/>
          <w:lang w:val="es-ES"/>
        </w:rPr>
        <w:t>, y procede a aclarar lo siguiente</w:t>
      </w:r>
      <w:r w:rsidR="1DB13139" w:rsidRPr="3C3F330B">
        <w:rPr>
          <w:rFonts w:ascii="Book Antiqua" w:eastAsia="Book Antiqua" w:hAnsi="Book Antiqua" w:cs="Book Antiqua"/>
          <w:sz w:val="24"/>
          <w:szCs w:val="24"/>
          <w:lang w:val="es-ES"/>
        </w:rPr>
        <w:t xml:space="preserve"> en torno a las expresiones de la OPPEA</w:t>
      </w:r>
      <w:r w:rsidRPr="3C3F330B">
        <w:rPr>
          <w:rFonts w:ascii="Book Antiqua" w:eastAsia="Book Antiqua" w:hAnsi="Book Antiqua" w:cs="Book Antiqua"/>
          <w:sz w:val="24"/>
          <w:szCs w:val="24"/>
          <w:lang w:val="es-ES"/>
        </w:rPr>
        <w:t>:</w:t>
      </w:r>
    </w:p>
    <w:p w14:paraId="0118753E" w14:textId="6E634040" w:rsidR="679C725F" w:rsidRDefault="679C725F" w:rsidP="3C3F330B">
      <w:pPr>
        <w:pStyle w:val="ListParagraph"/>
        <w:numPr>
          <w:ilvl w:val="0"/>
          <w:numId w:val="1"/>
        </w:numPr>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 xml:space="preserve">La </w:t>
      </w:r>
      <w:r w:rsidR="39E180A0" w:rsidRPr="3C3F330B">
        <w:rPr>
          <w:rFonts w:ascii="Book Antiqua" w:eastAsia="Book Antiqua" w:hAnsi="Book Antiqua" w:cs="Book Antiqua"/>
          <w:sz w:val="24"/>
          <w:szCs w:val="24"/>
          <w:lang w:val="es-ES"/>
        </w:rPr>
        <w:t>OPPEA expresó reservas sobre el uso de la frase “persona a cargo del adulto mayor” en ausencia de vínculo legal formal. Esta Comisión entiende que la redacción propuesta en el Proyecto del Senado 92 es adecuada y balanceada, ya que establece responsabilidad únicamente para aquellas personas que ostenten un vínculo de custodia o responsabilidad jurídica, conforme a la intención legislativa original. No se interpreta que se imponga responsabilidad civil o penal a ciudadanos de buena fe sin designación formal. Por tanto, se reafirma el lenguaje del proyecto.</w:t>
      </w:r>
    </w:p>
    <w:p w14:paraId="29C0006F" w14:textId="74F5EC56" w:rsidR="3C3F330B" w:rsidRDefault="3C3F330B" w:rsidP="3C3F330B">
      <w:pPr>
        <w:pStyle w:val="ListParagraph"/>
        <w:spacing w:before="240" w:after="240"/>
        <w:jc w:val="both"/>
        <w:rPr>
          <w:rFonts w:ascii="Book Antiqua" w:eastAsia="Book Antiqua" w:hAnsi="Book Antiqua" w:cs="Book Antiqua"/>
          <w:sz w:val="24"/>
          <w:szCs w:val="24"/>
          <w:lang w:val="es-ES"/>
        </w:rPr>
      </w:pPr>
    </w:p>
    <w:p w14:paraId="77A72546" w14:textId="6A34220A" w:rsidR="12160960" w:rsidRDefault="12160960" w:rsidP="3C3F330B">
      <w:pPr>
        <w:pStyle w:val="ListParagraph"/>
        <w:numPr>
          <w:ilvl w:val="0"/>
          <w:numId w:val="1"/>
        </w:numPr>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Por otra parte, la</w:t>
      </w:r>
      <w:r w:rsidR="39E180A0" w:rsidRPr="3C3F330B">
        <w:rPr>
          <w:rFonts w:ascii="Book Antiqua" w:eastAsia="Book Antiqua" w:hAnsi="Book Antiqua" w:cs="Book Antiqua"/>
          <w:sz w:val="24"/>
          <w:szCs w:val="24"/>
          <w:lang w:val="es-ES"/>
        </w:rPr>
        <w:t xml:space="preserve"> OPPEA objeta la redacción contenida en el </w:t>
      </w:r>
      <w:r w:rsidR="64E6D5D3" w:rsidRPr="3C3F330B">
        <w:rPr>
          <w:rFonts w:ascii="Book Antiqua" w:eastAsia="Book Antiqua" w:hAnsi="Book Antiqua" w:cs="Book Antiqua"/>
          <w:sz w:val="24"/>
          <w:szCs w:val="24"/>
          <w:lang w:val="es-ES"/>
        </w:rPr>
        <w:t xml:space="preserve">Artículo 8, </w:t>
      </w:r>
      <w:r w:rsidR="39E180A0" w:rsidRPr="3C3F330B">
        <w:rPr>
          <w:rFonts w:ascii="Book Antiqua" w:eastAsia="Book Antiqua" w:hAnsi="Book Antiqua" w:cs="Book Antiqua"/>
          <w:sz w:val="24"/>
          <w:szCs w:val="24"/>
          <w:lang w:val="es-ES"/>
        </w:rPr>
        <w:t>inciso (g), relacionada a las posibles acciones civiles del Departamento de Justicia. Esta Comisión aclara que el Proyecto del Senado 92 no modifica el contenido sustantivo del inciso (g), sino que corrige una duplicidad de redacción al eliminar la mención innecesaria del “Departamento de Justicia”, ya que este ya figura dentro de la enumeración original del inciso. Es decir, no se trata de validar o rechazar el alcance jurídico de dicho inciso, sino de corregir un detalle técnico redundante.</w:t>
      </w:r>
    </w:p>
    <w:p w14:paraId="2FCB73D6" w14:textId="22C76C99" w:rsidR="3C3F330B" w:rsidRDefault="3C3F330B" w:rsidP="3C3F330B">
      <w:pPr>
        <w:pStyle w:val="ListParagraph"/>
        <w:spacing w:before="240" w:after="240"/>
        <w:jc w:val="both"/>
        <w:rPr>
          <w:rFonts w:ascii="Book Antiqua" w:eastAsia="Book Antiqua" w:hAnsi="Book Antiqua" w:cs="Book Antiqua"/>
          <w:sz w:val="24"/>
          <w:szCs w:val="24"/>
          <w:lang w:val="es-ES"/>
        </w:rPr>
      </w:pPr>
    </w:p>
    <w:p w14:paraId="7600C504" w14:textId="1898C97F" w:rsidR="39E180A0" w:rsidRDefault="39E180A0" w:rsidP="3C3F330B">
      <w:pPr>
        <w:pStyle w:val="ListParagraph"/>
        <w:spacing w:before="240" w:after="240"/>
        <w:jc w:val="both"/>
        <w:rPr>
          <w:rFonts w:ascii="Book Antiqua" w:eastAsia="Book Antiqua" w:hAnsi="Book Antiqua" w:cs="Book Antiqua"/>
          <w:sz w:val="24"/>
          <w:szCs w:val="24"/>
          <w:lang w:val="es-ES"/>
        </w:rPr>
      </w:pPr>
      <w:r w:rsidRPr="3C3F330B">
        <w:rPr>
          <w:rFonts w:ascii="Book Antiqua" w:eastAsia="Book Antiqua" w:hAnsi="Book Antiqua" w:cs="Book Antiqua"/>
          <w:sz w:val="24"/>
          <w:szCs w:val="24"/>
          <w:lang w:val="es-ES"/>
        </w:rPr>
        <w:t>En ese sentido, no se acoge la observación de OPPEA sobre el contenido sustantivo, ya que esta Comisión no ha solicitado ni recibido memoriales jurídicos que evalúen en profundidad la validez o alcance procesal del inciso. Alterarlo en este momento sería irresponsable y fuera del marco técnico del presente proyecto.</w:t>
      </w:r>
    </w:p>
    <w:p w14:paraId="3AB01C9B" w14:textId="2244779D" w:rsidR="39E180A0" w:rsidRDefault="39E180A0" w:rsidP="3C3F330B">
      <w:pPr>
        <w:spacing w:before="240" w:after="240"/>
        <w:jc w:val="both"/>
        <w:rPr>
          <w:rFonts w:ascii="Book Antiqua" w:eastAsia="Book Antiqua" w:hAnsi="Book Antiqua" w:cs="Book Antiqua"/>
          <w:b/>
          <w:bCs/>
          <w:sz w:val="24"/>
          <w:szCs w:val="24"/>
          <w:lang w:val="es-ES"/>
        </w:rPr>
      </w:pPr>
      <w:r w:rsidRPr="3C3F330B">
        <w:rPr>
          <w:rFonts w:ascii="Book Antiqua" w:eastAsia="Book Antiqua" w:hAnsi="Book Antiqua" w:cs="Book Antiqua"/>
          <w:sz w:val="24"/>
          <w:szCs w:val="24"/>
          <w:lang w:val="es-ES"/>
        </w:rPr>
        <w:t>Considerando que el Proyecto del Senado 92</w:t>
      </w:r>
      <w:r w:rsidR="05EABFEA" w:rsidRPr="3C3F330B">
        <w:rPr>
          <w:rFonts w:ascii="Book Antiqua" w:eastAsia="Book Antiqua" w:hAnsi="Book Antiqua" w:cs="Book Antiqua"/>
          <w:sz w:val="24"/>
          <w:szCs w:val="24"/>
          <w:lang w:val="es-ES"/>
        </w:rPr>
        <w:t xml:space="preserve"> r</w:t>
      </w:r>
      <w:r w:rsidRPr="3C3F330B">
        <w:rPr>
          <w:rFonts w:ascii="Book Antiqua" w:eastAsia="Book Antiqua" w:hAnsi="Book Antiqua" w:cs="Book Antiqua"/>
          <w:sz w:val="24"/>
          <w:szCs w:val="24"/>
          <w:lang w:val="es-ES"/>
        </w:rPr>
        <w:t>efuerza la intención legislativa original,</w:t>
      </w:r>
      <w:r w:rsidR="0C7D1743" w:rsidRPr="3C3F330B">
        <w:rPr>
          <w:rFonts w:ascii="Book Antiqua" w:eastAsia="Book Antiqua" w:hAnsi="Book Antiqua" w:cs="Book Antiqua"/>
          <w:sz w:val="24"/>
          <w:szCs w:val="24"/>
          <w:lang w:val="es-ES"/>
        </w:rPr>
        <w:t xml:space="preserve"> c</w:t>
      </w:r>
      <w:r w:rsidRPr="3C3F330B">
        <w:rPr>
          <w:rFonts w:ascii="Book Antiqua" w:eastAsia="Book Antiqua" w:hAnsi="Book Antiqua" w:cs="Book Antiqua"/>
          <w:sz w:val="24"/>
          <w:szCs w:val="24"/>
          <w:lang w:val="es-ES"/>
        </w:rPr>
        <w:t>orrige errores técnicos sin alterar el contenido sustantivo,</w:t>
      </w:r>
      <w:r w:rsidR="1A6811C5" w:rsidRPr="3C3F330B">
        <w:rPr>
          <w:rFonts w:ascii="Book Antiqua" w:eastAsia="Book Antiqua" w:hAnsi="Book Antiqua" w:cs="Book Antiqua"/>
          <w:sz w:val="24"/>
          <w:szCs w:val="24"/>
          <w:lang w:val="es-ES"/>
        </w:rPr>
        <w:t xml:space="preserve"> h</w:t>
      </w:r>
      <w:r w:rsidRPr="3C3F330B">
        <w:rPr>
          <w:rFonts w:ascii="Book Antiqua" w:eastAsia="Book Antiqua" w:hAnsi="Book Antiqua" w:cs="Book Antiqua"/>
          <w:sz w:val="24"/>
          <w:szCs w:val="24"/>
          <w:lang w:val="es-ES"/>
        </w:rPr>
        <w:t>a sido respaldado sin reservas por el Departamento de la Familia y el Departamento de Salud</w:t>
      </w:r>
      <w:r w:rsidR="074B15C0" w:rsidRPr="3C3F330B">
        <w:rPr>
          <w:rFonts w:ascii="Book Antiqua" w:eastAsia="Book Antiqua" w:hAnsi="Book Antiqua" w:cs="Book Antiqua"/>
          <w:sz w:val="24"/>
          <w:szCs w:val="24"/>
          <w:lang w:val="es-ES"/>
        </w:rPr>
        <w:t xml:space="preserve"> y</w:t>
      </w:r>
      <w:r w:rsidRPr="3C3F330B">
        <w:rPr>
          <w:rFonts w:ascii="Book Antiqua" w:eastAsia="Book Antiqua" w:hAnsi="Book Antiqua" w:cs="Book Antiqua"/>
          <w:sz w:val="24"/>
          <w:szCs w:val="24"/>
          <w:lang w:val="es-ES"/>
        </w:rPr>
        <w:t xml:space="preserve"> que las observaciones de OPPEA han sido atendidas o aclaradas conforme a su carácter técnico</w:t>
      </w:r>
      <w:r w:rsidR="544B8713" w:rsidRPr="3C3F330B">
        <w:rPr>
          <w:rFonts w:ascii="Book Antiqua" w:eastAsia="Book Antiqua" w:hAnsi="Book Antiqua" w:cs="Book Antiqua"/>
          <w:sz w:val="24"/>
          <w:szCs w:val="24"/>
          <w:lang w:val="es-ES"/>
        </w:rPr>
        <w:t xml:space="preserve"> </w:t>
      </w:r>
      <w:r w:rsidRPr="3C3F330B">
        <w:rPr>
          <w:rFonts w:ascii="Book Antiqua" w:eastAsia="Book Antiqua" w:hAnsi="Book Antiqua" w:cs="Book Antiqua"/>
          <w:sz w:val="24"/>
          <w:szCs w:val="24"/>
          <w:lang w:val="es-ES"/>
        </w:rPr>
        <w:t>esta Comisión recomienda la aprobación del Proyecto del Senado 92, sin enmiendas.</w:t>
      </w:r>
    </w:p>
    <w:p w14:paraId="691E7641" w14:textId="7B2745B9" w:rsidR="39E180A0" w:rsidRPr="003E55D0" w:rsidRDefault="39E180A0" w:rsidP="3C3F330B">
      <w:pPr>
        <w:spacing w:before="240" w:after="240"/>
        <w:ind w:firstLine="720"/>
        <w:jc w:val="both"/>
        <w:rPr>
          <w:lang w:val="es-ES"/>
        </w:rPr>
      </w:pPr>
      <w:r w:rsidRPr="3C3F330B">
        <w:rPr>
          <w:rFonts w:ascii="Book Antiqua" w:eastAsia="Book Antiqua" w:hAnsi="Book Antiqua" w:cs="Book Antiqua"/>
          <w:sz w:val="24"/>
          <w:szCs w:val="24"/>
          <w:lang w:val="es-ES"/>
        </w:rPr>
        <w:t>Con esta acción legislativa, se restaura la coherencia normativa de la Carta de Derechos del Adulto Mayor y se consolida un marco jurídico que permita una mejor implementación de los programas y servicios que garantizan la dignidad, protección y bienestar de esta población.</w:t>
      </w:r>
    </w:p>
    <w:p w14:paraId="25EC8531" w14:textId="736FE933" w:rsidR="5AA65BF5" w:rsidRDefault="5AA65BF5" w:rsidP="3C3F330B">
      <w:pPr>
        <w:ind w:firstLine="720"/>
        <w:jc w:val="both"/>
        <w:rPr>
          <w:rFonts w:ascii="Book Antiqua" w:eastAsia="Book Antiqua" w:hAnsi="Book Antiqua" w:cs="Book Antiqua"/>
          <w:color w:val="000000" w:themeColor="text1"/>
          <w:sz w:val="24"/>
          <w:szCs w:val="24"/>
          <w:lang w:val="es-ES"/>
        </w:rPr>
      </w:pPr>
      <w:r w:rsidRPr="3C3F330B">
        <w:rPr>
          <w:rFonts w:ascii="Book Antiqua" w:eastAsia="Book Antiqua" w:hAnsi="Book Antiqua" w:cs="Book Antiqua"/>
          <w:b/>
          <w:bCs/>
          <w:color w:val="000000" w:themeColor="text1"/>
          <w:sz w:val="24"/>
          <w:szCs w:val="24"/>
          <w:lang w:val="es-ES"/>
        </w:rPr>
        <w:lastRenderedPageBreak/>
        <w:t>POR TODO LO ANTES EXPUESTO</w:t>
      </w:r>
      <w:r w:rsidRPr="3C3F330B">
        <w:rPr>
          <w:rFonts w:ascii="Book Antiqua" w:eastAsia="Book Antiqua" w:hAnsi="Book Antiqua" w:cs="Book Antiqua"/>
          <w:color w:val="000000" w:themeColor="text1"/>
          <w:sz w:val="24"/>
          <w:szCs w:val="24"/>
          <w:lang w:val="es-ES"/>
        </w:rPr>
        <w:t>, l</w:t>
      </w:r>
      <w:r w:rsidRPr="3C3F330B">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3C3F330B">
        <w:rPr>
          <w:rFonts w:ascii="Book Antiqua" w:eastAsia="Book Antiqua" w:hAnsi="Book Antiqua" w:cs="Book Antiqua"/>
          <w:color w:val="000000" w:themeColor="text1"/>
          <w:sz w:val="24"/>
          <w:szCs w:val="24"/>
          <w:lang w:val="es-ES"/>
        </w:rPr>
        <w:t>, previo estudio y consideración, recomienda la aprobación del P. de</w:t>
      </w:r>
      <w:r w:rsidR="3FDF74A5" w:rsidRPr="3C3F330B">
        <w:rPr>
          <w:rFonts w:ascii="Book Antiqua" w:eastAsia="Book Antiqua" w:hAnsi="Book Antiqua" w:cs="Book Antiqua"/>
          <w:color w:val="000000" w:themeColor="text1"/>
          <w:sz w:val="24"/>
          <w:szCs w:val="24"/>
          <w:lang w:val="es-ES"/>
        </w:rPr>
        <w:t>l S</w:t>
      </w:r>
      <w:r w:rsidRPr="3C3F330B">
        <w:rPr>
          <w:rFonts w:ascii="Book Antiqua" w:eastAsia="Book Antiqua" w:hAnsi="Book Antiqua" w:cs="Book Antiqua"/>
          <w:color w:val="000000" w:themeColor="text1"/>
          <w:sz w:val="24"/>
          <w:szCs w:val="24"/>
          <w:lang w:val="es-ES"/>
        </w:rPr>
        <w:t xml:space="preserve">. </w:t>
      </w:r>
      <w:r w:rsidR="7A68AC07" w:rsidRPr="3C3F330B">
        <w:rPr>
          <w:rFonts w:ascii="Book Antiqua" w:eastAsia="Book Antiqua" w:hAnsi="Book Antiqua" w:cs="Book Antiqua"/>
          <w:color w:val="000000" w:themeColor="text1"/>
          <w:sz w:val="24"/>
          <w:szCs w:val="24"/>
          <w:lang w:val="es-ES"/>
        </w:rPr>
        <w:t>92</w:t>
      </w:r>
      <w:r w:rsidRPr="3C3F330B">
        <w:rPr>
          <w:rFonts w:ascii="Book Antiqua" w:eastAsia="Book Antiqua" w:hAnsi="Book Antiqua" w:cs="Book Antiqua"/>
          <w:color w:val="000000" w:themeColor="text1"/>
          <w:sz w:val="24"/>
          <w:szCs w:val="24"/>
          <w:lang w:val="es-ES"/>
        </w:rPr>
        <w:t xml:space="preserve">, </w:t>
      </w:r>
      <w:r w:rsidR="4AB3B5D8" w:rsidRPr="3C3F330B">
        <w:rPr>
          <w:rFonts w:ascii="Book Antiqua" w:eastAsia="Book Antiqua" w:hAnsi="Book Antiqua" w:cs="Book Antiqua"/>
          <w:color w:val="000000" w:themeColor="text1"/>
          <w:sz w:val="24"/>
          <w:szCs w:val="24"/>
          <w:lang w:val="es-ES"/>
        </w:rPr>
        <w:t xml:space="preserve">sin </w:t>
      </w:r>
      <w:r w:rsidRPr="3C3F330B">
        <w:rPr>
          <w:rFonts w:ascii="Book Antiqua" w:eastAsia="Book Antiqua" w:hAnsi="Book Antiqua" w:cs="Book Antiqua"/>
          <w:color w:val="000000" w:themeColor="text1"/>
          <w:sz w:val="24"/>
          <w:szCs w:val="24"/>
          <w:lang w:val="es-ES"/>
        </w:rPr>
        <w:t>enmiendas</w:t>
      </w:r>
      <w:r w:rsidR="1C51706B" w:rsidRPr="3C3F330B">
        <w:rPr>
          <w:rFonts w:ascii="Book Antiqua" w:eastAsia="Book Antiqua" w:hAnsi="Book Antiqua" w:cs="Book Antiqua"/>
          <w:color w:val="000000" w:themeColor="text1"/>
          <w:sz w:val="24"/>
          <w:szCs w:val="24"/>
          <w:lang w:val="es-ES"/>
        </w:rPr>
        <w:t xml:space="preserve">.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3C3F330B">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proofErr w:type="spellStart"/>
      <w:r w:rsidRPr="6FF13472">
        <w:rPr>
          <w:rFonts w:ascii="Book Antiqua" w:eastAsia="Book Antiqua" w:hAnsi="Book Antiqua" w:cs="Book Antiqua"/>
          <w:b/>
          <w:bCs/>
          <w:color w:val="000000" w:themeColor="text1"/>
          <w:sz w:val="24"/>
          <w:szCs w:val="24"/>
          <w:lang w:val="es-ES"/>
        </w:rPr>
        <w:t>Hon</w:t>
      </w:r>
      <w:proofErr w:type="spellEnd"/>
      <w:r w:rsidRPr="6FF13472">
        <w:rPr>
          <w:rFonts w:ascii="Book Antiqua" w:eastAsia="Book Antiqua" w:hAnsi="Book Antiqua" w:cs="Book Antiqua"/>
          <w:b/>
          <w:bCs/>
          <w:color w:val="000000" w:themeColor="text1"/>
          <w:sz w:val="24"/>
          <w:szCs w:val="24"/>
          <w:lang w:val="es-ES"/>
        </w:rPr>
        <w:t>.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FF13472">
        <w:rPr>
          <w:rFonts w:ascii="Book Antiqua" w:eastAsia="Book Antiqua" w:hAnsi="Book Antiqua" w:cs="Book Antiqua"/>
          <w:color w:val="000000" w:themeColor="text1"/>
          <w:sz w:val="24"/>
          <w:szCs w:val="24"/>
          <w:lang w:val="es-ES"/>
        </w:rPr>
        <w:t>Comisión de Adultos Mayores y Bienestar Social</w:t>
      </w:r>
    </w:p>
    <w:p w14:paraId="256541B5" w14:textId="7E35F8CE" w:rsidR="6FF13472" w:rsidRDefault="6FF13472" w:rsidP="6FF13472">
      <w:pPr>
        <w:spacing w:after="0" w:line="240" w:lineRule="auto"/>
        <w:rPr>
          <w:sz w:val="24"/>
          <w:szCs w:val="24"/>
          <w:lang w:val="es-PR"/>
        </w:rPr>
      </w:pPr>
    </w:p>
    <w:sectPr w:rsidR="6FF1347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FA21CF" w14:textId="77777777" w:rsidR="00AD1E96" w:rsidRDefault="00AD1E96" w:rsidP="002217BA">
      <w:pPr>
        <w:spacing w:after="0" w:line="240" w:lineRule="auto"/>
      </w:pPr>
      <w:r>
        <w:separator/>
      </w:r>
    </w:p>
  </w:endnote>
  <w:endnote w:type="continuationSeparator" w:id="0">
    <w:p w14:paraId="5840B8A6" w14:textId="77777777" w:rsidR="00AD1E96" w:rsidRDefault="00AD1E96"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6B58B9AE" w:rsidR="002217BA" w:rsidRPr="002217BA" w:rsidRDefault="3C3F330B" w:rsidP="3C3F330B">
    <w:pPr>
      <w:pStyle w:val="Footer"/>
      <w:pBdr>
        <w:top w:val="single" w:sz="4" w:space="1" w:color="000000"/>
        <w:bottom w:val="single" w:sz="4" w:space="1" w:color="000000"/>
      </w:pBdr>
      <w:jc w:val="center"/>
      <w:rPr>
        <w:rFonts w:ascii="Book Antiqua" w:hAnsi="Book Antiqua"/>
        <w:smallCaps/>
        <w:sz w:val="16"/>
        <w:szCs w:val="16"/>
        <w:lang w:val="es-PR"/>
      </w:rPr>
    </w:pPr>
    <w:r w:rsidRPr="3C3F330B">
      <w:rPr>
        <w:rFonts w:ascii="Book Antiqua" w:hAnsi="Book Antiqua"/>
        <w:smallCaps/>
        <w:sz w:val="16"/>
        <w:szCs w:val="16"/>
        <w:lang w:val="es-PR" w:eastAsia="es-PR"/>
      </w:rPr>
      <w:t xml:space="preserve">Informe Positivo P. del S. 92 | Comisión de Adultos Mayores y Bienestar Social|  </w:t>
    </w:r>
    <w:r w:rsidR="235409E1" w:rsidRPr="3C3F330B">
      <w:rPr>
        <w:rFonts w:ascii="Book Antiqua" w:hAnsi="Book Antiqua"/>
        <w:smallCaps/>
        <w:sz w:val="16"/>
        <w:szCs w:val="16"/>
        <w:lang w:val="es-PR"/>
      </w:rPr>
      <w:fldChar w:fldCharType="begin"/>
    </w:r>
    <w:r w:rsidR="235409E1" w:rsidRPr="3C3F330B">
      <w:rPr>
        <w:rFonts w:ascii="Book Antiqua" w:hAnsi="Book Antiqua"/>
        <w:smallCaps/>
        <w:sz w:val="16"/>
        <w:szCs w:val="16"/>
        <w:lang w:val="es-PR"/>
      </w:rPr>
      <w:instrText xml:space="preserve"> PAGE   \* MERGEFORMAT </w:instrText>
    </w:r>
    <w:r w:rsidR="235409E1" w:rsidRPr="3C3F330B">
      <w:rPr>
        <w:rFonts w:ascii="Book Antiqua" w:hAnsi="Book Antiqua"/>
        <w:smallCaps/>
        <w:sz w:val="16"/>
        <w:szCs w:val="16"/>
      </w:rPr>
      <w:fldChar w:fldCharType="separate"/>
    </w:r>
    <w:r w:rsidRPr="3C3F330B">
      <w:rPr>
        <w:rFonts w:ascii="Book Antiqua" w:hAnsi="Book Antiqua"/>
        <w:smallCaps/>
        <w:sz w:val="16"/>
        <w:szCs w:val="16"/>
        <w:lang w:val="es-PR"/>
      </w:rPr>
      <w:t>3</w:t>
    </w:r>
    <w:r w:rsidR="235409E1" w:rsidRPr="3C3F330B">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32E8" w14:textId="77777777" w:rsidR="00AD1E96" w:rsidRDefault="00AD1E96" w:rsidP="002217BA">
      <w:pPr>
        <w:spacing w:after="0" w:line="240" w:lineRule="auto"/>
      </w:pPr>
      <w:r>
        <w:separator/>
      </w:r>
    </w:p>
  </w:footnote>
  <w:footnote w:type="continuationSeparator" w:id="0">
    <w:p w14:paraId="629C442D" w14:textId="77777777" w:rsidR="00AD1E96" w:rsidRDefault="00AD1E96"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4B212"/>
    <w:multiLevelType w:val="hybridMultilevel"/>
    <w:tmpl w:val="4BFC7CE2"/>
    <w:lvl w:ilvl="0" w:tplc="58A2D4DE">
      <w:start w:val="1"/>
      <w:numFmt w:val="decimal"/>
      <w:lvlText w:val="%1."/>
      <w:lvlJc w:val="left"/>
      <w:pPr>
        <w:ind w:left="720" w:hanging="360"/>
      </w:pPr>
    </w:lvl>
    <w:lvl w:ilvl="1" w:tplc="C8DAF4CC">
      <w:start w:val="1"/>
      <w:numFmt w:val="lowerLetter"/>
      <w:lvlText w:val="%2."/>
      <w:lvlJc w:val="left"/>
      <w:pPr>
        <w:ind w:left="1440" w:hanging="360"/>
      </w:pPr>
    </w:lvl>
    <w:lvl w:ilvl="2" w:tplc="CC6834DA">
      <w:start w:val="1"/>
      <w:numFmt w:val="lowerRoman"/>
      <w:lvlText w:val="%3."/>
      <w:lvlJc w:val="right"/>
      <w:pPr>
        <w:ind w:left="2160" w:hanging="180"/>
      </w:pPr>
    </w:lvl>
    <w:lvl w:ilvl="3" w:tplc="F17CAD86">
      <w:start w:val="1"/>
      <w:numFmt w:val="decimal"/>
      <w:lvlText w:val="%4."/>
      <w:lvlJc w:val="left"/>
      <w:pPr>
        <w:ind w:left="2880" w:hanging="360"/>
      </w:pPr>
    </w:lvl>
    <w:lvl w:ilvl="4" w:tplc="773A603E">
      <w:start w:val="1"/>
      <w:numFmt w:val="lowerLetter"/>
      <w:lvlText w:val="%5."/>
      <w:lvlJc w:val="left"/>
      <w:pPr>
        <w:ind w:left="3600" w:hanging="360"/>
      </w:pPr>
    </w:lvl>
    <w:lvl w:ilvl="5" w:tplc="B5D098B4">
      <w:start w:val="1"/>
      <w:numFmt w:val="lowerRoman"/>
      <w:lvlText w:val="%6."/>
      <w:lvlJc w:val="right"/>
      <w:pPr>
        <w:ind w:left="4320" w:hanging="180"/>
      </w:pPr>
    </w:lvl>
    <w:lvl w:ilvl="6" w:tplc="9D8A36CA">
      <w:start w:val="1"/>
      <w:numFmt w:val="decimal"/>
      <w:lvlText w:val="%7."/>
      <w:lvlJc w:val="left"/>
      <w:pPr>
        <w:ind w:left="5040" w:hanging="360"/>
      </w:pPr>
    </w:lvl>
    <w:lvl w:ilvl="7" w:tplc="2E6649FA">
      <w:start w:val="1"/>
      <w:numFmt w:val="lowerLetter"/>
      <w:lvlText w:val="%8."/>
      <w:lvlJc w:val="left"/>
      <w:pPr>
        <w:ind w:left="5760" w:hanging="360"/>
      </w:pPr>
    </w:lvl>
    <w:lvl w:ilvl="8" w:tplc="8A86B6F8">
      <w:start w:val="1"/>
      <w:numFmt w:val="lowerRoman"/>
      <w:lvlText w:val="%9."/>
      <w:lvlJc w:val="right"/>
      <w:pPr>
        <w:ind w:left="6480" w:hanging="180"/>
      </w:pPr>
    </w:lvl>
  </w:abstractNum>
  <w:abstractNum w:abstractNumId="1"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2" w15:restartNumberingAfterBreak="0">
    <w:nsid w:val="1D1292B2"/>
    <w:multiLevelType w:val="hybridMultilevel"/>
    <w:tmpl w:val="8AA2CD2A"/>
    <w:lvl w:ilvl="0" w:tplc="522CE4CE">
      <w:start w:val="1"/>
      <w:numFmt w:val="decimal"/>
      <w:lvlText w:val="%1."/>
      <w:lvlJc w:val="left"/>
      <w:pPr>
        <w:ind w:left="720" w:hanging="360"/>
      </w:pPr>
    </w:lvl>
    <w:lvl w:ilvl="1" w:tplc="5824F02C">
      <w:start w:val="1"/>
      <w:numFmt w:val="lowerLetter"/>
      <w:lvlText w:val="%2."/>
      <w:lvlJc w:val="left"/>
      <w:pPr>
        <w:ind w:left="1440" w:hanging="360"/>
      </w:pPr>
    </w:lvl>
    <w:lvl w:ilvl="2" w:tplc="5A70FE80">
      <w:start w:val="1"/>
      <w:numFmt w:val="lowerRoman"/>
      <w:lvlText w:val="%3."/>
      <w:lvlJc w:val="right"/>
      <w:pPr>
        <w:ind w:left="2160" w:hanging="180"/>
      </w:pPr>
    </w:lvl>
    <w:lvl w:ilvl="3" w:tplc="1DA4A332">
      <w:start w:val="1"/>
      <w:numFmt w:val="decimal"/>
      <w:lvlText w:val="%4."/>
      <w:lvlJc w:val="left"/>
      <w:pPr>
        <w:ind w:left="2880" w:hanging="360"/>
      </w:pPr>
    </w:lvl>
    <w:lvl w:ilvl="4" w:tplc="1CD691C2">
      <w:start w:val="1"/>
      <w:numFmt w:val="lowerLetter"/>
      <w:lvlText w:val="%5."/>
      <w:lvlJc w:val="left"/>
      <w:pPr>
        <w:ind w:left="3600" w:hanging="360"/>
      </w:pPr>
    </w:lvl>
    <w:lvl w:ilvl="5" w:tplc="4BDA4D40">
      <w:start w:val="1"/>
      <w:numFmt w:val="lowerRoman"/>
      <w:lvlText w:val="%6."/>
      <w:lvlJc w:val="right"/>
      <w:pPr>
        <w:ind w:left="4320" w:hanging="180"/>
      </w:pPr>
    </w:lvl>
    <w:lvl w:ilvl="6" w:tplc="04848BEE">
      <w:start w:val="1"/>
      <w:numFmt w:val="decimal"/>
      <w:lvlText w:val="%7."/>
      <w:lvlJc w:val="left"/>
      <w:pPr>
        <w:ind w:left="5040" w:hanging="360"/>
      </w:pPr>
    </w:lvl>
    <w:lvl w:ilvl="7" w:tplc="CBCE1B64">
      <w:start w:val="1"/>
      <w:numFmt w:val="lowerLetter"/>
      <w:lvlText w:val="%8."/>
      <w:lvlJc w:val="left"/>
      <w:pPr>
        <w:ind w:left="5760" w:hanging="360"/>
      </w:pPr>
    </w:lvl>
    <w:lvl w:ilvl="8" w:tplc="18D886B6">
      <w:start w:val="1"/>
      <w:numFmt w:val="lowerRoman"/>
      <w:lvlText w:val="%9."/>
      <w:lvlJc w:val="right"/>
      <w:pPr>
        <w:ind w:left="6480" w:hanging="180"/>
      </w:pPr>
    </w:lvl>
  </w:abstractNum>
  <w:abstractNum w:abstractNumId="3"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5"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7"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0" w15:restartNumberingAfterBreak="0">
    <w:nsid w:val="47188FC6"/>
    <w:multiLevelType w:val="hybridMultilevel"/>
    <w:tmpl w:val="26BC6B5A"/>
    <w:lvl w:ilvl="0" w:tplc="D1149B78">
      <w:start w:val="1"/>
      <w:numFmt w:val="lowerLetter"/>
      <w:lvlText w:val="%1."/>
      <w:lvlJc w:val="left"/>
      <w:pPr>
        <w:ind w:left="720" w:hanging="360"/>
      </w:pPr>
    </w:lvl>
    <w:lvl w:ilvl="1" w:tplc="B6822F22">
      <w:start w:val="1"/>
      <w:numFmt w:val="lowerLetter"/>
      <w:lvlText w:val="%2."/>
      <w:lvlJc w:val="left"/>
      <w:pPr>
        <w:ind w:left="1440" w:hanging="360"/>
      </w:pPr>
    </w:lvl>
    <w:lvl w:ilvl="2" w:tplc="A88EEFC2">
      <w:start w:val="1"/>
      <w:numFmt w:val="lowerRoman"/>
      <w:lvlText w:val="%3."/>
      <w:lvlJc w:val="right"/>
      <w:pPr>
        <w:ind w:left="2160" w:hanging="180"/>
      </w:pPr>
    </w:lvl>
    <w:lvl w:ilvl="3" w:tplc="A710C476">
      <w:start w:val="1"/>
      <w:numFmt w:val="decimal"/>
      <w:lvlText w:val="%4."/>
      <w:lvlJc w:val="left"/>
      <w:pPr>
        <w:ind w:left="2880" w:hanging="360"/>
      </w:pPr>
    </w:lvl>
    <w:lvl w:ilvl="4" w:tplc="8B908608">
      <w:start w:val="1"/>
      <w:numFmt w:val="lowerLetter"/>
      <w:lvlText w:val="%5."/>
      <w:lvlJc w:val="left"/>
      <w:pPr>
        <w:ind w:left="3600" w:hanging="360"/>
      </w:pPr>
    </w:lvl>
    <w:lvl w:ilvl="5" w:tplc="8826B52A">
      <w:start w:val="1"/>
      <w:numFmt w:val="lowerRoman"/>
      <w:lvlText w:val="%6."/>
      <w:lvlJc w:val="right"/>
      <w:pPr>
        <w:ind w:left="4320" w:hanging="180"/>
      </w:pPr>
    </w:lvl>
    <w:lvl w:ilvl="6" w:tplc="A99AE210">
      <w:start w:val="1"/>
      <w:numFmt w:val="decimal"/>
      <w:lvlText w:val="%7."/>
      <w:lvlJc w:val="left"/>
      <w:pPr>
        <w:ind w:left="5040" w:hanging="360"/>
      </w:pPr>
    </w:lvl>
    <w:lvl w:ilvl="7" w:tplc="0764F94E">
      <w:start w:val="1"/>
      <w:numFmt w:val="lowerLetter"/>
      <w:lvlText w:val="%8."/>
      <w:lvlJc w:val="left"/>
      <w:pPr>
        <w:ind w:left="5760" w:hanging="360"/>
      </w:pPr>
    </w:lvl>
    <w:lvl w:ilvl="8" w:tplc="BA3C0EF2">
      <w:start w:val="1"/>
      <w:numFmt w:val="lowerRoman"/>
      <w:lvlText w:val="%9."/>
      <w:lvlJc w:val="right"/>
      <w:pPr>
        <w:ind w:left="6480" w:hanging="180"/>
      </w:pPr>
    </w:lvl>
  </w:abstractNum>
  <w:abstractNum w:abstractNumId="11"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635382E"/>
    <w:multiLevelType w:val="hybridMultilevel"/>
    <w:tmpl w:val="D18A4D42"/>
    <w:lvl w:ilvl="0" w:tplc="66E272E6">
      <w:start w:val="1"/>
      <w:numFmt w:val="bullet"/>
      <w:lvlText w:val=""/>
      <w:lvlJc w:val="left"/>
      <w:pPr>
        <w:ind w:left="720" w:hanging="360"/>
      </w:pPr>
      <w:rPr>
        <w:rFonts w:ascii="Symbol" w:hAnsi="Symbol" w:hint="default"/>
      </w:rPr>
    </w:lvl>
    <w:lvl w:ilvl="1" w:tplc="71788E3C">
      <w:start w:val="1"/>
      <w:numFmt w:val="bullet"/>
      <w:lvlText w:val="o"/>
      <w:lvlJc w:val="left"/>
      <w:pPr>
        <w:ind w:left="1440" w:hanging="360"/>
      </w:pPr>
      <w:rPr>
        <w:rFonts w:ascii="Courier New" w:hAnsi="Courier New" w:hint="default"/>
      </w:rPr>
    </w:lvl>
    <w:lvl w:ilvl="2" w:tplc="FC40AF68">
      <w:start w:val="1"/>
      <w:numFmt w:val="bullet"/>
      <w:lvlText w:val=""/>
      <w:lvlJc w:val="left"/>
      <w:pPr>
        <w:ind w:left="2160" w:hanging="360"/>
      </w:pPr>
      <w:rPr>
        <w:rFonts w:ascii="Wingdings" w:hAnsi="Wingdings" w:hint="default"/>
      </w:rPr>
    </w:lvl>
    <w:lvl w:ilvl="3" w:tplc="BFB4F9CC">
      <w:start w:val="1"/>
      <w:numFmt w:val="bullet"/>
      <w:lvlText w:val=""/>
      <w:lvlJc w:val="left"/>
      <w:pPr>
        <w:ind w:left="2880" w:hanging="360"/>
      </w:pPr>
      <w:rPr>
        <w:rFonts w:ascii="Symbol" w:hAnsi="Symbol" w:hint="default"/>
      </w:rPr>
    </w:lvl>
    <w:lvl w:ilvl="4" w:tplc="9F52B1B8">
      <w:start w:val="1"/>
      <w:numFmt w:val="bullet"/>
      <w:lvlText w:val="o"/>
      <w:lvlJc w:val="left"/>
      <w:pPr>
        <w:ind w:left="3600" w:hanging="360"/>
      </w:pPr>
      <w:rPr>
        <w:rFonts w:ascii="Courier New" w:hAnsi="Courier New" w:hint="default"/>
      </w:rPr>
    </w:lvl>
    <w:lvl w:ilvl="5" w:tplc="6816AD78">
      <w:start w:val="1"/>
      <w:numFmt w:val="bullet"/>
      <w:lvlText w:val=""/>
      <w:lvlJc w:val="left"/>
      <w:pPr>
        <w:ind w:left="4320" w:hanging="360"/>
      </w:pPr>
      <w:rPr>
        <w:rFonts w:ascii="Wingdings" w:hAnsi="Wingdings" w:hint="default"/>
      </w:rPr>
    </w:lvl>
    <w:lvl w:ilvl="6" w:tplc="75245A28">
      <w:start w:val="1"/>
      <w:numFmt w:val="bullet"/>
      <w:lvlText w:val=""/>
      <w:lvlJc w:val="left"/>
      <w:pPr>
        <w:ind w:left="5040" w:hanging="360"/>
      </w:pPr>
      <w:rPr>
        <w:rFonts w:ascii="Symbol" w:hAnsi="Symbol" w:hint="default"/>
      </w:rPr>
    </w:lvl>
    <w:lvl w:ilvl="7" w:tplc="05E45F1A">
      <w:start w:val="1"/>
      <w:numFmt w:val="bullet"/>
      <w:lvlText w:val="o"/>
      <w:lvlJc w:val="left"/>
      <w:pPr>
        <w:ind w:left="5760" w:hanging="360"/>
      </w:pPr>
      <w:rPr>
        <w:rFonts w:ascii="Courier New" w:hAnsi="Courier New" w:hint="default"/>
      </w:rPr>
    </w:lvl>
    <w:lvl w:ilvl="8" w:tplc="C600ABEA">
      <w:start w:val="1"/>
      <w:numFmt w:val="bullet"/>
      <w:lvlText w:val=""/>
      <w:lvlJc w:val="left"/>
      <w:pPr>
        <w:ind w:left="6480" w:hanging="360"/>
      </w:pPr>
      <w:rPr>
        <w:rFonts w:ascii="Wingdings" w:hAnsi="Wingdings" w:hint="default"/>
      </w:rPr>
    </w:lvl>
  </w:abstractNum>
  <w:num w:numId="1" w16cid:durableId="1892687039">
    <w:abstractNumId w:val="10"/>
  </w:num>
  <w:num w:numId="2" w16cid:durableId="121071635">
    <w:abstractNumId w:val="13"/>
  </w:num>
  <w:num w:numId="3" w16cid:durableId="1660764007">
    <w:abstractNumId w:val="2"/>
  </w:num>
  <w:num w:numId="4" w16cid:durableId="1830093357">
    <w:abstractNumId w:val="0"/>
  </w:num>
  <w:num w:numId="5" w16cid:durableId="1615363827">
    <w:abstractNumId w:val="4"/>
  </w:num>
  <w:num w:numId="6" w16cid:durableId="252666089">
    <w:abstractNumId w:val="1"/>
  </w:num>
  <w:num w:numId="7" w16cid:durableId="1765228413">
    <w:abstractNumId w:val="6"/>
  </w:num>
  <w:num w:numId="8" w16cid:durableId="1017661359">
    <w:abstractNumId w:val="9"/>
  </w:num>
  <w:num w:numId="9" w16cid:durableId="2035307679">
    <w:abstractNumId w:val="11"/>
  </w:num>
  <w:num w:numId="10" w16cid:durableId="1614704334">
    <w:abstractNumId w:val="8"/>
  </w:num>
  <w:num w:numId="11" w16cid:durableId="693963319">
    <w:abstractNumId w:val="5"/>
  </w:num>
  <w:num w:numId="12" w16cid:durableId="1360815836">
    <w:abstractNumId w:val="12"/>
  </w:num>
  <w:num w:numId="13" w16cid:durableId="1066226203">
    <w:abstractNumId w:val="3"/>
  </w:num>
  <w:num w:numId="14" w16cid:durableId="4454703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32F5D"/>
    <w:rsid w:val="00055BE5"/>
    <w:rsid w:val="0006747A"/>
    <w:rsid w:val="000817D5"/>
    <w:rsid w:val="000A28D4"/>
    <w:rsid w:val="000B22F5"/>
    <w:rsid w:val="00105432"/>
    <w:rsid w:val="00132EA1"/>
    <w:rsid w:val="001570ED"/>
    <w:rsid w:val="001579C5"/>
    <w:rsid w:val="00173B14"/>
    <w:rsid w:val="001C139B"/>
    <w:rsid w:val="001E558A"/>
    <w:rsid w:val="001E56E2"/>
    <w:rsid w:val="002217BA"/>
    <w:rsid w:val="002262C6"/>
    <w:rsid w:val="002438BA"/>
    <w:rsid w:val="00274F27"/>
    <w:rsid w:val="002A3090"/>
    <w:rsid w:val="00314B04"/>
    <w:rsid w:val="003178E1"/>
    <w:rsid w:val="00365275"/>
    <w:rsid w:val="0038433A"/>
    <w:rsid w:val="003A132E"/>
    <w:rsid w:val="003A6E5C"/>
    <w:rsid w:val="003E55D0"/>
    <w:rsid w:val="003E7904"/>
    <w:rsid w:val="004419C5"/>
    <w:rsid w:val="004714D3"/>
    <w:rsid w:val="00487B0E"/>
    <w:rsid w:val="004B262F"/>
    <w:rsid w:val="004C61E3"/>
    <w:rsid w:val="004E05EF"/>
    <w:rsid w:val="00504555"/>
    <w:rsid w:val="00537342"/>
    <w:rsid w:val="00582260"/>
    <w:rsid w:val="00593B10"/>
    <w:rsid w:val="005C7810"/>
    <w:rsid w:val="005E0030"/>
    <w:rsid w:val="005F59FE"/>
    <w:rsid w:val="00610533"/>
    <w:rsid w:val="0063670F"/>
    <w:rsid w:val="00657B19"/>
    <w:rsid w:val="006748E5"/>
    <w:rsid w:val="00681739"/>
    <w:rsid w:val="00681843"/>
    <w:rsid w:val="006A701D"/>
    <w:rsid w:val="006A7F2F"/>
    <w:rsid w:val="006C1EF8"/>
    <w:rsid w:val="00700385"/>
    <w:rsid w:val="0070345F"/>
    <w:rsid w:val="0071049F"/>
    <w:rsid w:val="007728D9"/>
    <w:rsid w:val="00785D10"/>
    <w:rsid w:val="007939DD"/>
    <w:rsid w:val="007C79D7"/>
    <w:rsid w:val="007F2465"/>
    <w:rsid w:val="00806783"/>
    <w:rsid w:val="00862A62"/>
    <w:rsid w:val="0089026A"/>
    <w:rsid w:val="008A03CB"/>
    <w:rsid w:val="0095525D"/>
    <w:rsid w:val="009D5D8E"/>
    <w:rsid w:val="00A06458"/>
    <w:rsid w:val="00A06866"/>
    <w:rsid w:val="00A32497"/>
    <w:rsid w:val="00A52CC7"/>
    <w:rsid w:val="00AB748A"/>
    <w:rsid w:val="00AB7F65"/>
    <w:rsid w:val="00ABE48F"/>
    <w:rsid w:val="00AC34BC"/>
    <w:rsid w:val="00AC76B8"/>
    <w:rsid w:val="00AD1E96"/>
    <w:rsid w:val="00AF1A22"/>
    <w:rsid w:val="00B55C7F"/>
    <w:rsid w:val="00B56938"/>
    <w:rsid w:val="00B75911"/>
    <w:rsid w:val="00B83661"/>
    <w:rsid w:val="00B84008"/>
    <w:rsid w:val="00BA7F2B"/>
    <w:rsid w:val="00BB187C"/>
    <w:rsid w:val="00BE40E8"/>
    <w:rsid w:val="00C00424"/>
    <w:rsid w:val="00C06313"/>
    <w:rsid w:val="00C33CD5"/>
    <w:rsid w:val="00C57C4A"/>
    <w:rsid w:val="00D01CA9"/>
    <w:rsid w:val="00D05709"/>
    <w:rsid w:val="00D21F6F"/>
    <w:rsid w:val="00D23D7F"/>
    <w:rsid w:val="00D34EC5"/>
    <w:rsid w:val="00D448D6"/>
    <w:rsid w:val="00D55328"/>
    <w:rsid w:val="00D94E98"/>
    <w:rsid w:val="00DC178C"/>
    <w:rsid w:val="00DD0955"/>
    <w:rsid w:val="00E27F0C"/>
    <w:rsid w:val="00E45B78"/>
    <w:rsid w:val="00E55046"/>
    <w:rsid w:val="00EE46B9"/>
    <w:rsid w:val="00EF004F"/>
    <w:rsid w:val="00F14B46"/>
    <w:rsid w:val="00F372C5"/>
    <w:rsid w:val="00F448AE"/>
    <w:rsid w:val="00F80692"/>
    <w:rsid w:val="00F853E4"/>
    <w:rsid w:val="00F912AF"/>
    <w:rsid w:val="013CE001"/>
    <w:rsid w:val="015856E3"/>
    <w:rsid w:val="02447600"/>
    <w:rsid w:val="03C5A055"/>
    <w:rsid w:val="03D38864"/>
    <w:rsid w:val="03FECE83"/>
    <w:rsid w:val="042AE4BA"/>
    <w:rsid w:val="044F7F01"/>
    <w:rsid w:val="04E3D826"/>
    <w:rsid w:val="04F5EC38"/>
    <w:rsid w:val="05A5364E"/>
    <w:rsid w:val="05EABFEA"/>
    <w:rsid w:val="062FB5AC"/>
    <w:rsid w:val="063CA91E"/>
    <w:rsid w:val="0671A48F"/>
    <w:rsid w:val="0691FEDA"/>
    <w:rsid w:val="06D07F15"/>
    <w:rsid w:val="06D0E459"/>
    <w:rsid w:val="074B15C0"/>
    <w:rsid w:val="07624F7D"/>
    <w:rsid w:val="0776C92B"/>
    <w:rsid w:val="0777153A"/>
    <w:rsid w:val="077F54AD"/>
    <w:rsid w:val="07806F4A"/>
    <w:rsid w:val="07BE686E"/>
    <w:rsid w:val="07DE6D87"/>
    <w:rsid w:val="084CE6B2"/>
    <w:rsid w:val="08A5DB2A"/>
    <w:rsid w:val="08BF34E8"/>
    <w:rsid w:val="091CC5D4"/>
    <w:rsid w:val="091FF7DD"/>
    <w:rsid w:val="09CBEC03"/>
    <w:rsid w:val="09FACF9C"/>
    <w:rsid w:val="0A09550D"/>
    <w:rsid w:val="0A42B947"/>
    <w:rsid w:val="0AC7D194"/>
    <w:rsid w:val="0B0D6C07"/>
    <w:rsid w:val="0B3CC48B"/>
    <w:rsid w:val="0B9F6E07"/>
    <w:rsid w:val="0BBD6916"/>
    <w:rsid w:val="0C628C0D"/>
    <w:rsid w:val="0C7D1743"/>
    <w:rsid w:val="0CA06FE1"/>
    <w:rsid w:val="0CC9A28D"/>
    <w:rsid w:val="0CFF0C09"/>
    <w:rsid w:val="0D1B5A63"/>
    <w:rsid w:val="0D5E0153"/>
    <w:rsid w:val="0D9DC30D"/>
    <w:rsid w:val="0DFDCF95"/>
    <w:rsid w:val="0E3196A5"/>
    <w:rsid w:val="0E4637C4"/>
    <w:rsid w:val="0E6916B6"/>
    <w:rsid w:val="0E877F1C"/>
    <w:rsid w:val="0EFC7200"/>
    <w:rsid w:val="0F03218A"/>
    <w:rsid w:val="0F1C4C2C"/>
    <w:rsid w:val="0FBD6745"/>
    <w:rsid w:val="0FD65BE4"/>
    <w:rsid w:val="10265151"/>
    <w:rsid w:val="107185C0"/>
    <w:rsid w:val="10AADCF3"/>
    <w:rsid w:val="10B71E55"/>
    <w:rsid w:val="110DA5D7"/>
    <w:rsid w:val="1127C5A7"/>
    <w:rsid w:val="11E7B8C8"/>
    <w:rsid w:val="11F83E7A"/>
    <w:rsid w:val="11FCBD3B"/>
    <w:rsid w:val="12160960"/>
    <w:rsid w:val="1226C29A"/>
    <w:rsid w:val="125B66D3"/>
    <w:rsid w:val="12A6ADAD"/>
    <w:rsid w:val="12B76EDD"/>
    <w:rsid w:val="13C7DE0E"/>
    <w:rsid w:val="13D839A9"/>
    <w:rsid w:val="14397E65"/>
    <w:rsid w:val="14671FCB"/>
    <w:rsid w:val="14B4F5B5"/>
    <w:rsid w:val="157CA0FA"/>
    <w:rsid w:val="15E49EB4"/>
    <w:rsid w:val="15F2DD9F"/>
    <w:rsid w:val="166B93A3"/>
    <w:rsid w:val="169EE01C"/>
    <w:rsid w:val="170EFBB6"/>
    <w:rsid w:val="172BA8AE"/>
    <w:rsid w:val="177BEC83"/>
    <w:rsid w:val="17848876"/>
    <w:rsid w:val="18020E63"/>
    <w:rsid w:val="1869C106"/>
    <w:rsid w:val="1876E338"/>
    <w:rsid w:val="18AA7AD0"/>
    <w:rsid w:val="193A64A3"/>
    <w:rsid w:val="19A14AD0"/>
    <w:rsid w:val="19A9B7C0"/>
    <w:rsid w:val="19BF234B"/>
    <w:rsid w:val="19DFAC51"/>
    <w:rsid w:val="19FFA72C"/>
    <w:rsid w:val="1A22E7B1"/>
    <w:rsid w:val="1A6811C5"/>
    <w:rsid w:val="1AA2C4B1"/>
    <w:rsid w:val="1AD8E106"/>
    <w:rsid w:val="1B456265"/>
    <w:rsid w:val="1BA2B19B"/>
    <w:rsid w:val="1BA903C0"/>
    <w:rsid w:val="1BC0F9E4"/>
    <w:rsid w:val="1C13D7CF"/>
    <w:rsid w:val="1C51706B"/>
    <w:rsid w:val="1CF9E3AC"/>
    <w:rsid w:val="1D1FB8DE"/>
    <w:rsid w:val="1D34ED6B"/>
    <w:rsid w:val="1D3B4D96"/>
    <w:rsid w:val="1D557D0D"/>
    <w:rsid w:val="1DB13139"/>
    <w:rsid w:val="1E2ED4F7"/>
    <w:rsid w:val="1E7F7AC1"/>
    <w:rsid w:val="1EDACF18"/>
    <w:rsid w:val="1F1079A7"/>
    <w:rsid w:val="1F2C255B"/>
    <w:rsid w:val="1F4C1321"/>
    <w:rsid w:val="1F80883D"/>
    <w:rsid w:val="1F92D6DE"/>
    <w:rsid w:val="1FDCBF5D"/>
    <w:rsid w:val="20535257"/>
    <w:rsid w:val="20658D74"/>
    <w:rsid w:val="208D29ED"/>
    <w:rsid w:val="208F9C49"/>
    <w:rsid w:val="208FF705"/>
    <w:rsid w:val="20AAC15E"/>
    <w:rsid w:val="20F9CC0D"/>
    <w:rsid w:val="212389CC"/>
    <w:rsid w:val="212B04FA"/>
    <w:rsid w:val="2142556C"/>
    <w:rsid w:val="21444478"/>
    <w:rsid w:val="2165C785"/>
    <w:rsid w:val="218CF4EE"/>
    <w:rsid w:val="21C69DAD"/>
    <w:rsid w:val="226F9D00"/>
    <w:rsid w:val="22908C98"/>
    <w:rsid w:val="22A6DFBC"/>
    <w:rsid w:val="22CAFFF4"/>
    <w:rsid w:val="231443D0"/>
    <w:rsid w:val="2352B3A1"/>
    <w:rsid w:val="235409E1"/>
    <w:rsid w:val="2366A448"/>
    <w:rsid w:val="23DE8884"/>
    <w:rsid w:val="251B7F9B"/>
    <w:rsid w:val="254B6096"/>
    <w:rsid w:val="2568663B"/>
    <w:rsid w:val="257FD5A3"/>
    <w:rsid w:val="25B578F3"/>
    <w:rsid w:val="25CDACF7"/>
    <w:rsid w:val="25E2FE34"/>
    <w:rsid w:val="25E93340"/>
    <w:rsid w:val="260E2F1A"/>
    <w:rsid w:val="2616C2F7"/>
    <w:rsid w:val="268212CC"/>
    <w:rsid w:val="268EF85E"/>
    <w:rsid w:val="26A5FD3D"/>
    <w:rsid w:val="26F9C957"/>
    <w:rsid w:val="270858E6"/>
    <w:rsid w:val="2732C53E"/>
    <w:rsid w:val="27429B21"/>
    <w:rsid w:val="2744AB3B"/>
    <w:rsid w:val="27576F6A"/>
    <w:rsid w:val="2769189C"/>
    <w:rsid w:val="288328D8"/>
    <w:rsid w:val="28867886"/>
    <w:rsid w:val="28B1CCFD"/>
    <w:rsid w:val="28B4DA70"/>
    <w:rsid w:val="28CF4036"/>
    <w:rsid w:val="290EBA55"/>
    <w:rsid w:val="29176A65"/>
    <w:rsid w:val="29B6FF06"/>
    <w:rsid w:val="29C397B9"/>
    <w:rsid w:val="2A6BDEDE"/>
    <w:rsid w:val="2AA8CB9C"/>
    <w:rsid w:val="2AEFDE95"/>
    <w:rsid w:val="2B1FED60"/>
    <w:rsid w:val="2B3A0338"/>
    <w:rsid w:val="2B5E7B28"/>
    <w:rsid w:val="2B6B17F8"/>
    <w:rsid w:val="2BAC9545"/>
    <w:rsid w:val="2BCEA953"/>
    <w:rsid w:val="2BD65175"/>
    <w:rsid w:val="2C0C28DE"/>
    <w:rsid w:val="2C187E11"/>
    <w:rsid w:val="2C5AE9CE"/>
    <w:rsid w:val="2C6C7CF9"/>
    <w:rsid w:val="2CE0BACF"/>
    <w:rsid w:val="2D0DB5C2"/>
    <w:rsid w:val="2D40D935"/>
    <w:rsid w:val="2D4EC098"/>
    <w:rsid w:val="2DA53E1F"/>
    <w:rsid w:val="2DC1D6A8"/>
    <w:rsid w:val="2DDEBE7B"/>
    <w:rsid w:val="2E16434C"/>
    <w:rsid w:val="2EAAD08C"/>
    <w:rsid w:val="2F060C24"/>
    <w:rsid w:val="2F3AE852"/>
    <w:rsid w:val="2F629732"/>
    <w:rsid w:val="2F7C3246"/>
    <w:rsid w:val="2FEA878D"/>
    <w:rsid w:val="301EAE11"/>
    <w:rsid w:val="30625ABF"/>
    <w:rsid w:val="30748036"/>
    <w:rsid w:val="309486B1"/>
    <w:rsid w:val="30CDCC27"/>
    <w:rsid w:val="317125E1"/>
    <w:rsid w:val="317CC9EF"/>
    <w:rsid w:val="318677B8"/>
    <w:rsid w:val="31AAEABD"/>
    <w:rsid w:val="31CE0BF7"/>
    <w:rsid w:val="322C54F1"/>
    <w:rsid w:val="3243BBA7"/>
    <w:rsid w:val="324DB745"/>
    <w:rsid w:val="32657676"/>
    <w:rsid w:val="326BDE6A"/>
    <w:rsid w:val="32B3CA81"/>
    <w:rsid w:val="32DEC23E"/>
    <w:rsid w:val="33187FD0"/>
    <w:rsid w:val="335FA477"/>
    <w:rsid w:val="344ADC5E"/>
    <w:rsid w:val="34B6CE03"/>
    <w:rsid w:val="35276A8D"/>
    <w:rsid w:val="3562A206"/>
    <w:rsid w:val="35FA587B"/>
    <w:rsid w:val="35FC53BE"/>
    <w:rsid w:val="364AF922"/>
    <w:rsid w:val="3655634D"/>
    <w:rsid w:val="366CCEB2"/>
    <w:rsid w:val="3709B360"/>
    <w:rsid w:val="373DB0FF"/>
    <w:rsid w:val="374C6860"/>
    <w:rsid w:val="375981B8"/>
    <w:rsid w:val="37CC2D4E"/>
    <w:rsid w:val="3852720D"/>
    <w:rsid w:val="38CE8F6B"/>
    <w:rsid w:val="38F5590F"/>
    <w:rsid w:val="38F75B28"/>
    <w:rsid w:val="393593EE"/>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481CB7"/>
    <w:rsid w:val="3D549577"/>
    <w:rsid w:val="3DAAAAD4"/>
    <w:rsid w:val="3DE0F1B1"/>
    <w:rsid w:val="3DF71E26"/>
    <w:rsid w:val="3DFC61B2"/>
    <w:rsid w:val="3E1082A8"/>
    <w:rsid w:val="3E89A1F8"/>
    <w:rsid w:val="3EB1960B"/>
    <w:rsid w:val="3EF47092"/>
    <w:rsid w:val="3EF77D54"/>
    <w:rsid w:val="3F311607"/>
    <w:rsid w:val="3F45AD49"/>
    <w:rsid w:val="3FD3750A"/>
    <w:rsid w:val="3FD3C005"/>
    <w:rsid w:val="3FD54383"/>
    <w:rsid w:val="3FDB8723"/>
    <w:rsid w:val="3FDF74A5"/>
    <w:rsid w:val="3FE59A2E"/>
    <w:rsid w:val="400BEE9C"/>
    <w:rsid w:val="402484DA"/>
    <w:rsid w:val="40721190"/>
    <w:rsid w:val="415340F6"/>
    <w:rsid w:val="41A669DB"/>
    <w:rsid w:val="422B48E3"/>
    <w:rsid w:val="423A3A65"/>
    <w:rsid w:val="42704D99"/>
    <w:rsid w:val="42CC4036"/>
    <w:rsid w:val="42FD330A"/>
    <w:rsid w:val="430DF873"/>
    <w:rsid w:val="4363F2C2"/>
    <w:rsid w:val="436FBBC7"/>
    <w:rsid w:val="450929BA"/>
    <w:rsid w:val="4514BBCD"/>
    <w:rsid w:val="4581F709"/>
    <w:rsid w:val="45FF30C2"/>
    <w:rsid w:val="46017C86"/>
    <w:rsid w:val="4608A30B"/>
    <w:rsid w:val="465C2352"/>
    <w:rsid w:val="46F665C6"/>
    <w:rsid w:val="472BEC80"/>
    <w:rsid w:val="473B2049"/>
    <w:rsid w:val="4798FCF3"/>
    <w:rsid w:val="47CAA443"/>
    <w:rsid w:val="47DE214B"/>
    <w:rsid w:val="484368B1"/>
    <w:rsid w:val="487D87F1"/>
    <w:rsid w:val="488C7342"/>
    <w:rsid w:val="4891C8A8"/>
    <w:rsid w:val="489BEC5D"/>
    <w:rsid w:val="4904BF08"/>
    <w:rsid w:val="495E8B23"/>
    <w:rsid w:val="4A2B8946"/>
    <w:rsid w:val="4A72C771"/>
    <w:rsid w:val="4AB3B5D8"/>
    <w:rsid w:val="4AE00000"/>
    <w:rsid w:val="4B189145"/>
    <w:rsid w:val="4B638507"/>
    <w:rsid w:val="4B7102D6"/>
    <w:rsid w:val="4B8327FA"/>
    <w:rsid w:val="4C5BA3F5"/>
    <w:rsid w:val="4CB0DD1C"/>
    <w:rsid w:val="4D65BD8D"/>
    <w:rsid w:val="4D69A417"/>
    <w:rsid w:val="4D8EE8AA"/>
    <w:rsid w:val="4D914873"/>
    <w:rsid w:val="4D9EBFCD"/>
    <w:rsid w:val="4D9F2866"/>
    <w:rsid w:val="4DA00F8A"/>
    <w:rsid w:val="4DACC506"/>
    <w:rsid w:val="4DEC1779"/>
    <w:rsid w:val="4E1C9E11"/>
    <w:rsid w:val="4EFC05C2"/>
    <w:rsid w:val="4F134215"/>
    <w:rsid w:val="4F1C02A0"/>
    <w:rsid w:val="4F570235"/>
    <w:rsid w:val="4F9952FD"/>
    <w:rsid w:val="4FC3534C"/>
    <w:rsid w:val="5008AA88"/>
    <w:rsid w:val="50A81DC3"/>
    <w:rsid w:val="50B97493"/>
    <w:rsid w:val="51498ACB"/>
    <w:rsid w:val="51883FA2"/>
    <w:rsid w:val="51950401"/>
    <w:rsid w:val="51A79CFD"/>
    <w:rsid w:val="5201CF97"/>
    <w:rsid w:val="5215195A"/>
    <w:rsid w:val="521DA05B"/>
    <w:rsid w:val="525C522A"/>
    <w:rsid w:val="52D23866"/>
    <w:rsid w:val="530FD531"/>
    <w:rsid w:val="531AD7DC"/>
    <w:rsid w:val="5323A7C8"/>
    <w:rsid w:val="533236B5"/>
    <w:rsid w:val="5342AFCD"/>
    <w:rsid w:val="53461B49"/>
    <w:rsid w:val="5349914D"/>
    <w:rsid w:val="537A4F85"/>
    <w:rsid w:val="53D0D8FB"/>
    <w:rsid w:val="53DC35DE"/>
    <w:rsid w:val="5431A0DE"/>
    <w:rsid w:val="544B8713"/>
    <w:rsid w:val="544D024E"/>
    <w:rsid w:val="547FF2E8"/>
    <w:rsid w:val="54C17038"/>
    <w:rsid w:val="5505C0C9"/>
    <w:rsid w:val="5515EAA7"/>
    <w:rsid w:val="55170ABD"/>
    <w:rsid w:val="5533C632"/>
    <w:rsid w:val="554AF5FD"/>
    <w:rsid w:val="5554416D"/>
    <w:rsid w:val="5555064C"/>
    <w:rsid w:val="555C7DA0"/>
    <w:rsid w:val="55C13273"/>
    <w:rsid w:val="55C50F65"/>
    <w:rsid w:val="55D935A8"/>
    <w:rsid w:val="568C7F9A"/>
    <w:rsid w:val="568E8BA5"/>
    <w:rsid w:val="56AD813B"/>
    <w:rsid w:val="56F82E87"/>
    <w:rsid w:val="576F88F2"/>
    <w:rsid w:val="57769543"/>
    <w:rsid w:val="577C05C7"/>
    <w:rsid w:val="57F5604C"/>
    <w:rsid w:val="58A8938E"/>
    <w:rsid w:val="58BD3924"/>
    <w:rsid w:val="58CEFABF"/>
    <w:rsid w:val="58D16C49"/>
    <w:rsid w:val="59642F1D"/>
    <w:rsid w:val="59BDF066"/>
    <w:rsid w:val="5A19665C"/>
    <w:rsid w:val="5AA65BF5"/>
    <w:rsid w:val="5AE15010"/>
    <w:rsid w:val="5B0FF988"/>
    <w:rsid w:val="5B30958F"/>
    <w:rsid w:val="5BCAAFFD"/>
    <w:rsid w:val="5C064D0D"/>
    <w:rsid w:val="5C10F2F3"/>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99115"/>
    <w:rsid w:val="5EF8E719"/>
    <w:rsid w:val="5F59D0A0"/>
    <w:rsid w:val="5F950882"/>
    <w:rsid w:val="5FB5B905"/>
    <w:rsid w:val="5FBA6EDE"/>
    <w:rsid w:val="60235716"/>
    <w:rsid w:val="603EFD50"/>
    <w:rsid w:val="607709E0"/>
    <w:rsid w:val="607FF08A"/>
    <w:rsid w:val="60E08BD1"/>
    <w:rsid w:val="612D53D5"/>
    <w:rsid w:val="614BDB29"/>
    <w:rsid w:val="61F27890"/>
    <w:rsid w:val="61F81E59"/>
    <w:rsid w:val="62243A20"/>
    <w:rsid w:val="6245C5E8"/>
    <w:rsid w:val="629E0A11"/>
    <w:rsid w:val="62BA876E"/>
    <w:rsid w:val="62CFDC95"/>
    <w:rsid w:val="6303C9CA"/>
    <w:rsid w:val="6376C0DC"/>
    <w:rsid w:val="6384FF44"/>
    <w:rsid w:val="64211C30"/>
    <w:rsid w:val="64347793"/>
    <w:rsid w:val="648800F8"/>
    <w:rsid w:val="649371A3"/>
    <w:rsid w:val="64A3CA24"/>
    <w:rsid w:val="64E6D5D3"/>
    <w:rsid w:val="652FB1DD"/>
    <w:rsid w:val="66F676C0"/>
    <w:rsid w:val="6738E4B1"/>
    <w:rsid w:val="679C725F"/>
    <w:rsid w:val="67A97ED7"/>
    <w:rsid w:val="68158FD0"/>
    <w:rsid w:val="682FB0CC"/>
    <w:rsid w:val="688FA620"/>
    <w:rsid w:val="69B16CE6"/>
    <w:rsid w:val="69D16EFA"/>
    <w:rsid w:val="69D481CA"/>
    <w:rsid w:val="69D66CB4"/>
    <w:rsid w:val="69E9D58A"/>
    <w:rsid w:val="6A14D8C6"/>
    <w:rsid w:val="6A359768"/>
    <w:rsid w:val="6A44BC5B"/>
    <w:rsid w:val="6A676044"/>
    <w:rsid w:val="6AB1D07F"/>
    <w:rsid w:val="6AE22775"/>
    <w:rsid w:val="6AF2D842"/>
    <w:rsid w:val="6AFBF2F0"/>
    <w:rsid w:val="6B0B731C"/>
    <w:rsid w:val="6B55846E"/>
    <w:rsid w:val="6BA8D72E"/>
    <w:rsid w:val="6BD74930"/>
    <w:rsid w:val="6C0E5F36"/>
    <w:rsid w:val="6C64A149"/>
    <w:rsid w:val="6CD24CC6"/>
    <w:rsid w:val="6CE0DB60"/>
    <w:rsid w:val="6DA764A9"/>
    <w:rsid w:val="6DD714CD"/>
    <w:rsid w:val="6DD99E28"/>
    <w:rsid w:val="6E213C25"/>
    <w:rsid w:val="6E33A8A6"/>
    <w:rsid w:val="6E5150D3"/>
    <w:rsid w:val="6E61B8DB"/>
    <w:rsid w:val="6E6689F2"/>
    <w:rsid w:val="6E6B73DB"/>
    <w:rsid w:val="6EE2A9E9"/>
    <w:rsid w:val="6F17072D"/>
    <w:rsid w:val="6F9BA1DF"/>
    <w:rsid w:val="6FABB1A0"/>
    <w:rsid w:val="6FE376EA"/>
    <w:rsid w:val="6FF13472"/>
    <w:rsid w:val="702BF66E"/>
    <w:rsid w:val="7092434D"/>
    <w:rsid w:val="717779C3"/>
    <w:rsid w:val="717A5565"/>
    <w:rsid w:val="71AA601B"/>
    <w:rsid w:val="71B5276D"/>
    <w:rsid w:val="72394CB3"/>
    <w:rsid w:val="7295948B"/>
    <w:rsid w:val="72CA3FD2"/>
    <w:rsid w:val="72F22D11"/>
    <w:rsid w:val="73134CA4"/>
    <w:rsid w:val="731D2ABB"/>
    <w:rsid w:val="733E28D8"/>
    <w:rsid w:val="73CF573C"/>
    <w:rsid w:val="7448C91B"/>
    <w:rsid w:val="749C79C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DB36EE"/>
    <w:rsid w:val="795D2D7D"/>
    <w:rsid w:val="79643C45"/>
    <w:rsid w:val="79A6D230"/>
    <w:rsid w:val="7A1006A3"/>
    <w:rsid w:val="7A148951"/>
    <w:rsid w:val="7A3FFF29"/>
    <w:rsid w:val="7A45F714"/>
    <w:rsid w:val="7A68AC07"/>
    <w:rsid w:val="7AB10192"/>
    <w:rsid w:val="7AEDBD43"/>
    <w:rsid w:val="7AF562E3"/>
    <w:rsid w:val="7B5282F5"/>
    <w:rsid w:val="7B8326C2"/>
    <w:rsid w:val="7B9757E5"/>
    <w:rsid w:val="7BAEB786"/>
    <w:rsid w:val="7BB23823"/>
    <w:rsid w:val="7BB7B4B7"/>
    <w:rsid w:val="7BCC939D"/>
    <w:rsid w:val="7CB2320C"/>
    <w:rsid w:val="7CC7DA7A"/>
    <w:rsid w:val="7D59C3EE"/>
    <w:rsid w:val="7D6B7978"/>
    <w:rsid w:val="7D728C48"/>
    <w:rsid w:val="7D8826DD"/>
    <w:rsid w:val="7DF146AA"/>
    <w:rsid w:val="7E254174"/>
    <w:rsid w:val="7E6376DF"/>
    <w:rsid w:val="7E76212F"/>
    <w:rsid w:val="7E817974"/>
    <w:rsid w:val="7E862D56"/>
    <w:rsid w:val="7EB42200"/>
    <w:rsid w:val="7F0F9E0A"/>
    <w:rsid w:val="7FFB1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176C98EE-837E-4657-A494-51B12E4C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2175</Words>
  <Characters>12401</Characters>
  <Application>Microsoft Office Word</Application>
  <DocSecurity>4</DocSecurity>
  <Lines>103</Lines>
  <Paragraphs>29</Paragraphs>
  <ScaleCrop>false</ScaleCrop>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2023-09-05T14:52:00Z</cp:lastPrinted>
  <dcterms:created xsi:type="dcterms:W3CDTF">2025-04-24T18:29:00Z</dcterms:created>
  <dcterms:modified xsi:type="dcterms:W3CDTF">2025-04-24T18:29:00Z</dcterms:modified>
</cp:coreProperties>
</file>