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FC302" w14:textId="77777777" w:rsidR="00182A6B" w:rsidRPr="00182A6B" w:rsidRDefault="00182A6B" w:rsidP="00182A6B">
      <w:pPr>
        <w:jc w:val="center"/>
        <w:rPr>
          <w:rFonts w:ascii="Book Antiqua" w:eastAsia="Times New Roman" w:hAnsi="Book Antiqua"/>
          <w:b/>
          <w:bCs/>
          <w:szCs w:val="24"/>
          <w:lang w:val="es-PR"/>
        </w:rPr>
      </w:pPr>
      <w:bookmarkStart w:id="0" w:name="_Hlk138253982"/>
      <w:r w:rsidRPr="00182A6B">
        <w:rPr>
          <w:rFonts w:ascii="Book Antiqua" w:eastAsia="Times New Roman" w:hAnsi="Book Antiqua"/>
          <w:b/>
          <w:bCs/>
          <w:szCs w:val="24"/>
          <w:lang w:val="es-PR"/>
        </w:rPr>
        <w:t>(TEXTO DE APROBACIÓN FINAL POR LA CÁMARA)</w:t>
      </w:r>
      <w:r w:rsidRPr="00182A6B">
        <w:rPr>
          <w:rFonts w:ascii="Book Antiqua" w:eastAsia="Times New Roman" w:hAnsi="Book Antiqua"/>
          <w:b/>
          <w:bCs/>
          <w:szCs w:val="24"/>
        </w:rPr>
        <w:fldChar w:fldCharType="begin"/>
      </w:r>
      <w:r w:rsidRPr="00182A6B">
        <w:rPr>
          <w:rFonts w:ascii="Book Antiqua" w:eastAsia="Times New Roman" w:hAnsi="Book Antiqua"/>
          <w:b/>
          <w:bCs/>
          <w:szCs w:val="24"/>
          <w:lang w:val="es-PR"/>
        </w:rPr>
        <w:instrText xml:space="preserve">PRIVATE </w:instrText>
      </w:r>
      <w:r w:rsidRPr="00182A6B">
        <w:rPr>
          <w:rFonts w:ascii="Book Antiqua" w:eastAsia="Times New Roman" w:hAnsi="Book Antiqua"/>
          <w:b/>
          <w:bCs/>
          <w:szCs w:val="24"/>
        </w:rPr>
        <w:fldChar w:fldCharType="end"/>
      </w:r>
    </w:p>
    <w:p w14:paraId="2C2915D8" w14:textId="77777777" w:rsidR="00182A6B" w:rsidRPr="00182A6B" w:rsidRDefault="00182A6B" w:rsidP="00182A6B">
      <w:pPr>
        <w:jc w:val="center"/>
        <w:rPr>
          <w:rFonts w:ascii="Book Antiqua" w:eastAsia="Times New Roman" w:hAnsi="Book Antiqua"/>
          <w:b/>
          <w:bCs/>
          <w:szCs w:val="24"/>
          <w:lang w:val="es-PR"/>
        </w:rPr>
      </w:pPr>
      <w:r w:rsidRPr="00182A6B">
        <w:rPr>
          <w:rFonts w:ascii="Book Antiqua" w:eastAsia="Times New Roman" w:hAnsi="Book Antiqua"/>
          <w:b/>
          <w:bCs/>
          <w:szCs w:val="24"/>
          <w:lang w:val="es-PR"/>
        </w:rPr>
        <w:t>(10 DE MARZO DE 2025)</w:t>
      </w:r>
    </w:p>
    <w:p w14:paraId="3F37CB72" w14:textId="55C06B1C" w:rsidR="00182A6B" w:rsidRPr="00182A6B" w:rsidRDefault="00182A6B" w:rsidP="00182A6B">
      <w:pPr>
        <w:jc w:val="center"/>
        <w:rPr>
          <w:rFonts w:ascii="Book Antiqua" w:eastAsia="Times New Roman" w:hAnsi="Book Antiqua"/>
          <w:b/>
          <w:bCs/>
          <w:szCs w:val="24"/>
          <w:lang w:val="es-ES_tradnl"/>
        </w:rPr>
      </w:pPr>
      <w:r w:rsidRPr="00182A6B">
        <w:rPr>
          <w:rFonts w:ascii="Book Antiqua" w:eastAsia="Times New Roman" w:hAnsi="Book Antiqua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1BEC95E" wp14:editId="20E3946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2439699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E739FB" id="Rectangle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r w:rsidRPr="00182A6B">
        <w:rPr>
          <w:rFonts w:ascii="Book Antiqua" w:eastAsia="Times New Roman" w:hAnsi="Book Antiqua"/>
          <w:b/>
          <w:bCs/>
          <w:szCs w:val="24"/>
          <w:lang w:val="es-ES"/>
        </w:rPr>
        <w:t xml:space="preserve"> </w:t>
      </w:r>
    </w:p>
    <w:p w14:paraId="1DE88200" w14:textId="41C4A17F" w:rsidR="000A1C62" w:rsidRPr="00DB209E" w:rsidRDefault="000A1C62" w:rsidP="000A1C62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7BD00D9E" w14:textId="77777777" w:rsidR="000A1C62" w:rsidRPr="00DB209E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77A75B82" w14:textId="77777777" w:rsidR="000A1C62" w:rsidRPr="00DB209E" w:rsidRDefault="000A1C62" w:rsidP="000A1C62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80588">
        <w:rPr>
          <w:rFonts w:ascii="Book Antiqua" w:hAnsi="Book Antiqua"/>
          <w:vertAlign w:val="superscript"/>
          <w:lang w:val="es-ES_tradnl"/>
        </w:rPr>
        <w:t>ma</w:t>
      </w:r>
      <w:r>
        <w:rPr>
          <w:rFonts w:ascii="Book Antiqua" w:hAnsi="Book Antiqua"/>
          <w:lang w:val="es-ES_tradnl"/>
        </w:rPr>
        <w:t xml:space="preserve"> </w:t>
      </w:r>
      <w:r w:rsidRPr="00DB209E">
        <w:rPr>
          <w:rFonts w:ascii="Book Antiqua" w:hAnsi="Book Antiqua"/>
          <w:lang w:val="es-ES_tradnl"/>
        </w:rPr>
        <w:t>Asamblea</w:t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       1</w:t>
      </w:r>
      <w:r w:rsidRPr="00580588">
        <w:rPr>
          <w:rFonts w:ascii="Book Antiqua" w:hAnsi="Book Antiqua"/>
          <w:vertAlign w:val="superscript"/>
          <w:lang w:val="es-ES_tradnl"/>
        </w:rPr>
        <w:t>ra</w:t>
      </w:r>
      <w:r>
        <w:rPr>
          <w:rFonts w:ascii="Book Antiqua" w:hAnsi="Book Antiqua"/>
          <w:lang w:val="es-ES_tradnl"/>
        </w:rPr>
        <w:t xml:space="preserve"> </w:t>
      </w:r>
      <w:r w:rsidRPr="00DB209E">
        <w:rPr>
          <w:rFonts w:ascii="Book Antiqua" w:hAnsi="Book Antiqua"/>
          <w:lang w:val="es-ES_tradnl"/>
        </w:rPr>
        <w:t>Sesión</w:t>
      </w:r>
    </w:p>
    <w:p w14:paraId="6A6E86D4" w14:textId="77777777" w:rsidR="000A1C62" w:rsidRPr="00DB209E" w:rsidRDefault="000A1C62" w:rsidP="000A1C62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Pr="00DB209E">
        <w:rPr>
          <w:rFonts w:ascii="Book Antiqua" w:hAnsi="Book Antiqua"/>
          <w:lang w:val="es-ES_tradnl"/>
        </w:rPr>
        <w:t>Legislativa</w:t>
      </w:r>
      <w:r w:rsidRPr="00DB209E">
        <w:rPr>
          <w:rFonts w:ascii="Book Antiqua" w:hAnsi="Book Antiqua"/>
          <w:lang w:val="es-ES_tradnl"/>
        </w:rPr>
        <w:tab/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  </w:t>
      </w:r>
      <w:r w:rsidRPr="00DB209E">
        <w:rPr>
          <w:rFonts w:ascii="Book Antiqua" w:hAnsi="Book Antiqua"/>
          <w:lang w:val="es-ES_tradnl"/>
        </w:rPr>
        <w:t>Ordinaria</w:t>
      </w:r>
    </w:p>
    <w:p w14:paraId="2D3775EB" w14:textId="77777777" w:rsidR="000A1C62" w:rsidRPr="00DB209E" w:rsidRDefault="000A1C62" w:rsidP="000A1C62">
      <w:pPr>
        <w:jc w:val="both"/>
        <w:rPr>
          <w:rFonts w:ascii="Book Antiqua" w:hAnsi="Book Antiqua"/>
          <w:lang w:val="es-ES_tradnl"/>
        </w:rPr>
      </w:pPr>
    </w:p>
    <w:p w14:paraId="43B3785C" w14:textId="77777777" w:rsidR="000A1C62" w:rsidRPr="00DB209E" w:rsidRDefault="000A1C62" w:rsidP="000A1C62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571D3FE8" w14:textId="77777777" w:rsidR="000A1C62" w:rsidRPr="00DB209E" w:rsidRDefault="000A1C62" w:rsidP="000A1C62">
      <w:pPr>
        <w:jc w:val="center"/>
        <w:rPr>
          <w:rFonts w:ascii="Book Antiqua" w:hAnsi="Book Antiqua"/>
          <w:szCs w:val="24"/>
          <w:lang w:val="es-ES_tradnl"/>
        </w:rPr>
      </w:pPr>
    </w:p>
    <w:p w14:paraId="182982FF" w14:textId="77777777" w:rsidR="000A1C62" w:rsidRPr="00FC628E" w:rsidRDefault="000A1C62" w:rsidP="000A1C62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C628E">
        <w:rPr>
          <w:rFonts w:ascii="Book Antiqua" w:hAnsi="Book Antiqua"/>
          <w:b/>
          <w:sz w:val="52"/>
          <w:szCs w:val="52"/>
          <w:lang w:val="es-ES_tradnl"/>
        </w:rPr>
        <w:t>P. de la C.</w:t>
      </w:r>
      <w:r>
        <w:rPr>
          <w:rFonts w:ascii="Book Antiqua" w:hAnsi="Book Antiqua"/>
          <w:b/>
          <w:sz w:val="52"/>
          <w:szCs w:val="52"/>
          <w:lang w:val="es-ES_tradnl"/>
        </w:rPr>
        <w:t xml:space="preserve"> 18</w:t>
      </w:r>
    </w:p>
    <w:p w14:paraId="0B9330B4" w14:textId="77777777" w:rsidR="000A1C62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28C0287B" w14:textId="77777777" w:rsidR="000A1C62" w:rsidRPr="00DB209E" w:rsidRDefault="000A1C62" w:rsidP="000A1C62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2 DE ENERO</w:t>
      </w:r>
      <w:r w:rsidRPr="00DB209E">
        <w:rPr>
          <w:rFonts w:ascii="Book Antiqua" w:hAnsi="Book Antiqua"/>
          <w:lang w:val="es-ES_tradnl"/>
        </w:rPr>
        <w:t xml:space="preserve"> DE 20</w:t>
      </w:r>
      <w:r>
        <w:rPr>
          <w:rFonts w:ascii="Book Antiqua" w:hAnsi="Book Antiqua"/>
          <w:lang w:val="es-ES_tradnl"/>
        </w:rPr>
        <w:t>25</w:t>
      </w:r>
    </w:p>
    <w:p w14:paraId="6EDDCE46" w14:textId="77777777" w:rsidR="000A1C62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4E3F3A3B" w14:textId="77777777" w:rsidR="000A1C62" w:rsidRPr="00DB209E" w:rsidRDefault="000A1C62" w:rsidP="000A1C62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Presentado por </w:t>
      </w:r>
      <w:r>
        <w:rPr>
          <w:rFonts w:ascii="Book Antiqua" w:hAnsi="Book Antiqua"/>
          <w:lang w:val="es-ES_tradnl"/>
        </w:rPr>
        <w:t>el representante</w:t>
      </w:r>
      <w:r w:rsidRPr="00DB209E">
        <w:rPr>
          <w:rFonts w:ascii="Book Antiqua" w:hAnsi="Book Antiqua"/>
          <w:i/>
          <w:lang w:val="es-ES_tradnl"/>
        </w:rPr>
        <w:t xml:space="preserve"> Méndez Núñez</w:t>
      </w:r>
      <w:r>
        <w:rPr>
          <w:rFonts w:ascii="Book Antiqua" w:hAnsi="Book Antiqua"/>
          <w:i/>
          <w:lang w:val="es-ES_tradnl"/>
        </w:rPr>
        <w:t xml:space="preserve"> </w:t>
      </w:r>
    </w:p>
    <w:p w14:paraId="6AA9CB5D" w14:textId="77777777" w:rsidR="000A1C62" w:rsidRPr="00DB209E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0EEB9823" w14:textId="77777777" w:rsidR="000A1C62" w:rsidRPr="00DB209E" w:rsidRDefault="000A1C62" w:rsidP="000A1C62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Referido a </w:t>
      </w:r>
      <w:r>
        <w:rPr>
          <w:rFonts w:ascii="Book Antiqua" w:hAnsi="Book Antiqua"/>
          <w:lang w:val="es-ES_tradnl"/>
        </w:rPr>
        <w:t>la Comisión de Gobierno</w:t>
      </w:r>
    </w:p>
    <w:p w14:paraId="7F383906" w14:textId="77777777" w:rsidR="000A1C62" w:rsidRPr="00DB209E" w:rsidRDefault="000A1C62" w:rsidP="000A1C62">
      <w:pPr>
        <w:jc w:val="both"/>
        <w:rPr>
          <w:rFonts w:ascii="Book Antiqua" w:hAnsi="Book Antiqua"/>
          <w:lang w:val="es-ES_tradnl"/>
        </w:rPr>
      </w:pPr>
    </w:p>
    <w:p w14:paraId="6A18C0B2" w14:textId="1E766E80" w:rsidR="000A1C62" w:rsidRPr="00DE74BD" w:rsidRDefault="009F63DE" w:rsidP="007A063B">
      <w:pPr>
        <w:jc w:val="center"/>
        <w:rPr>
          <w:rFonts w:ascii="Book Antiqua" w:hAnsi="Book Antiqua"/>
          <w:bCs/>
          <w:sz w:val="28"/>
          <w:szCs w:val="28"/>
          <w:lang w:val="es-ES_tradnl"/>
        </w:rPr>
      </w:pPr>
      <w:r w:rsidRPr="00DE74BD">
        <w:rPr>
          <w:rFonts w:ascii="Book Antiqua" w:hAnsi="Book Antiqua"/>
          <w:bCs/>
          <w:sz w:val="28"/>
          <w:szCs w:val="28"/>
          <w:lang w:val="es-ES_tradnl"/>
        </w:rPr>
        <w:t>LEY</w:t>
      </w:r>
    </w:p>
    <w:p w14:paraId="70EB6171" w14:textId="77777777" w:rsidR="007A063B" w:rsidRPr="00D95C43" w:rsidRDefault="007A063B" w:rsidP="007A063B">
      <w:pPr>
        <w:jc w:val="center"/>
        <w:rPr>
          <w:rFonts w:ascii="Book Antiqua" w:hAnsi="Book Antiqua"/>
          <w:lang w:val="es-ES_tradnl"/>
        </w:rPr>
      </w:pPr>
    </w:p>
    <w:p w14:paraId="52A55EB4" w14:textId="3D54A79E" w:rsidR="000A1C62" w:rsidRPr="007A063B" w:rsidRDefault="000A1C62" w:rsidP="000A1C62">
      <w:pPr>
        <w:ind w:left="450" w:hanging="450"/>
        <w:jc w:val="both"/>
        <w:rPr>
          <w:rFonts w:ascii="Book Antiqua" w:hAnsi="Book Antiqua"/>
          <w:szCs w:val="24"/>
          <w:lang w:val="es-ES"/>
        </w:rPr>
      </w:pPr>
      <w:r w:rsidRPr="007A063B">
        <w:rPr>
          <w:rFonts w:ascii="Book Antiqua" w:hAnsi="Book Antiqua"/>
          <w:lang w:val="es-ES_tradnl"/>
        </w:rPr>
        <w:t xml:space="preserve">Para </w:t>
      </w:r>
      <w:r w:rsidRPr="007A063B">
        <w:rPr>
          <w:rFonts w:ascii="Book Antiqua" w:hAnsi="Book Antiqua"/>
          <w:szCs w:val="24"/>
          <w:lang w:val="es-ES"/>
        </w:rPr>
        <w:t xml:space="preserve">establecer la “Ley de Asistencia, Protección y Albergue a Víctimas y Testigos”, </w:t>
      </w:r>
      <w:r w:rsidR="005F1E84" w:rsidRPr="007A063B">
        <w:rPr>
          <w:rFonts w:ascii="Book Antiqua" w:hAnsi="Book Antiqua"/>
          <w:szCs w:val="24"/>
          <w:lang w:val="es-ES"/>
        </w:rPr>
        <w:t xml:space="preserve">a fin </w:t>
      </w:r>
      <w:r w:rsidRPr="007A063B">
        <w:rPr>
          <w:rFonts w:ascii="Book Antiqua" w:hAnsi="Book Antiqua"/>
          <w:szCs w:val="24"/>
          <w:lang w:val="es-ES"/>
        </w:rPr>
        <w:t>de proveer protección y asistencia a víctimas y testigos de delitos, así como a su núcleo familiar, cuando sea necesario para asegurar su participación en los procedimientos investigativos y judiciales que se lleven a cabo para enjuiciar un delito; autorizar al Secretario de Justicia de Puerto Rico a tomar las medidas y acciones necesarias para proveer la protección y asistencia a las víctimas y familiares; establecer el “Programa del Albergue de Asistencia y Protección a Víctimas y Testigos” como dos (2) unidades separadas, una que será el “Hogar para Víctimas de Delito”</w:t>
      </w:r>
      <w:r w:rsidR="00EA0DC3" w:rsidRPr="007A063B">
        <w:rPr>
          <w:rFonts w:ascii="Book Antiqua" w:hAnsi="Book Antiqua"/>
          <w:szCs w:val="24"/>
          <w:lang w:val="es-ES"/>
        </w:rPr>
        <w:t xml:space="preserve">, </w:t>
      </w:r>
      <w:r w:rsidRPr="007A063B">
        <w:rPr>
          <w:rFonts w:ascii="Book Antiqua" w:hAnsi="Book Antiqua"/>
          <w:szCs w:val="24"/>
          <w:lang w:val="es-ES"/>
        </w:rPr>
        <w:t xml:space="preserve">adscrito a la Oficina de Compensación y Servicios a las Víctimas y Testigos de Delito, y otra que será el </w:t>
      </w:r>
      <w:r w:rsidR="00EA0DC3" w:rsidRPr="007A063B">
        <w:rPr>
          <w:rFonts w:ascii="Book Antiqua" w:hAnsi="Book Antiqua"/>
          <w:szCs w:val="24"/>
          <w:lang w:val="es-ES"/>
        </w:rPr>
        <w:t>“</w:t>
      </w:r>
      <w:r w:rsidRPr="007A063B">
        <w:rPr>
          <w:rFonts w:ascii="Book Antiqua" w:hAnsi="Book Antiqua"/>
          <w:szCs w:val="24"/>
          <w:lang w:val="es-ES"/>
        </w:rPr>
        <w:t>Centro de Protección a Testigos Cooperadores</w:t>
      </w:r>
      <w:r w:rsidR="00EA0DC3" w:rsidRPr="007A063B">
        <w:rPr>
          <w:rFonts w:ascii="Book Antiqua" w:hAnsi="Book Antiqua"/>
          <w:szCs w:val="24"/>
          <w:lang w:val="es-ES"/>
        </w:rPr>
        <w:t>”</w:t>
      </w:r>
      <w:r w:rsidRPr="007A063B">
        <w:rPr>
          <w:rFonts w:ascii="Book Antiqua" w:hAnsi="Book Antiqua"/>
          <w:szCs w:val="24"/>
          <w:lang w:val="es-ES"/>
        </w:rPr>
        <w:t>; adscrito a la Oficina del Jefe de Fiscales; autorizar al Secretario de Justicia de Puerto Rico a coordinar esfuerzos y recabar los fondos federales destinados a los propósitos consignados en la ley con el Departamento de Justicia de los Estados Unidos y con las agencias federales pertinentes; derogar la Ley</w:t>
      </w:r>
      <w:r w:rsidR="00044893" w:rsidRPr="007A063B">
        <w:rPr>
          <w:rFonts w:ascii="Book Antiqua" w:hAnsi="Book Antiqua"/>
          <w:szCs w:val="24"/>
          <w:lang w:val="es-ES"/>
        </w:rPr>
        <w:t> </w:t>
      </w:r>
      <w:r w:rsidRPr="007A063B">
        <w:rPr>
          <w:rFonts w:ascii="Book Antiqua" w:hAnsi="Book Antiqua"/>
          <w:szCs w:val="24"/>
          <w:lang w:val="es-ES"/>
        </w:rPr>
        <w:t xml:space="preserve">Núm. 77 de 9 de julio de 1986, según enmendada, conocida como “Ley para la Prevención de Víctimas y Testigos”; </w:t>
      </w:r>
      <w:r w:rsidR="00044893" w:rsidRPr="007A063B">
        <w:rPr>
          <w:rFonts w:ascii="Book Antiqua" w:hAnsi="Book Antiqua"/>
          <w:szCs w:val="24"/>
          <w:lang w:val="es-ES"/>
        </w:rPr>
        <w:t xml:space="preserve">y </w:t>
      </w:r>
      <w:r w:rsidRPr="007A063B">
        <w:rPr>
          <w:rFonts w:ascii="Book Antiqua" w:hAnsi="Book Antiqua"/>
          <w:szCs w:val="24"/>
          <w:lang w:val="es-ES"/>
        </w:rPr>
        <w:t>ordenar al Secretario de Justicia que apruebe reglamentación para implementar la ley.</w:t>
      </w:r>
    </w:p>
    <w:p w14:paraId="2FEE47B9" w14:textId="77777777" w:rsidR="007A063B" w:rsidRDefault="007A063B" w:rsidP="000A1C62">
      <w:pPr>
        <w:spacing w:after="240"/>
        <w:ind w:firstLine="360"/>
        <w:jc w:val="center"/>
        <w:rPr>
          <w:rFonts w:ascii="Book Antiqua" w:hAnsi="Book Antiqua"/>
          <w:lang w:val="es-ES_tradnl"/>
        </w:rPr>
      </w:pPr>
    </w:p>
    <w:p w14:paraId="6BA11EF1" w14:textId="77777777" w:rsidR="00182A6B" w:rsidRDefault="00182A6B" w:rsidP="000A1C62">
      <w:pPr>
        <w:spacing w:after="240"/>
        <w:ind w:firstLine="360"/>
        <w:jc w:val="center"/>
        <w:rPr>
          <w:rFonts w:ascii="Book Antiqua" w:hAnsi="Book Antiqua"/>
          <w:lang w:val="es-ES_tradnl"/>
        </w:rPr>
      </w:pPr>
    </w:p>
    <w:p w14:paraId="00BD8AF6" w14:textId="77777777" w:rsidR="007A063B" w:rsidRDefault="007A063B" w:rsidP="000A1C62">
      <w:pPr>
        <w:spacing w:after="240"/>
        <w:ind w:firstLine="360"/>
        <w:jc w:val="center"/>
        <w:rPr>
          <w:rFonts w:ascii="Book Antiqua" w:hAnsi="Book Antiqua"/>
          <w:lang w:val="es-ES_tradnl"/>
        </w:rPr>
      </w:pPr>
    </w:p>
    <w:p w14:paraId="00BCBFD9" w14:textId="0288BF36" w:rsidR="000A1C62" w:rsidRPr="00486CB1" w:rsidRDefault="000A1C62" w:rsidP="000A1C62">
      <w:pPr>
        <w:spacing w:after="240"/>
        <w:ind w:firstLine="360"/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lastRenderedPageBreak/>
        <w:t>EXPOSICIÓN DE MOTIVOS</w:t>
      </w:r>
      <w:r w:rsidRPr="00486CB1">
        <w:rPr>
          <w:rFonts w:ascii="Book Antiqua" w:hAnsi="Book Antiqua"/>
          <w:lang w:val="es-ES_tradnl"/>
        </w:rPr>
        <w:t xml:space="preserve"> </w:t>
      </w:r>
    </w:p>
    <w:p w14:paraId="6418959D" w14:textId="77777777" w:rsidR="000A1C62" w:rsidRDefault="000A1C62" w:rsidP="007A063B">
      <w:pPr>
        <w:ind w:firstLine="675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 Ley Núm. 77 de 9 de julio de 1986, según enmendada, conocida como </w:t>
      </w:r>
      <w:r w:rsidRPr="00116A35">
        <w:rPr>
          <w:rFonts w:ascii="Book Antiqua" w:hAnsi="Book Antiqua"/>
          <w:color w:val="000000"/>
          <w:szCs w:val="24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Ley para la Protección de Víctimas y Testigos</w:t>
      </w:r>
      <w:r w:rsidRPr="00116A35">
        <w:rPr>
          <w:rFonts w:ascii="Book Antiqua" w:hAnsi="Book Antiqua"/>
          <w:color w:val="000000"/>
          <w:szCs w:val="24"/>
          <w:lang w:val="es-PR"/>
        </w:rPr>
        <w:t>”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, en adelante Ley Nú</w:t>
      </w:r>
      <w:r w:rsidRPr="00116A35">
        <w:rPr>
          <w:rFonts w:ascii="Book Antiqua" w:hAnsi="Book Antiqua"/>
          <w:color w:val="000000"/>
          <w:szCs w:val="24"/>
          <w:lang w:val="es-PR"/>
        </w:rPr>
        <w:t>m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. 77, fue aprobada para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establecer acciones y medidas en protección de víctimas de delitos, testigos, testigos 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potenciales, familiares y allegados de estos, de actos de intimidación y de riesgo de recibir daño por parte de individuos interesados en que estos no colaboren con las autoridades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en el esclarecimiento de los casos.</w:t>
      </w:r>
    </w:p>
    <w:p w14:paraId="313B02C0" w14:textId="77777777" w:rsidR="007A063B" w:rsidRPr="00116A35" w:rsidRDefault="007A063B" w:rsidP="007A063B">
      <w:pPr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1E308134" w14:textId="6AF29F8A" w:rsidR="000A1C62" w:rsidRPr="007A063B" w:rsidRDefault="000A1C62" w:rsidP="007A063B">
      <w:pPr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t>El Artículo 3 de la Ley Núm. 77</w:t>
      </w:r>
      <w:r w:rsidR="00F6053C" w:rsidRPr="007A063B">
        <w:rPr>
          <w:rFonts w:ascii="Book Antiqua" w:hAnsi="Book Antiqua"/>
          <w:color w:val="000000"/>
          <w:szCs w:val="24"/>
          <w:lang w:val="es-PR"/>
        </w:rPr>
        <w:t>,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creó la División para la Protección y Asistencia de Víctimas y Testigos (División), adscrita al Negociado de Investigaciones Especiales del Departamento de Justicia, NIE. La División se </w:t>
      </w:r>
      <w:r w:rsidR="00F6053C" w:rsidRPr="007A063B">
        <w:rPr>
          <w:rFonts w:ascii="Book Antiqua" w:hAnsi="Book Antiqua"/>
          <w:color w:val="000000"/>
          <w:szCs w:val="24"/>
          <w:lang w:val="es-PR"/>
        </w:rPr>
        <w:t xml:space="preserve">originó 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bajo un sistema de coordinación y cooperación entre el Departamento de Justicia y la Policía de Puerto Rico, siendo integrada por agentes de la Policía de Puerto Rico y personal nombrado por el </w:t>
      </w:r>
      <w:proofErr w:type="gramStart"/>
      <w:r w:rsidRPr="007A063B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hAnsi="Book Antiqua"/>
          <w:color w:val="000000"/>
          <w:szCs w:val="24"/>
          <w:lang w:val="es-PR"/>
        </w:rPr>
        <w:t xml:space="preserve"> de Justicia. La Ley Núm. 77</w:t>
      </w:r>
      <w:r w:rsidR="00F6053C" w:rsidRPr="007A063B">
        <w:rPr>
          <w:rFonts w:ascii="Book Antiqua" w:hAnsi="Book Antiqua"/>
          <w:color w:val="000000"/>
          <w:szCs w:val="24"/>
          <w:lang w:val="es-PR"/>
        </w:rPr>
        <w:t>,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otorgó al </w:t>
      </w:r>
      <w:proofErr w:type="gramStart"/>
      <w:r w:rsidRPr="007A063B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hAnsi="Book Antiqua"/>
          <w:color w:val="000000"/>
          <w:szCs w:val="24"/>
          <w:lang w:val="es-PR"/>
        </w:rPr>
        <w:t xml:space="preserve"> de Justicia la facultad para establecer otros servicios relacionados a la protección de víctimas y testigos, además de aquellos ofrecidos por la División. Entre estos se encontraba el poder para “[a]</w:t>
      </w:r>
      <w:proofErr w:type="spellStart"/>
      <w:r w:rsidRPr="007A063B">
        <w:rPr>
          <w:rFonts w:ascii="Book Antiqua" w:hAnsi="Book Antiqua"/>
          <w:color w:val="000000"/>
          <w:szCs w:val="24"/>
          <w:lang w:val="es-PR"/>
        </w:rPr>
        <w:t>dquirir</w:t>
      </w:r>
      <w:proofErr w:type="spellEnd"/>
      <w:r w:rsidRPr="007A063B">
        <w:rPr>
          <w:rFonts w:ascii="Book Antiqua" w:hAnsi="Book Antiqua"/>
          <w:color w:val="000000"/>
          <w:szCs w:val="24"/>
          <w:lang w:val="es-PR"/>
        </w:rPr>
        <w:t xml:space="preserve"> por compra, arrendamiento o en cualquier otra forma facilidades físicas así, como muebles, enseres y equipo necesarios para alojar a las víctimas, testigos, testigos potenciales y a sus familiares y allegados, por el tiempo que considere necesario”.</w:t>
      </w:r>
      <w:r w:rsidRPr="007A063B">
        <w:rPr>
          <w:rFonts w:ascii="Book Antiqua" w:hAnsi="Book Antiqua"/>
          <w:color w:val="000000"/>
          <w:szCs w:val="24"/>
          <w:vertAlign w:val="superscript"/>
        </w:rPr>
        <w:footnoteReference w:id="1"/>
      </w:r>
    </w:p>
    <w:p w14:paraId="34681CFB" w14:textId="77777777" w:rsidR="007A063B" w:rsidRPr="00116A35" w:rsidRDefault="007A063B" w:rsidP="007A063B">
      <w:pPr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5D96CAD" w14:textId="5916C544" w:rsidR="000A1C62" w:rsidRDefault="000A1C62" w:rsidP="007A063B">
      <w:pPr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Posteriormente, mediante la Sección 1 de la Ley Núm. 28 de 19 de julio de 1987, la Asamblea Legislativa de Puerto Rico enmendó el Artículo 5 de la Ley Núm. 77, facultando al </w:t>
      </w:r>
      <w:proofErr w:type="gramStart"/>
      <w:r w:rsidRPr="00116A35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hAnsi="Book Antiqua"/>
          <w:color w:val="000000"/>
          <w:szCs w:val="24"/>
          <w:lang w:val="es-PR"/>
        </w:rPr>
        <w:t xml:space="preserve"> de Justicia a crear el Albergue para la Protección de las Víctimas y Testigos de Delito (Albergue). La Ley Núm. 28 dispuso específicamente que el Secretario de Justicia “[p]</w:t>
      </w:r>
      <w:proofErr w:type="spellStart"/>
      <w:r w:rsidRPr="00116A35">
        <w:rPr>
          <w:rFonts w:ascii="Book Antiqua" w:hAnsi="Book Antiqua"/>
          <w:color w:val="000000"/>
          <w:szCs w:val="24"/>
          <w:lang w:val="es-PR"/>
        </w:rPr>
        <w:t>odrá</w:t>
      </w:r>
      <w:proofErr w:type="spellEnd"/>
      <w:r w:rsidRPr="00116A35">
        <w:rPr>
          <w:rFonts w:ascii="Book Antiqua" w:hAnsi="Book Antiqua"/>
          <w:color w:val="000000"/>
          <w:szCs w:val="24"/>
          <w:lang w:val="es-PR"/>
        </w:rPr>
        <w:t xml:space="preserve"> adquirir por compra, arrendamiento o cualquier otra forma propiedad inmueble o mueble y establecer un albergue que brinde seguridad y protección para alojar a las víctimas, testigos, testigos potenciales y a sus familiares y allegados, por el tiempo que considere necesario”.</w:t>
      </w:r>
      <w:r w:rsidRPr="00116A35">
        <w:rPr>
          <w:rFonts w:ascii="Book Antiqua" w:hAnsi="Book Antiqua"/>
          <w:color w:val="000000"/>
          <w:szCs w:val="24"/>
          <w:vertAlign w:val="superscript"/>
        </w:rPr>
        <w:footnoteReference w:id="2"/>
      </w:r>
      <w:r w:rsidRPr="00116A35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</w:t>
      </w:r>
      <w:r w:rsidRPr="00116A35">
        <w:rPr>
          <w:rFonts w:ascii="Book Antiqua" w:hAnsi="Book Antiqua"/>
          <w:color w:val="000000"/>
          <w:szCs w:val="24"/>
          <w:lang w:val="es-PR"/>
        </w:rPr>
        <w:t>Mediante esta enmienda, el Albergue pasó a formar parte de la División.</w:t>
      </w:r>
      <w:r w:rsidRPr="00116A35">
        <w:rPr>
          <w:rFonts w:ascii="Book Antiqua" w:hAnsi="Book Antiqua"/>
          <w:color w:val="000000"/>
          <w:szCs w:val="24"/>
          <w:vertAlign w:val="superscript"/>
        </w:rPr>
        <w:footnoteReference w:id="3"/>
      </w:r>
      <w:r w:rsidRPr="00116A35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</w:t>
      </w:r>
      <w:r w:rsidRPr="00116A35">
        <w:rPr>
          <w:rFonts w:ascii="Book Antiqua" w:hAnsi="Book Antiqua"/>
          <w:color w:val="000000"/>
          <w:szCs w:val="24"/>
          <w:lang w:val="es-PR"/>
        </w:rPr>
        <w:t>En su consecuencia, el Albergue quedó bajo la supervisión administrativa del NIE y del Secretario de Justicia.</w:t>
      </w:r>
    </w:p>
    <w:p w14:paraId="64237F99" w14:textId="77777777" w:rsidR="007A063B" w:rsidRPr="00116A35" w:rsidRDefault="007A063B" w:rsidP="007A063B">
      <w:pPr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12AF8F2" w14:textId="326A5178" w:rsidR="000A1C62" w:rsidRDefault="000A1C62" w:rsidP="007A063B">
      <w:pPr>
        <w:ind w:firstLine="69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t xml:space="preserve">Al promulgarse el Plan de Reorganización del Departamento de Justicia de 2011,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</w:t>
      </w:r>
      <w:r w:rsidR="000C6837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instituyó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 Oficina de Compensación y Servicios a las Víctimas y Testigos de Delito, </w:t>
      </w:r>
      <w:r w:rsidRPr="007A063B">
        <w:rPr>
          <w:rFonts w:ascii="Book Antiqua" w:hAnsi="Book Antiqua"/>
          <w:color w:val="000000"/>
          <w:szCs w:val="24"/>
          <w:lang w:val="es-PR"/>
        </w:rPr>
        <w:t>eliminándose la División para la Protección y Asistencia de Víctimas y Testigos.</w:t>
      </w:r>
      <w:r w:rsidRPr="007A063B">
        <w:rPr>
          <w:rStyle w:val="FootnoteReference"/>
          <w:rFonts w:ascii="Book Antiqua" w:hAnsi="Book Antiqua"/>
          <w:color w:val="000000"/>
          <w:szCs w:val="24"/>
        </w:rPr>
        <w:footnoteReference w:id="4"/>
      </w:r>
      <w:r w:rsidRPr="007A063B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 </w:t>
      </w:r>
      <w:r w:rsidRPr="007A063B">
        <w:rPr>
          <w:rFonts w:ascii="Book Antiqua" w:hAnsi="Book Antiqua"/>
          <w:color w:val="000000"/>
          <w:szCs w:val="24"/>
          <w:lang w:val="es-PR"/>
        </w:rPr>
        <w:t>Posteriormente, con la aprobación de la Ley</w:t>
      </w:r>
      <w:r w:rsidR="000C6837" w:rsidRPr="007A063B">
        <w:rPr>
          <w:rFonts w:ascii="Book Antiqua" w:hAnsi="Book Antiqua"/>
          <w:color w:val="000000"/>
          <w:szCs w:val="24"/>
          <w:lang w:val="es-PR"/>
        </w:rPr>
        <w:t xml:space="preserve"> N</w:t>
      </w:r>
      <w:r w:rsidR="005008E4" w:rsidRPr="007A063B">
        <w:rPr>
          <w:rFonts w:ascii="Book Antiqua" w:hAnsi="Book Antiqua"/>
          <w:color w:val="000000"/>
          <w:szCs w:val="24"/>
          <w:lang w:val="es-PR"/>
        </w:rPr>
        <w:t>ú</w:t>
      </w:r>
      <w:r w:rsidR="000C6837" w:rsidRPr="007A063B">
        <w:rPr>
          <w:rFonts w:ascii="Book Antiqua" w:hAnsi="Book Antiqua"/>
          <w:color w:val="000000"/>
          <w:szCs w:val="24"/>
          <w:lang w:val="es-PR"/>
        </w:rPr>
        <w:t>m.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20-2017, según enmendada, conocida como “Ley del Departamento de Seguridad Pública”, se derogó el Capítulo III del Plan</w:t>
      </w:r>
      <w:r w:rsidR="005008E4" w:rsidRPr="007A063B">
        <w:rPr>
          <w:rFonts w:ascii="Book Antiqua" w:hAnsi="Book Antiqua"/>
          <w:color w:val="000000"/>
          <w:szCs w:val="24"/>
          <w:lang w:val="es-PR"/>
        </w:rPr>
        <w:t> </w:t>
      </w:r>
      <w:r w:rsidRPr="007A063B">
        <w:rPr>
          <w:rFonts w:ascii="Book Antiqua" w:hAnsi="Book Antiqua"/>
          <w:color w:val="000000"/>
          <w:szCs w:val="24"/>
          <w:lang w:val="es-PR"/>
        </w:rPr>
        <w:t>de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hAnsi="Book Antiqua"/>
          <w:color w:val="000000"/>
          <w:szCs w:val="24"/>
          <w:lang w:val="es-PR"/>
        </w:rPr>
        <w:lastRenderedPageBreak/>
        <w:t xml:space="preserve">Reorganización Núm. 5, que disponía todo lo relacionado con las funciones y facultades del NIE, por lo que todo su personal y sus funciones fueron transferidas al Departamento de Seguridad Pública, retirando así al negociado de la esfera administrativa del </w:t>
      </w:r>
      <w:proofErr w:type="gramStart"/>
      <w:r w:rsidRPr="00116A35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hAnsi="Book Antiqua"/>
          <w:color w:val="000000"/>
          <w:szCs w:val="24"/>
          <w:lang w:val="es-PR"/>
        </w:rPr>
        <w:t xml:space="preserve"> de Justicia. No obstante, al derogarse el Capítulo III del Plan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de Reorganización Núm. 5, no se tomó en consideración la función </w:t>
      </w:r>
      <w:r w:rsidRPr="00116A35">
        <w:rPr>
          <w:rFonts w:ascii="Book Antiqua" w:hAnsi="Book Antiqua"/>
          <w:color w:val="000000"/>
          <w:szCs w:val="24"/>
          <w:lang w:val="es-PR"/>
        </w:rPr>
        <w:t>administrativa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que ejercía el NIE respecto al Albergue de </w:t>
      </w:r>
      <w:r w:rsidRPr="00116A35">
        <w:rPr>
          <w:rFonts w:ascii="Book Antiqua" w:hAnsi="Book Antiqua"/>
          <w:color w:val="000000"/>
          <w:szCs w:val="24"/>
          <w:lang w:val="es-PR"/>
        </w:rPr>
        <w:t>Víctima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 y Testigos. Por consiguiente, con este cambio en el esquema legal, aunque la Ley Núm. 77 y sus disposiciones relativas al Albergue siguen vigentes, no queda claro sobre quién recae la responsabilidad de su administración y custodia.</w:t>
      </w:r>
    </w:p>
    <w:p w14:paraId="5D5628BA" w14:textId="77777777" w:rsidR="007A063B" w:rsidRPr="00116A35" w:rsidRDefault="007A063B" w:rsidP="007A063B">
      <w:pPr>
        <w:ind w:firstLine="69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289D3C6C" w14:textId="2B6BE00E" w:rsidR="000A1C62" w:rsidRDefault="000A1C62" w:rsidP="007A063B">
      <w:pPr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ab/>
        <w:t>Esta Administración reconoce que nuestro sistema de justicia no está para criminalizar a las víctimas y a los más vulnerables que necesitan ayuda y asistencia. Por ello, es nuestro compromiso el fortalecer los programas de la Oficina para las Víctimas de Crimen.</w:t>
      </w:r>
    </w:p>
    <w:p w14:paraId="11390A76" w14:textId="77777777" w:rsidR="007A063B" w:rsidRPr="00116A35" w:rsidRDefault="007A063B" w:rsidP="007A063B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323D347" w14:textId="6061711D" w:rsidR="000A1C62" w:rsidRDefault="000A1C62" w:rsidP="007A063B">
      <w:pPr>
        <w:ind w:firstLine="675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Por lo anterior, es ineludible la obligación de promulgar una nueva ley que cumpla </w:t>
      </w:r>
      <w:r w:rsidRPr="00555C9F">
        <w:rPr>
          <w:rFonts w:ascii="Book Antiqua" w:hAnsi="Book Antiqua"/>
          <w:noProof/>
          <w:color w:val="000000"/>
          <w:szCs w:val="24"/>
          <w:lang w:val="es-PR" w:eastAsia="es-PR"/>
        </w:rPr>
        <w:drawing>
          <wp:inline distT="0" distB="0" distL="0" distR="0" wp14:anchorId="690B6713" wp14:editId="4282505A">
            <wp:extent cx="14605" cy="14605"/>
            <wp:effectExtent l="0" t="0" r="0" b="0"/>
            <wp:docPr id="6124196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9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con la política pública del</w:t>
      </w:r>
      <w:r w:rsidR="002D33E1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Gobierno</w:t>
      </w:r>
      <w:r>
        <w:rPr>
          <w:rFonts w:ascii="Book Antiqua" w:eastAsia="Courier New" w:hAnsi="Book Antiqua" w:cs="Courier New"/>
          <w:i/>
          <w:iCs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de Puerto Rico dirigida a la protección y seguridad de víctimas y testigos en los procedimientos investigativos y judiciales. Para cumplir tales </w:t>
      </w:r>
      <w:r w:rsidRPr="00555C9F">
        <w:rPr>
          <w:rFonts w:ascii="Book Antiqua" w:hAnsi="Book Antiqua"/>
          <w:noProof/>
          <w:color w:val="000000"/>
          <w:szCs w:val="24"/>
          <w:lang w:val="es-PR" w:eastAsia="es-PR"/>
        </w:rPr>
        <w:drawing>
          <wp:inline distT="0" distB="0" distL="0" distR="0" wp14:anchorId="757E3471" wp14:editId="3C8645D3">
            <wp:extent cx="14605" cy="52070"/>
            <wp:effectExtent l="0" t="0" r="23495" b="5080"/>
            <wp:docPr id="1021068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5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fines, 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ey reconceptualiza el </w:t>
      </w:r>
      <w:r w:rsidRPr="00116A35">
        <w:rPr>
          <w:rFonts w:ascii="Book Antiqua" w:hAnsi="Book Antiqua"/>
          <w:color w:val="000000"/>
          <w:szCs w:val="24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Albergue</w:t>
      </w:r>
      <w:r w:rsidRPr="00116A35">
        <w:rPr>
          <w:rFonts w:ascii="Book Antiqua" w:hAnsi="Book Antiqua"/>
          <w:color w:val="000000"/>
          <w:szCs w:val="24"/>
          <w:lang w:val="es-PR"/>
        </w:rPr>
        <w:t>”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retoma su propósito inicial de proveer un lugar seguro y apto para las víctimas de delito que necesitan protección.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Asimismo, mediante esta nueva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ey, el Estado garantiza la provisión de un lugar adecuado y seguro, pero separado, para albergar a los testigos cooperadores.</w:t>
      </w:r>
    </w:p>
    <w:p w14:paraId="11EE3DB8" w14:textId="77777777" w:rsidR="007A063B" w:rsidRPr="00116A35" w:rsidRDefault="007A063B" w:rsidP="007A063B">
      <w:pPr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006D0EAF" w14:textId="77777777" w:rsidR="000A1C62" w:rsidRPr="00116A35" w:rsidRDefault="000A1C62" w:rsidP="007A063B">
      <w:pPr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 fin, mediante este esfuerzo legislativo se clasificarán adecuadamente las poblaciones a ser servidas y se proveerán los servicios de acuerdo con las necesidades de seguridad de cada uno de los participantes. 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 su vez, se asegura que la búsqueda de la verdad durante los procedimientos judiciales será celosamente salvaguardada.</w:t>
      </w:r>
    </w:p>
    <w:p w14:paraId="72D8F26A" w14:textId="77777777" w:rsidR="000A1C62" w:rsidRPr="00844F73" w:rsidRDefault="000A1C62" w:rsidP="000A1C62">
      <w:pPr>
        <w:ind w:firstLine="360"/>
        <w:jc w:val="both"/>
        <w:rPr>
          <w:rFonts w:ascii="Book Antiqua" w:hAnsi="Book Antiqua"/>
          <w:lang w:val="es-PR"/>
        </w:rPr>
      </w:pPr>
    </w:p>
    <w:p w14:paraId="07D8B81C" w14:textId="77777777" w:rsidR="000A1C62" w:rsidRPr="00CD00DF" w:rsidRDefault="000A1C62" w:rsidP="007A063B">
      <w:pPr>
        <w:spacing w:line="480" w:lineRule="auto"/>
        <w:rPr>
          <w:rFonts w:ascii="Book Antiqua" w:hAnsi="Book Antiqua"/>
          <w:i/>
          <w:lang w:val="es-ES_tradnl"/>
        </w:rPr>
      </w:pPr>
      <w:r w:rsidRPr="00CD00DF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201BC2E5" w14:textId="77777777" w:rsidR="000A1C62" w:rsidRPr="00CD00DF" w:rsidRDefault="000A1C62" w:rsidP="007A063B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0A1C62" w:rsidRPr="00CD00DF" w:rsidSect="000A1C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41091EC" w14:textId="77777777" w:rsidR="000A1C62" w:rsidRPr="00116A35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bookmarkStart w:id="1" w:name="_Hlk67257139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Artículo 1.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-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Título.</w:t>
      </w:r>
    </w:p>
    <w:p w14:paraId="6ABAF68E" w14:textId="68D313B7" w:rsidR="000A1C62" w:rsidRPr="00116A35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eastAsia="Courier New" w:hAnsi="Book Antiqua" w:cs="Courier New"/>
          <w:color w:val="000000"/>
          <w:szCs w:val="24"/>
          <w:lang w:val="es-PR"/>
        </w:rPr>
        <w:t>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ey será conocida y podrá ser citada </w:t>
      </w:r>
      <w:r w:rsidR="007A063B"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como </w:t>
      </w:r>
      <w:r w:rsidR="007A063B" w:rsidRPr="007D478E">
        <w:rPr>
          <w:rFonts w:ascii="Book Antiqua" w:eastAsia="Courier New" w:hAnsi="Book Antiqua" w:cs="Courier New"/>
          <w:color w:val="000000"/>
          <w:szCs w:val="24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Ley de Asistencia, Protección y Albergue a Víctimas y </w:t>
      </w:r>
      <w:r w:rsidR="00265A00"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Testigos</w:t>
      </w:r>
      <w:r w:rsidR="00265A00" w:rsidRPr="007A063B">
        <w:rPr>
          <w:rFonts w:ascii="Book Antiqua" w:eastAsia="Courier New" w:hAnsi="Book Antiqua" w:cs="Courier New"/>
          <w:color w:val="000000" w:themeColor="text1"/>
          <w:lang w:val="es-PR"/>
        </w:rPr>
        <w:t>”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21918E0A" w14:textId="77777777" w:rsidR="000A1C62" w:rsidRPr="00116A35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Artículo 2.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-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Declaración de Política Pública.</w:t>
      </w:r>
    </w:p>
    <w:p w14:paraId="6802D10D" w14:textId="1134816F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declara política pública del </w:t>
      </w:r>
      <w:r w:rsidR="00270216">
        <w:rPr>
          <w:rFonts w:ascii="Book Antiqua" w:eastAsia="Courier New" w:hAnsi="Book Antiqua" w:cs="Courier New"/>
          <w:color w:val="000000"/>
          <w:szCs w:val="24"/>
          <w:lang w:val="es-PR"/>
        </w:rPr>
        <w:t>Gobierno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de Puerto Rico la provisión de asistencia, protección y albergue a víctimas y tes</w:t>
      </w:r>
      <w:r w:rsidRPr="00116A35">
        <w:rPr>
          <w:rFonts w:ascii="Book Antiqua" w:hAnsi="Book Antiqua"/>
          <w:color w:val="000000"/>
          <w:szCs w:val="24"/>
          <w:lang w:val="es-PR"/>
        </w:rPr>
        <w:t>ti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gos, cuando sea necesario en los procesos investigativos y judiciales en los que estén involucrados y como un d</w:t>
      </w:r>
      <w:r w:rsidRPr="00116A35">
        <w:rPr>
          <w:rFonts w:ascii="Book Antiqua" w:hAnsi="Book Antiqua"/>
          <w:color w:val="000000"/>
          <w:szCs w:val="24"/>
          <w:lang w:val="es-PR"/>
        </w:rPr>
        <w:t>ere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cho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reconocido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a las víc</w:t>
      </w:r>
      <w:r w:rsidRPr="007A063B">
        <w:rPr>
          <w:rFonts w:ascii="Book Antiqua" w:hAnsi="Book Antiqua"/>
          <w:color w:val="000000"/>
          <w:szCs w:val="24"/>
          <w:lang w:val="es-PR"/>
        </w:rPr>
        <w:t>ti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mas de delito en el </w:t>
      </w:r>
      <w:r w:rsidR="004C0D98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inciso (d) del Artículo </w:t>
      </w:r>
      <w:r w:rsidR="00EB2E87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2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de la Ley</w:t>
      </w:r>
      <w:r w:rsidR="007B18C4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 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Núm.</w:t>
      </w:r>
      <w:r w:rsidR="007B18C4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 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22 de 22 de abril de 1988, según enmendada, </w:t>
      </w:r>
      <w:r w:rsidR="00D858B3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que estableció </w:t>
      </w:r>
      <w:r w:rsidR="00205A6E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la “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Carta de Derechos de Víctimas y Testigos de </w:t>
      </w:r>
      <w:r w:rsidR="00265A00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Delito”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4F1ABB22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Asimismo, se promoverá la cooperación y participación plena y libre de las víctimas y testigos en los procesos investigativos y judiciales.</w:t>
      </w:r>
    </w:p>
    <w:p w14:paraId="4F89F845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 el caso de menores, que sean víctimas o testigos de la comisión de delitos, el Departamento de Justicia procurará la más cuidadosa, sensible y rigurosa coordinación </w:t>
      </w:r>
      <w:proofErr w:type="spell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interagencial</w:t>
      </w:r>
      <w:proofErr w:type="spell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de manera que se reduzca al </w:t>
      </w:r>
      <w:r w:rsidRPr="007A063B">
        <w:rPr>
          <w:rFonts w:ascii="Book Antiqua" w:hAnsi="Book Antiqua"/>
          <w:color w:val="000000"/>
          <w:szCs w:val="24"/>
          <w:lang w:val="es-PR"/>
        </w:rPr>
        <w:t>mí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nimo cualquier daño sicológico a los menores involucrados en procesos investigativos o judiciales. Para lograr estos fines, el Departamento de Justicia podrá tomar medidas protectoras o solicitarlas al tribunal correspondiente, de manera que los menores sean protegidos durante los procesos y no se sientan intimidados.</w:t>
      </w:r>
    </w:p>
    <w:p w14:paraId="7B063EA3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Como parte de esta declaración de política pública, el Departamento de Justicia fomentará y protegerá la función tan necesaria de las víc</w:t>
      </w:r>
      <w:r w:rsidRPr="007A063B">
        <w:rPr>
          <w:rFonts w:ascii="Book Antiqua" w:hAnsi="Book Antiqua"/>
          <w:color w:val="000000"/>
          <w:szCs w:val="24"/>
          <w:lang w:val="es-PR"/>
        </w:rPr>
        <w:t>ti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mas y testigos de delitos en el esclarecimiento de la verdad durante los procesos investigativos y judiciales. Asimismo, el Departamento podrá formar alianzas con las autoridades federales o con o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ras jurisdicciones estatales para crear y proveer servicios importantes y garantizar derechos a las víctimas o testigos.</w:t>
      </w:r>
    </w:p>
    <w:p w14:paraId="399DEFAC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Artículo 3.- Definiciones.</w:t>
      </w:r>
    </w:p>
    <w:p w14:paraId="7B006815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Para fines de esta Ley, los siguientes términos tendrán el significado que adelante se indican:</w:t>
      </w:r>
    </w:p>
    <w:p w14:paraId="59A5DC39" w14:textId="19AFAF1B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t xml:space="preserve">a)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CPTC -</w:t>
      </w:r>
      <w:r w:rsidR="00A20552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Significa el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Cen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ro de Protección a Testigos Cooperadores.</w:t>
      </w:r>
    </w:p>
    <w:p w14:paraId="4AFE5471" w14:textId="2606A85A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lastRenderedPageBreak/>
        <w:t xml:space="preserve">b)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HVDD - </w:t>
      </w:r>
      <w:r w:rsidR="00A20552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Significa el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Hogar para Víctimas de Delito.</w:t>
      </w:r>
    </w:p>
    <w:p w14:paraId="19FA55CF" w14:textId="32A34EE0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t xml:space="preserve">c)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Núcleo familiar – </w:t>
      </w:r>
      <w:r w:rsidR="00DB4D2A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Significa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las personas </w:t>
      </w:r>
      <w:bookmarkStart w:id="2" w:name="_Hlk72877028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unidas a la víctima por lazos legales o consensuales, de consanguinidad o afinidad hasta el segundo grado y que residían con ella al momento de los hechos o toda persona que depende de la víctima en más del cincuenta por ciento (50%) de sus gastos de subsistencia. </w:t>
      </w:r>
    </w:p>
    <w:bookmarkEnd w:id="2"/>
    <w:p w14:paraId="33BAA91C" w14:textId="37262D4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t xml:space="preserve">d)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Programa - </w:t>
      </w:r>
      <w:r w:rsidR="00E60278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Significa el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Programa del Albergue de Asistencia y Protección a Víctimas y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Testigos.</w:t>
      </w:r>
    </w:p>
    <w:p w14:paraId="1AF678E2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t xml:space="preserve">e)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— Significa el Secretario o Secretaria del Departamento de Justicia de Puerto Rico.</w:t>
      </w:r>
    </w:p>
    <w:p w14:paraId="7C88242E" w14:textId="2A0A78CE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t xml:space="preserve">f)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Testigo o testigo cooperador — Significa cualquier persona natural, con conocimiento de la existencia o inexistencia de hechos relacionados con un crimen o delito y cuya declaración se ha de recibir o ha sido recibida en evidencia en el contexto o curso de una investigación criminal ya iniciada para cualquier propósito; quien haya i</w:t>
      </w:r>
      <w:r w:rsidRPr="007A063B">
        <w:rPr>
          <w:rFonts w:ascii="Book Antiqua" w:hAnsi="Book Antiqua"/>
          <w:color w:val="000000"/>
          <w:szCs w:val="24"/>
          <w:lang w:val="es-PR"/>
        </w:rPr>
        <w:t>nform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ado cualquier delito a cualquier agente del orden público, fiscal, oficial socio-penal, guardia penal, oficial judicial, representante de alguna entidad o agencia investigativa del </w:t>
      </w:r>
      <w:r w:rsidR="008C41AF">
        <w:rPr>
          <w:rFonts w:ascii="Book Antiqua" w:eastAsia="Courier New" w:hAnsi="Book Antiqua" w:cs="Courier New"/>
          <w:color w:val="000000"/>
          <w:szCs w:val="24"/>
          <w:lang w:val="es-PR"/>
        </w:rPr>
        <w:t>Gobierno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Puerto Rico, en el contexto o curso de una investigación criminal ya iniciada; aquella persona que haya recibido una citación u orden para comparecer a un procedimiento ante cualquier magistrado de Puerto Rico o de los Estados Unidos, ante la Legislatura o ante una agencia pública autorizada por ley, para deponer o testificar sobre la comisión de algún delito.</w:t>
      </w:r>
    </w:p>
    <w:p w14:paraId="0DE0EDC1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7A063B">
        <w:rPr>
          <w:rFonts w:ascii="Book Antiqua" w:hAnsi="Book Antiqua"/>
          <w:color w:val="000000"/>
          <w:szCs w:val="24"/>
          <w:lang w:val="es-PR"/>
        </w:rPr>
        <w:lastRenderedPageBreak/>
        <w:t xml:space="preserve">g)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Víctima — Significa aquellas personas unidas a la víctima por lazos legales o consensuales, de consanguinidad o afinidad hasta el segundo grado y que residían con ella al momento de los hechos o toda persona que depende de la víctima en más del cincuenta por ciento (50%) de sus gastos de subsistencia. </w:t>
      </w:r>
    </w:p>
    <w:p w14:paraId="090DAE1A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 xml:space="preserve">Artículo 4.- Facultades y Deberes del </w:t>
      </w:r>
      <w:proofErr w:type="gramStart"/>
      <w:r w:rsidRPr="007A063B">
        <w:rPr>
          <w:rFonts w:ascii="Book Antiqua" w:eastAsia="Times New Roman" w:hAnsi="Book Antiqua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Times New Roman" w:hAnsi="Book Antiqua"/>
          <w:color w:val="000000"/>
          <w:szCs w:val="24"/>
          <w:lang w:val="es-PR"/>
        </w:rPr>
        <w:t xml:space="preserve"> de Justicia.</w:t>
      </w:r>
    </w:p>
    <w:p w14:paraId="6CDCDCA1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tendrá el deber y la autoridad de supervisar, adminis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rar, coordinar y reglamentar la implementación de todas las disposiciones de esta Ley, y establecer las medidas necesarias para prevenir la intimidación de víctimas y testigos; y para proveerles asistencia y protección, cuando sea necesario, garantizando sus derechos y asegurando su participación en los procedimientos investi</w:t>
      </w:r>
      <w:r w:rsidRPr="007A063B">
        <w:rPr>
          <w:rFonts w:ascii="Book Antiqua" w:hAnsi="Book Antiqua"/>
          <w:color w:val="000000"/>
          <w:szCs w:val="24"/>
          <w:lang w:val="es-PR"/>
        </w:rPr>
        <w:t>g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ativos y judiciales. En todo caso, deberá mediar el consentimiento de la persona a ser protegida.</w:t>
      </w:r>
    </w:p>
    <w:p w14:paraId="70090DBD" w14:textId="65F35A0F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 xml:space="preserve">Artículo 5.- Creación </w:t>
      </w:r>
      <w:r w:rsidR="007A063B" w:rsidRPr="007A063B">
        <w:rPr>
          <w:rFonts w:ascii="Book Antiqua" w:eastAsia="Times New Roman" w:hAnsi="Book Antiqua"/>
          <w:color w:val="000000"/>
          <w:szCs w:val="24"/>
          <w:lang w:val="es-PR"/>
        </w:rPr>
        <w:t xml:space="preserve">del </w:t>
      </w:r>
      <w:r w:rsidR="007A063B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“</w:t>
      </w: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Programa de Albergue de Asistencia y Protección de Víctimas y Testigos</w:t>
      </w:r>
      <w:r w:rsidR="00265A00" w:rsidRPr="007A063B">
        <w:rPr>
          <w:rFonts w:ascii="Book Antiqua" w:eastAsia="Courier New" w:hAnsi="Book Antiqua" w:cs="Courier New"/>
          <w:color w:val="000000" w:themeColor="text1"/>
          <w:lang w:val="es-PR"/>
        </w:rPr>
        <w:t>”</w:t>
      </w:r>
      <w:r w:rsidR="00265A00">
        <w:rPr>
          <w:rFonts w:ascii="Book Antiqua" w:eastAsia="Courier New" w:hAnsi="Book Antiqua" w:cs="Courier New"/>
          <w:color w:val="000000" w:themeColor="text1"/>
          <w:lang w:val="es-PR"/>
        </w:rPr>
        <w:t>.</w:t>
      </w:r>
      <w:r w:rsidR="00265A00">
        <w:rPr>
          <w:rFonts w:ascii="Book Antiqua" w:eastAsia="Times New Roman" w:hAnsi="Book Antiqua"/>
          <w:color w:val="000000"/>
          <w:szCs w:val="24"/>
          <w:lang w:val="es-PR"/>
        </w:rPr>
        <w:t xml:space="preserve"> </w:t>
      </w:r>
    </w:p>
    <w:p w14:paraId="2660F23D" w14:textId="38B03895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lang w:val="es-PR"/>
        </w:rPr>
      </w:pPr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 xml:space="preserve">Se establece </w:t>
      </w:r>
      <w:r w:rsidR="007A063B" w:rsidRPr="007A063B">
        <w:rPr>
          <w:rFonts w:ascii="Book Antiqua" w:eastAsia="Courier New" w:hAnsi="Book Antiqua" w:cs="Courier New"/>
          <w:color w:val="000000" w:themeColor="text1"/>
          <w:lang w:val="es-PR"/>
        </w:rPr>
        <w:t>el “</w:t>
      </w:r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Programa del Albergue de Asistencia y Protección a Víctimas y Testigos” como dos (2) unidades separadas. Una unidad será el “Hogar para Víctimas de Delito</w:t>
      </w:r>
      <w:r w:rsidR="003921B4">
        <w:rPr>
          <w:rFonts w:ascii="Book Antiqua" w:eastAsia="Courier New" w:hAnsi="Book Antiqua" w:cs="Courier New"/>
          <w:color w:val="000000" w:themeColor="text1"/>
          <w:lang w:val="es-PR"/>
        </w:rPr>
        <w:t>”</w:t>
      </w:r>
      <w:r w:rsidR="004F0B53" w:rsidRPr="007A063B">
        <w:rPr>
          <w:rFonts w:ascii="Book Antiqua" w:eastAsia="Courier New" w:hAnsi="Book Antiqua" w:cs="Courier New"/>
          <w:color w:val="000000" w:themeColor="text1"/>
          <w:lang w:val="es-PR"/>
        </w:rPr>
        <w:t xml:space="preserve"> </w:t>
      </w:r>
      <w:r w:rsidR="007A063B" w:rsidRPr="007A063B">
        <w:rPr>
          <w:rFonts w:ascii="Book Antiqua" w:eastAsia="Courier New" w:hAnsi="Book Antiqua" w:cs="Courier New"/>
          <w:color w:val="000000" w:themeColor="text1"/>
          <w:lang w:val="es-PR"/>
        </w:rPr>
        <w:t>(</w:t>
      </w:r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HVDD), adscrita a la Oficina de Compensación y Servicios a las Víctimas y</w:t>
      </w:r>
      <w:r w:rsidRPr="007A063B">
        <w:rPr>
          <w:rFonts w:ascii="Book Antiqua" w:hAnsi="Book Antiqua"/>
          <w:color w:val="000000" w:themeColor="text1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Tes</w:t>
      </w:r>
      <w:r w:rsidRPr="007A063B">
        <w:rPr>
          <w:rFonts w:ascii="Book Antiqua" w:hAnsi="Book Antiqua"/>
          <w:color w:val="000000" w:themeColor="text1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igos de Delito La o</w:t>
      </w:r>
      <w:r w:rsidRPr="007A063B">
        <w:rPr>
          <w:rFonts w:ascii="Book Antiqua" w:hAnsi="Book Antiqua"/>
          <w:color w:val="000000" w:themeColor="text1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ra unidad será el “Centro de Protección a Testigos Cooperadores</w:t>
      </w:r>
      <w:bookmarkStart w:id="3" w:name="_Hlk191567393"/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”</w:t>
      </w:r>
      <w:bookmarkEnd w:id="3"/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 xml:space="preserve"> (CPTC), adscrita a la Oficina del </w:t>
      </w:r>
      <w:proofErr w:type="gramStart"/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Jefe</w:t>
      </w:r>
      <w:proofErr w:type="gramEnd"/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 xml:space="preserve"> de Fiscales.  Ambas unidades tendrán un propósito determinado, mantendrán estructuras administrativas separadas y atenderán poblaciones diferentes. La estruct</w:t>
      </w:r>
      <w:r w:rsidRPr="007A063B">
        <w:rPr>
          <w:rFonts w:ascii="Book Antiqua" w:hAnsi="Book Antiqua"/>
          <w:color w:val="000000" w:themeColor="text1"/>
          <w:lang w:val="es-PR"/>
        </w:rPr>
        <w:t>u</w:t>
      </w:r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ra física de cada unidad será separada de forma tal que garantice que la población de testigos y la población de víc</w:t>
      </w:r>
      <w:r w:rsidRPr="007A063B">
        <w:rPr>
          <w:rFonts w:ascii="Book Antiqua" w:hAnsi="Book Antiqua"/>
          <w:color w:val="000000" w:themeColor="text1"/>
          <w:lang w:val="es-PR"/>
        </w:rPr>
        <w:t>ti</w:t>
      </w:r>
      <w:r w:rsidRPr="007A063B">
        <w:rPr>
          <w:rFonts w:ascii="Book Antiqua" w:eastAsia="Courier New" w:hAnsi="Book Antiqua" w:cs="Courier New"/>
          <w:color w:val="000000" w:themeColor="text1"/>
          <w:lang w:val="es-PR"/>
        </w:rPr>
        <w:t>mas no tendrán acceso una a la otra.</w:t>
      </w:r>
    </w:p>
    <w:p w14:paraId="7039DB42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lastRenderedPageBreak/>
        <w:t>Artículo 6.- Centro de Protección a Testigos Cooperadores.</w:t>
      </w:r>
    </w:p>
    <w:p w14:paraId="769D6FA7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El C</w:t>
      </w:r>
      <w:r w:rsidRPr="007A063B">
        <w:rPr>
          <w:rFonts w:ascii="Book Antiqua" w:hAnsi="Book Antiqua"/>
          <w:color w:val="000000"/>
          <w:szCs w:val="24"/>
          <w:lang w:val="es-PR"/>
        </w:rPr>
        <w:t>P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TC comprenderá una estructura destinada a la protección de testigos cooperadores, con o sin expediente criminal, que por recomendación de un fiscal deben ser protegidos mientras cooperan con una investigación y/ o un proceso judicial.</w:t>
      </w:r>
    </w:p>
    <w:p w14:paraId="10D16377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El C</w:t>
      </w:r>
      <w:r w:rsidRPr="007A063B">
        <w:rPr>
          <w:rFonts w:ascii="Book Antiqua" w:hAnsi="Book Antiqua"/>
          <w:color w:val="000000"/>
          <w:szCs w:val="24"/>
          <w:lang w:val="es-PR"/>
        </w:rPr>
        <w:t>P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TC tendrá un área separada para hombres adultos y adolescentes y otra para mujeres adultas, y adolescentes y familias.</w:t>
      </w:r>
    </w:p>
    <w:p w14:paraId="4BE18134" w14:textId="1803742E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designará un Administrador del CPTC para dirigir la operación del CPTC, que estará bajo la supervisión directa del Jefe de Fiscales. El Adminis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rador tendrá los siguientes deberes y responsabilidades:</w:t>
      </w:r>
    </w:p>
    <w:p w14:paraId="252691D7" w14:textId="5BC2D85A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1) Establecerá todas las medidas de seguridad necesarias para la protección de los testigos cooperadores. Asignará y coordinará los tumos de trabajo y las labores del contingente de seguridad que dará servicio a dicha unidad.</w:t>
      </w:r>
    </w:p>
    <w:p w14:paraId="53B5B8CD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2) Tendrá a su cargo el personal de oficina, compras, transportación, lavandería, cocina, jardinería, mantenimiento, mensajería y otros asuntos afines.</w:t>
      </w:r>
    </w:p>
    <w:p w14:paraId="7D7F6630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3) Establecerá las reglas para la adminis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ración y uso de las instalaciones del comedor, lavandería, habitación, recreación, educación y en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radas y salidas separadas para los residentes.</w:t>
      </w:r>
    </w:p>
    <w:p w14:paraId="1B8037DA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4) Recopilará las estadísticas sobre la operación de las unidades y preparará las propuestas necesarias para obten</w:t>
      </w:r>
      <w:r w:rsidRPr="007A063B">
        <w:rPr>
          <w:rFonts w:ascii="Book Antiqua" w:hAnsi="Book Antiqua"/>
          <w:color w:val="000000"/>
          <w:szCs w:val="24"/>
          <w:lang w:val="es-PR"/>
        </w:rPr>
        <w:t>er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fondos estatales y federales.  Rendirá informes 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rimestrales y proveerá la información necesaria para que los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Directores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completen los informes federales y estatales que le sean requeridos.</w:t>
      </w:r>
    </w:p>
    <w:p w14:paraId="20EB55C7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5) Coordinará los servicios a ser ofrecidos en el CPTC, los horarios de visita y autorización de salidas.</w:t>
      </w:r>
    </w:p>
    <w:p w14:paraId="7F4673E1" w14:textId="68C6EF1B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6)</w:t>
      </w:r>
      <w:r w:rsidR="0063096E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Coordinará los servicios psicológicos, </w:t>
      </w:r>
      <w:r w:rsidRPr="007A063B">
        <w:rPr>
          <w:rFonts w:ascii="Book Antiqua" w:hAnsi="Book Antiqua"/>
          <w:color w:val="000000"/>
          <w:szCs w:val="24"/>
          <w:lang w:val="es-PR"/>
        </w:rPr>
        <w:t>de transportación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citas médicas y cualquier otro servicio requerido por los </w:t>
      </w:r>
      <w:r w:rsidRPr="007A063B">
        <w:rPr>
          <w:rFonts w:ascii="Book Antiqua" w:hAnsi="Book Antiqua"/>
          <w:color w:val="000000"/>
          <w:szCs w:val="24"/>
          <w:lang w:val="es-PR"/>
        </w:rPr>
        <w:t>testigos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cooperadores.</w:t>
      </w:r>
    </w:p>
    <w:p w14:paraId="4CD86E9B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7) Recomendará la expulsión de cualquier </w:t>
      </w:r>
      <w:r w:rsidRPr="007A063B">
        <w:rPr>
          <w:rFonts w:ascii="Book Antiqua" w:hAnsi="Book Antiqua"/>
          <w:color w:val="000000"/>
          <w:szCs w:val="24"/>
          <w:lang w:val="es-PR"/>
        </w:rPr>
        <w:t>testigo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cooperador residente en el CPTC que incumpla con los reglamentos y normas establecidas.</w:t>
      </w:r>
    </w:p>
    <w:p w14:paraId="2618117E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8) Ejercerá cualquier otra función y asignación adicional que designe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para la </w:t>
      </w:r>
      <w:r w:rsidRPr="007A063B">
        <w:rPr>
          <w:rFonts w:ascii="Book Antiqua" w:hAnsi="Book Antiqua"/>
          <w:color w:val="000000"/>
          <w:szCs w:val="24"/>
          <w:lang w:val="es-PR"/>
        </w:rPr>
        <w:t>administración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CPTC o que se disponga mediante reglamentación.</w:t>
      </w:r>
    </w:p>
    <w:p w14:paraId="0463D8CE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Artículo 7.- Hogar de Víctimas de Delito.</w:t>
      </w:r>
    </w:p>
    <w:p w14:paraId="05811C00" w14:textId="4C059173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HVDD comprenderá una o varias estructuras destinadas a la protección de víctimas de delito que, por recomendación de la Oficina de Compensación y Servicios a las </w:t>
      </w:r>
      <w:r w:rsidRPr="007A063B">
        <w:rPr>
          <w:rFonts w:ascii="Book Antiqua" w:hAnsi="Book Antiqua"/>
          <w:color w:val="000000"/>
          <w:szCs w:val="24"/>
          <w:lang w:val="es-PR"/>
        </w:rPr>
        <w:t>Víctimas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Testigos de Delito o la Oficina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Jefe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</w:t>
      </w:r>
      <w:r w:rsidR="00F430A3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los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Fiscales, deben ser protegidas </w:t>
      </w:r>
      <w:r w:rsidRPr="007A063B">
        <w:rPr>
          <w:rFonts w:ascii="Book Antiqua" w:hAnsi="Book Antiqua"/>
          <w:color w:val="000000"/>
          <w:szCs w:val="24"/>
          <w:lang w:val="es-PR"/>
        </w:rPr>
        <w:t>mientras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cooperan con una investigación criminal o proceso judicial, tengan necesidad de protección y albergue de </w:t>
      </w:r>
      <w:r w:rsidRPr="007A063B">
        <w:rPr>
          <w:rFonts w:ascii="Book Antiqua" w:hAnsi="Book Antiqua"/>
          <w:noProof/>
          <w:color w:val="000000"/>
          <w:szCs w:val="24"/>
          <w:lang w:val="es-PR"/>
        </w:rPr>
        <w:t xml:space="preserve">emergencia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o que por protección deban relocalizarse a otra vivienda o jurisdicción. El HVDD tendrá un área separada para hombres adultos y adolescentes y otra para mujeres adultas y adolescentes y fa</w:t>
      </w:r>
      <w:r w:rsidRPr="007A063B">
        <w:rPr>
          <w:rFonts w:ascii="Book Antiqua" w:hAnsi="Book Antiqua"/>
          <w:color w:val="000000"/>
          <w:szCs w:val="24"/>
          <w:lang w:val="es-PR"/>
        </w:rPr>
        <w:t>m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ilias.</w:t>
      </w:r>
    </w:p>
    <w:p w14:paraId="451BD237" w14:textId="35DC2DB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por recomendación del Director de la Oficina de Compensación y Servicios a las Víctimas y Testigos de Delito, designará un Administrador del HVDD para dirigir la operación del HVDD que estará bajo la supervisión directa del Director de la Oficina de Compensación y Servicios a las Víctimas y Testigos de Delito. El </w:t>
      </w:r>
      <w:r w:rsidRPr="007A063B">
        <w:rPr>
          <w:rFonts w:ascii="Book Antiqua" w:hAnsi="Book Antiqua"/>
          <w:color w:val="000000"/>
          <w:szCs w:val="24"/>
          <w:lang w:val="es-PR"/>
        </w:rPr>
        <w:t>Administrador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tendrá los siguientes deberes y responsabilidades:</w:t>
      </w:r>
    </w:p>
    <w:p w14:paraId="575C53E2" w14:textId="1EBBAA46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1) Establecerá, supervisará y someterá para la aprobación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</w:t>
      </w:r>
      <w:r w:rsidR="005651D1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 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de Compensación y Servicios a las Víctimas y Testigos de Delito todas las medidas de seguridad necesarias para la protección de las víctimas.</w:t>
      </w:r>
      <w:r w:rsidR="005651D1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Asi</w:t>
      </w:r>
      <w:r w:rsidRPr="007A063B">
        <w:rPr>
          <w:rFonts w:ascii="Book Antiqua" w:hAnsi="Book Antiqua"/>
          <w:color w:val="000000"/>
          <w:szCs w:val="24"/>
          <w:lang w:val="es-PR"/>
        </w:rPr>
        <w:t>g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nará y coordinará los turnos de trabajo y las labores del contingente de seguridad que dará servicio a dicha unidad.</w:t>
      </w:r>
    </w:p>
    <w:p w14:paraId="0C0ADF05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2) Tendrá a su cargo el personal de oficina, enfermería, transportación, lavandería, cocina, jardinería, mantenimiento, mensajería y otros asuntos afines. Respecto a las compras, se dispone que el Administrador se mantendrá en constante comunicación con el oficial enlace de compras entre el Departamento de Justicia y la Administración de Servicios Generales que se designe para atender las necesidades del HVDD.</w:t>
      </w:r>
    </w:p>
    <w:p w14:paraId="181A7519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3) Establecerá y someterá para la aprobación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Víctimas y Testigos del Delito las reglas para la administración y uso de las instalaciones de comedor, lavandería, habitación, recreación, educación y entradas y salidas separadas para estos residentes. Además, asegurará el cumplimiento continuo con tales reglas. </w:t>
      </w:r>
    </w:p>
    <w:p w14:paraId="4A0AEEFD" w14:textId="509A8C65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4) Recopilará las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estadísticas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sobre la operación de las unidades y preparará las propuestas necesarias para obtener fondos estatales y federales. Rendirá informes trimestrales y proveerá la información necesaria para que los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Directores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completen los informes federales y estatales que le sean requeridos.</w:t>
      </w:r>
    </w:p>
    <w:p w14:paraId="207F2E83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5) Coordinará los servicios a ser ofrecidos en el HVDD, los horarios de visita y autorización de salidas.</w:t>
      </w:r>
    </w:p>
    <w:p w14:paraId="4A281FD2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6) Coordinará los servicios psicológicos, transportación, citas médicas y cualquier otro servicio requerido por las víctimas residentes.</w:t>
      </w:r>
    </w:p>
    <w:p w14:paraId="00599907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7) Recomendará la expulsión de cualquier víctima residente en el HVDD que incumpla con los reglamentos y normas establecidas.</w:t>
      </w:r>
    </w:p>
    <w:p w14:paraId="08505DF0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8) Ejercerá cualquier otra función y asignación adicional que designe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el Director de la Oficina de Compensación y Servicios a las Víctimas y Testigos de Delito para la administración del HVDD o que se disponga mediante reglamentación. </w:t>
      </w:r>
    </w:p>
    <w:p w14:paraId="0E30831A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Artículo 8.- Organización Adminis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rativa de las unidades del Programa del Albergue de Asistencia y Protección a Víctimas y Testigos.</w:t>
      </w:r>
    </w:p>
    <w:p w14:paraId="7622462A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Las unidades del HVDD y el CPTC del Departamento brindarán servicios de protección y custodia a las víctimas y testigos de delito que sean referidos al Programa, de conformidad con lo dispuesto por esta Ley y por su reglamentación. La organización y operación de las unidades será como sigue:</w:t>
      </w:r>
    </w:p>
    <w:p w14:paraId="1BEAA006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1. Centro de Protección a Testigos Cooperadores:</w:t>
      </w:r>
    </w:p>
    <w:p w14:paraId="1309D17C" w14:textId="572E82DD" w:rsidR="000A1C62" w:rsidRPr="007A063B" w:rsidRDefault="000A1C62" w:rsidP="007A063B">
      <w:pPr>
        <w:spacing w:line="480" w:lineRule="auto"/>
        <w:ind w:left="708"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CPTC estará bajo la dirección </w:t>
      </w:r>
      <w:r w:rsidRPr="007A063B">
        <w:rPr>
          <w:rFonts w:ascii="Book Antiqua" w:hAnsi="Book Antiqua"/>
          <w:color w:val="000000"/>
          <w:szCs w:val="24"/>
          <w:lang w:val="es-PR"/>
        </w:rPr>
        <w:t>administrativa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Jefe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</w:t>
      </w:r>
      <w:r w:rsidR="00F53686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los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Fiscales, quien tendrá los siguientes deberes y facultades:</w:t>
      </w:r>
    </w:p>
    <w:p w14:paraId="7AB64A93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a) Evaluará los casos que le sean referidos y determinará los servicios que ofrecerá al testigo cooperador. La evaluación de cada caso se realizará conforme a las normas que establezca mediante reglamento u orden interna.</w:t>
      </w:r>
    </w:p>
    <w:p w14:paraId="3E57E303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b) Tendrá la facultad, con la asistencia técnica de la Secretaría Auxiliar de Asesoramiento, para promulgar los reglamentos y </w:t>
      </w:r>
      <w:r w:rsidRPr="007A063B">
        <w:rPr>
          <w:rFonts w:ascii="Book Antiqua" w:hAnsi="Book Antiqua"/>
          <w:color w:val="000000"/>
          <w:szCs w:val="24"/>
          <w:lang w:val="es-PR"/>
        </w:rPr>
        <w:t>directrices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internas que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sean necesarias para establecer los requisitos de admisión, los procesos de referido, normas internas y de administración que regirán las operaciones del CPTC.</w:t>
      </w:r>
    </w:p>
    <w:p w14:paraId="4CACBC70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c) Identificará, en coordinación con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Recursos 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Externos,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las fuentes de fondos federales y estatales para la operación del CPTC y proveerá apoyo técnico al Administrador para la redacción de propuestas e informes federales.</w:t>
      </w:r>
    </w:p>
    <w:p w14:paraId="19C5E011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d) Estará a cargo de supervisar al </w:t>
      </w:r>
      <w:r w:rsidRPr="007A063B">
        <w:rPr>
          <w:rFonts w:ascii="Book Antiqua" w:hAnsi="Book Antiqua"/>
          <w:color w:val="000000"/>
          <w:szCs w:val="24"/>
          <w:lang w:val="es-PR"/>
        </w:rPr>
        <w:t>Administrador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designado.</w:t>
      </w:r>
    </w:p>
    <w:p w14:paraId="5731BBAC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e) Supervisará la recopilación de estadísticas y la redacción de propuestas federales y estatales, además tra</w:t>
      </w:r>
      <w:r w:rsidRPr="007A063B">
        <w:rPr>
          <w:rFonts w:ascii="Book Antiqua" w:hAnsi="Book Antiqua"/>
          <w:color w:val="000000"/>
          <w:szCs w:val="24"/>
          <w:lang w:val="es-PR"/>
        </w:rPr>
        <w:t>mitará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los contratos necesarios para ofrecer los servicios.</w:t>
      </w:r>
    </w:p>
    <w:p w14:paraId="29F9AAF9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f) Mantendrá informado al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sobre las operaciones del CPTC.</w:t>
      </w:r>
    </w:p>
    <w:p w14:paraId="6A20E51A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g) Realizará las gestiones </w:t>
      </w:r>
      <w:proofErr w:type="spell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interagenciales</w:t>
      </w:r>
      <w:proofErr w:type="spell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necesarias para la operación del CPTC.</w:t>
      </w:r>
    </w:p>
    <w:p w14:paraId="0B01FDB3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h) Orientará a los fiscales sobre los servicios y reglamentación del CPTC.</w:t>
      </w:r>
    </w:p>
    <w:p w14:paraId="666E7B0A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2. Hogar de Víctimas de Delito:</w:t>
      </w:r>
    </w:p>
    <w:p w14:paraId="3773259F" w14:textId="77777777" w:rsidR="000A1C62" w:rsidRPr="007A063B" w:rsidRDefault="000A1C62" w:rsidP="007A063B">
      <w:pPr>
        <w:spacing w:line="480" w:lineRule="auto"/>
        <w:ind w:left="708"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HVDD estará bajo la dirección </w:t>
      </w:r>
      <w:r w:rsidRPr="007A063B">
        <w:rPr>
          <w:rFonts w:ascii="Book Antiqua" w:hAnsi="Book Antiqua"/>
          <w:color w:val="000000"/>
          <w:szCs w:val="24"/>
          <w:lang w:val="es-PR"/>
        </w:rPr>
        <w:t>administrativa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</w:t>
      </w:r>
      <w:r w:rsidRPr="007A063B">
        <w:rPr>
          <w:rFonts w:ascii="Book Antiqua" w:hAnsi="Book Antiqua"/>
          <w:color w:val="000000"/>
          <w:szCs w:val="24"/>
          <w:lang w:val="es-PR"/>
        </w:rPr>
        <w:t>timas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Testigos de Delito, quien tendrá los siguientes deberes y facultades:</w:t>
      </w:r>
    </w:p>
    <w:p w14:paraId="57770952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a) Evaluará cada caso que le sea referido y determinará cuáles servicios ofrecerá a las víc</w:t>
      </w:r>
      <w:r w:rsidRPr="007A063B">
        <w:rPr>
          <w:rFonts w:ascii="Book Antiqua" w:hAnsi="Book Antiqua"/>
          <w:color w:val="000000"/>
          <w:szCs w:val="24"/>
          <w:lang w:val="es-PR"/>
        </w:rPr>
        <w:t>timas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delito. La evaluación de cada caso se realizará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conforme a las normas que establezca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, mediante reglamento u orden interna.</w:t>
      </w:r>
    </w:p>
    <w:p w14:paraId="0CAD7059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b) Tendrá la facultad, con la asistencia técnica de la Secretaría Auxiliar de Asesoramiento, para promulgar los reglamentos y directrices internas que sean necesarias para establecer los requisitos de admisión, los procesos de referido, normas internas y de administración que regirán las operaciones del HVDD.</w:t>
      </w:r>
    </w:p>
    <w:p w14:paraId="74BBCCD6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c) Asignará los Técnicos de Servicio a Víctimas y los Técnicos de Compensación que ofrecerán servicios a las víctimas residentes en el HVDD y coordinará las visitas que sean necesarias.</w:t>
      </w:r>
    </w:p>
    <w:p w14:paraId="63AE2B05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d) Identificará, con la asistencia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Recursos Externos, fuentes de fondos federales y estatales para la operación del HVDD y proveerá apoyo técnico al </w:t>
      </w:r>
      <w:r w:rsidRPr="007A063B">
        <w:rPr>
          <w:rFonts w:ascii="Book Antiqua" w:hAnsi="Book Antiqua"/>
          <w:color w:val="000000"/>
          <w:szCs w:val="24"/>
          <w:lang w:val="es-PR"/>
        </w:rPr>
        <w:t>Administrador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para la redacción de propuestas e informes federales.</w:t>
      </w:r>
    </w:p>
    <w:p w14:paraId="2BB553A2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e) Estará a cargo de supervisar al </w:t>
      </w:r>
      <w:r w:rsidRPr="007A063B">
        <w:rPr>
          <w:rFonts w:ascii="Book Antiqua" w:hAnsi="Book Antiqua"/>
          <w:color w:val="000000"/>
          <w:szCs w:val="24"/>
          <w:lang w:val="es-PR"/>
        </w:rPr>
        <w:t>Administrador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designado para el HVDD; supervisará la recopilación de estadísticas y la redacción de propuestas federales y estatales; tramitará los contratos necesarios para ofrecer los servicios; mantendrá informado al Secretario sobre las operaciones del HVDD; realizará las gestiones </w:t>
      </w:r>
      <w:proofErr w:type="spell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interagenciales</w:t>
      </w:r>
      <w:proofErr w:type="spell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necesarias para la operación; y orientará a la comunidad y a los profesionales que </w:t>
      </w:r>
      <w:r w:rsidRPr="007A063B">
        <w:rPr>
          <w:rFonts w:ascii="Book Antiqua" w:hAnsi="Book Antiqua"/>
          <w:color w:val="000000"/>
          <w:szCs w:val="24"/>
          <w:lang w:val="es-PR"/>
        </w:rPr>
        <w:t>trabajan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con víctimas de delito sobre los servicios y reglamentación del CVTC.</w:t>
      </w:r>
    </w:p>
    <w:p w14:paraId="66562825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3. Administración:</w:t>
      </w:r>
    </w:p>
    <w:p w14:paraId="124EF96C" w14:textId="77777777" w:rsidR="000A1C62" w:rsidRPr="007A063B" w:rsidRDefault="000A1C62" w:rsidP="007A063B">
      <w:pPr>
        <w:spacing w:line="480" w:lineRule="auto"/>
        <w:ind w:left="708"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La unidad del CVTC estará a cargo de un </w:t>
      </w:r>
      <w:r w:rsidRPr="007A063B">
        <w:rPr>
          <w:rFonts w:ascii="Book Antiqua" w:hAnsi="Book Antiqua"/>
          <w:color w:val="000000"/>
          <w:szCs w:val="24"/>
          <w:lang w:val="es-PR"/>
        </w:rPr>
        <w:t>Administrador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designado por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quien coordinará la fase </w:t>
      </w:r>
      <w:r w:rsidRPr="007A063B">
        <w:rPr>
          <w:rFonts w:ascii="Book Antiqua" w:hAnsi="Book Antiqua"/>
          <w:color w:val="000000"/>
          <w:szCs w:val="24"/>
          <w:lang w:val="es-PR"/>
        </w:rPr>
        <w:t>administrativa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según lo dispuesto en el Artículo 6, bajo la supervisión del Jefe de Fiscales.  La unidad del HVDD estará a cargo de un Administrador desig</w:t>
      </w:r>
      <w:r w:rsidRPr="007A063B">
        <w:rPr>
          <w:rFonts w:ascii="Book Antiqua" w:hAnsi="Book Antiqua"/>
          <w:color w:val="000000"/>
          <w:szCs w:val="24"/>
          <w:lang w:val="es-PR"/>
        </w:rPr>
        <w:t>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ado por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quien coordinará la fase administrativa según lo dispuesto en el </w:t>
      </w:r>
      <w:r w:rsidRPr="007A063B">
        <w:rPr>
          <w:rFonts w:ascii="Book Antiqua" w:hAnsi="Book Antiqua"/>
          <w:color w:val="000000"/>
          <w:szCs w:val="24"/>
          <w:lang w:val="es-PR"/>
        </w:rPr>
        <w:t>Artículo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7, bajo la supervisión del Director de la Oficina de Compensación y Servicios a las Víctimas y Testigos de Delito.</w:t>
      </w:r>
    </w:p>
    <w:p w14:paraId="7AC35FE0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4. Área Técnica:</w:t>
      </w:r>
    </w:p>
    <w:p w14:paraId="344204B2" w14:textId="77777777" w:rsidR="000A1C62" w:rsidRPr="007A063B" w:rsidRDefault="000A1C62" w:rsidP="007A063B">
      <w:pPr>
        <w:spacing w:line="480" w:lineRule="auto"/>
        <w:ind w:left="708"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El Área Téc</w:t>
      </w:r>
      <w:r w:rsidRPr="007A063B">
        <w:rPr>
          <w:rFonts w:ascii="Book Antiqua" w:hAnsi="Book Antiqua"/>
          <w:color w:val="000000"/>
          <w:szCs w:val="24"/>
          <w:lang w:val="es-PR"/>
        </w:rPr>
        <w:t>nica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comprende todo el personal responsable de ofrecer directamente los servicios que se proveen a los usuarios de las unidades del CPTC y el HVDD.  El Área Técnica de cada unidad, que estará bajo la supervisión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, se subdivide en los siguientes componentes:</w:t>
      </w:r>
    </w:p>
    <w:p w14:paraId="63BADEED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a) Componente de Seguridad: Estará compuesta por personal de seguridad </w:t>
      </w:r>
      <w:r w:rsidRPr="007A063B">
        <w:rPr>
          <w:rFonts w:ascii="Book Antiqua" w:hAnsi="Book Antiqua"/>
          <w:noProof/>
          <w:color w:val="000000"/>
          <w:szCs w:val="24"/>
          <w:lang w:val="es-PR"/>
        </w:rPr>
        <w:t xml:space="preserve">designado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o contratado por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, quienes serán responsables de la seguridad interna y externa de las unidades. Este componente también será responsable de la bóveda de ar</w:t>
      </w:r>
      <w:r w:rsidRPr="007A063B">
        <w:rPr>
          <w:rFonts w:ascii="Book Antiqua" w:hAnsi="Book Antiqua"/>
          <w:color w:val="000000"/>
          <w:szCs w:val="24"/>
          <w:lang w:val="es-PR"/>
        </w:rPr>
        <w:t>m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as y equipo de seguridad.</w:t>
      </w:r>
    </w:p>
    <w:p w14:paraId="13072821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b) Componente de Servicios Profesionales: Estará compuesta por los profesionales responsables de velar por la salud mental y física de los residentes de las unidades. Se clasificarán dentro de esta unidad los técnicos de asistencia a víc</w:t>
      </w:r>
      <w:r w:rsidRPr="007A063B">
        <w:rPr>
          <w:rFonts w:ascii="Book Antiqua" w:hAnsi="Book Antiqua"/>
          <w:color w:val="000000"/>
          <w:szCs w:val="24"/>
          <w:lang w:val="es-PR"/>
        </w:rPr>
        <w:t>ti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mas, 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rabajadores sociales, psicólogos y enfermeras. Estos puestos, así como cualquier </w:t>
      </w:r>
      <w:r w:rsidRPr="007A063B">
        <w:rPr>
          <w:rFonts w:ascii="Book Antiqua" w:hAnsi="Book Antiqua"/>
          <w:color w:val="000000"/>
          <w:szCs w:val="24"/>
          <w:lang w:val="es-PR"/>
        </w:rPr>
        <w:t>otro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que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</w:t>
      </w:r>
      <w:r w:rsidRPr="007A063B">
        <w:rPr>
          <w:rFonts w:ascii="Book Antiqua" w:hAnsi="Book Antiqua"/>
          <w:color w:val="000000"/>
          <w:szCs w:val="24"/>
          <w:lang w:val="es-PR"/>
        </w:rPr>
        <w:t>cre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estime necesario, se designarán de acuerdo con el presupuesto y las necesidades de cada una de las unidades.</w:t>
      </w:r>
    </w:p>
    <w:p w14:paraId="149B4166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c) Componente de Archivo y Coordinación: Estará compuesto de al menos un Coordinador de Servicios, nombrado o </w:t>
      </w:r>
      <w:r w:rsidRPr="007A063B">
        <w:rPr>
          <w:rFonts w:ascii="Book Antiqua" w:hAnsi="Book Antiqua"/>
          <w:color w:val="000000"/>
          <w:szCs w:val="24"/>
          <w:lang w:val="es-PR"/>
        </w:rPr>
        <w:t>contratado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por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por el Director de la Oficina de Compensación y Servicios a las Víctimas y Testigos del Delito o el Jefe de Fiscales. El Coordinador será responsable del control de los expedientes confidenciales de los participantes del programa, a los que solo se podrán tener acceso a petición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Justicia, la Oficina de Jefa de Fiscales, el Director o el personal designado por estos. Este f</w:t>
      </w:r>
      <w:r w:rsidRPr="007A063B">
        <w:rPr>
          <w:rFonts w:ascii="Book Antiqua" w:hAnsi="Book Antiqua"/>
          <w:color w:val="000000"/>
          <w:szCs w:val="24"/>
          <w:lang w:val="es-PR"/>
        </w:rPr>
        <w:t>u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ncionario coordinará los servicios de salud, vivienda, asistencia econó</w:t>
      </w:r>
      <w:r w:rsidRPr="007A063B">
        <w:rPr>
          <w:rFonts w:ascii="Book Antiqua" w:hAnsi="Book Antiqua"/>
          <w:color w:val="000000"/>
          <w:szCs w:val="24"/>
          <w:lang w:val="es-PR"/>
        </w:rPr>
        <w:t>m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ica y otros que sean necesarios y a los que tengan derecho las víctimas con las agencias estatales, federales y ex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ranjeras. También coordinará las citaciones y la transportación aérea, marítima y terrestre. El Administrador, 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Víctimas y Testigos del Delito o el Jefe de Fiscales podrán asignar otras funciones al Coordinador de Servicios, según surja la necesidad. </w:t>
      </w:r>
    </w:p>
    <w:p w14:paraId="23289D81" w14:textId="77777777" w:rsidR="000A1C62" w:rsidRPr="007A063B" w:rsidRDefault="000A1C62" w:rsidP="007A063B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d) Componente Pagador Especial: Estará a cargo de un empleado en cada unidad, autorizado por el Departamento de Hacienda. Será responsable de recibir, tramitar y desembolsar las peticiones de fondos destinadas a cubrir la operación y los servicios provistos por el Albergue. Será custodio de la caja menuda y preparará todos los informes que sean necesarios para el Departamento de Hacienda y uso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. Asistirá al </w:t>
      </w:r>
      <w:r w:rsidRPr="007A063B">
        <w:rPr>
          <w:rFonts w:ascii="Book Antiqua" w:hAnsi="Book Antiqua"/>
          <w:color w:val="000000"/>
          <w:szCs w:val="24"/>
          <w:lang w:val="es-PR"/>
        </w:rPr>
        <w:t>Administrador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en la recopilación de estadísticas financieras y coordinará la obtención de estas con la División de Finanzas.</w:t>
      </w:r>
    </w:p>
    <w:p w14:paraId="682F2139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Esta organización administrativa será la mínima requerida para la operación del programa y no representa una enumeración exhaustiva que limite la facultad del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para modificar la estructura </w:t>
      </w:r>
      <w:r w:rsidRPr="007A063B">
        <w:rPr>
          <w:rFonts w:ascii="Book Antiqua" w:hAnsi="Book Antiqua"/>
          <w:color w:val="000000"/>
          <w:szCs w:val="24"/>
          <w:lang w:val="es-PR"/>
        </w:rPr>
        <w:t>administrativa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según lo requieran las necesidades </w:t>
      </w:r>
      <w:r w:rsidRPr="007A063B">
        <w:rPr>
          <w:rFonts w:ascii="Book Antiqua" w:hAnsi="Book Antiqua"/>
          <w:color w:val="000000"/>
          <w:szCs w:val="24"/>
          <w:lang w:val="es-PR"/>
        </w:rPr>
        <w:t>d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el pro</w:t>
      </w:r>
      <w:r w:rsidRPr="007A063B">
        <w:rPr>
          <w:rFonts w:ascii="Book Antiqua" w:hAnsi="Book Antiqua"/>
          <w:color w:val="000000"/>
          <w:szCs w:val="24"/>
          <w:lang w:val="es-PR"/>
        </w:rPr>
        <w:t>gra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ma.</w:t>
      </w:r>
    </w:p>
    <w:p w14:paraId="731A6CDC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Artículo 9.- Línea de Emergencia de Servicio a Víctimas y Testigos.</w:t>
      </w:r>
    </w:p>
    <w:p w14:paraId="57CF1600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Departamento de Justicia, podrá establecer, si los recursos lo permiten, una línea de emergencia al servicio de víctimas de delitos y testigos, ante cualquier amenaza </w:t>
      </w:r>
      <w:r w:rsidRPr="007A063B">
        <w:rPr>
          <w:rFonts w:ascii="Book Antiqua" w:hAnsi="Book Antiqua"/>
          <w:color w:val="000000"/>
          <w:szCs w:val="24"/>
          <w:lang w:val="es-PR"/>
        </w:rPr>
        <w:t>contra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sus vidas.</w:t>
      </w:r>
    </w:p>
    <w:p w14:paraId="3E8BF55C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Toda persona que cualifique para asistencia o protección al amparo de esta Ley deberá ser orientada sobre la existencia y utilización de la línea de emergencia.</w:t>
      </w:r>
    </w:p>
    <w:p w14:paraId="1A50B1D3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 xml:space="preserve">Artículo 10.- Facultad del </w:t>
      </w:r>
      <w:proofErr w:type="gramStart"/>
      <w:r w:rsidRPr="007A063B">
        <w:rPr>
          <w:rFonts w:ascii="Book Antiqua" w:eastAsia="Times New Roman" w:hAnsi="Book Antiqua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Times New Roman" w:hAnsi="Book Antiqua"/>
          <w:color w:val="000000"/>
          <w:szCs w:val="24"/>
          <w:lang w:val="es-PR"/>
        </w:rPr>
        <w:t xml:space="preserve"> de Justicia para Activar otros Servicios.</w:t>
      </w:r>
    </w:p>
    <w:p w14:paraId="24C2B89B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podrá tomar las medidas necesarias con el fin de brindar protección y servicios a las personas que cualifiquen bajo las disposiciones de esta Ley, tales como, pero sin limitarse a:</w:t>
      </w:r>
    </w:p>
    <w:p w14:paraId="5D30DAB0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1) Adquirir por compra, arrendamiento o cualquier otra forma, propiedad mueble o inmueble con el propósito de establecer facilidades de alojamiento o albergue temporero a las víctimas y testigos, por el tiempo que sea necesario, cuando la seguridad y vida de estos se encuentre amenazada.</w:t>
      </w:r>
    </w:p>
    <w:p w14:paraId="36427D9C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2) Reubicar a las personas protegidas fuera del área geográfica donde estos han residido, incluyendo fuera de Puerto Rico, siempre y cuando tenga fondos disponibles para proveer ese servicio.</w:t>
      </w:r>
    </w:p>
    <w:p w14:paraId="2FD9A430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3) Brindar a las víctimas de delito acceso a los servicios de compensación para cubrir los gastos de relocalización, médicos, psicológicos, fúnebres y cualquier otro gasto que pueda ser cubierto por la Oficina de Compensación y Servicios a las </w:t>
      </w:r>
      <w:r w:rsidRPr="007A063B">
        <w:rPr>
          <w:rFonts w:ascii="Book Antiqua" w:hAnsi="Book Antiqua"/>
          <w:color w:val="000000"/>
          <w:szCs w:val="24"/>
          <w:lang w:val="es-PR"/>
        </w:rPr>
        <w:t>Víctimas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Testigos de Delito y para los que cualifiquen, según lo dispongan la ley y las reglas pertinentes.</w:t>
      </w:r>
    </w:p>
    <w:p w14:paraId="4B7C8919" w14:textId="1F2B182A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4) Realizar acuerdos colaborativos con el Departamento de Seguridad Pública para que el Negociado de la Policía</w:t>
      </w:r>
      <w:r w:rsidR="003C1135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Puerto Rico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</w:t>
      </w:r>
      <w:r w:rsidR="008E279F"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/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o el NIE, o cualquier otra agencia gubernamental, para la asignación de funcionarios con el propósito de asis</w:t>
      </w:r>
      <w:r w:rsidRPr="007A063B">
        <w:rPr>
          <w:rFonts w:ascii="Book Antiqua" w:hAnsi="Book Antiqua"/>
          <w:color w:val="000000"/>
          <w:szCs w:val="24"/>
          <w:lang w:val="es-PR"/>
        </w:rPr>
        <w:t>ti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 y proteger a las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víctimas y testigos.</w:t>
      </w:r>
    </w:p>
    <w:p w14:paraId="03A45EC0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5) Proveer los servicios de acompañamiento, referidos, intercesores legales, coordinación de servicios </w:t>
      </w:r>
      <w:proofErr w:type="spell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interagenciales</w:t>
      </w:r>
      <w:proofErr w:type="spell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cualquier otro servicio disponible en la División de Asistencia a Víctimas de la Oficina de Compensación y Servicios a las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Víc</w:t>
      </w:r>
      <w:r w:rsidRPr="007A063B">
        <w:rPr>
          <w:rFonts w:ascii="Book Antiqua" w:hAnsi="Book Antiqua"/>
          <w:color w:val="000000"/>
          <w:szCs w:val="24"/>
          <w:lang w:val="es-PR"/>
        </w:rPr>
        <w:t>timas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Testigos de Delito.</w:t>
      </w:r>
    </w:p>
    <w:p w14:paraId="53D396FC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6) Coordinar y/o con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ratar servicios médicos con el Departamento de Salud o instituciones privadas para beneficio de las víctimas y testigos de delito.</w:t>
      </w:r>
    </w:p>
    <w:p w14:paraId="775413F7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7) Coordinar cualquier otro servicio </w:t>
      </w:r>
      <w:proofErr w:type="spell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interagencial</w:t>
      </w:r>
      <w:proofErr w:type="spell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existente en el Departamento que sea para el beneficio de las víctimas y testigos de delito.</w:t>
      </w:r>
    </w:p>
    <w:p w14:paraId="6F8EE370" w14:textId="77777777" w:rsidR="000A1C62" w:rsidRPr="007A063B" w:rsidRDefault="000A1C62" w:rsidP="007A063B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8) Aceptar cualquier donación hecha a nombre o para uso del CPTC y el HVDD para fines exclusivamente de las unidades. </w:t>
      </w:r>
    </w:p>
    <w:p w14:paraId="57B83181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 xml:space="preserve">Artículo 11.- Acuerdos </w:t>
      </w:r>
      <w:proofErr w:type="spellStart"/>
      <w:r w:rsidRPr="007A063B">
        <w:rPr>
          <w:rFonts w:ascii="Book Antiqua" w:eastAsia="Times New Roman" w:hAnsi="Book Antiqua"/>
          <w:color w:val="000000"/>
          <w:szCs w:val="24"/>
          <w:lang w:val="es-PR"/>
        </w:rPr>
        <w:t>Interagenciales</w:t>
      </w:r>
      <w:proofErr w:type="spellEnd"/>
      <w:r w:rsidRPr="007A063B">
        <w:rPr>
          <w:rFonts w:ascii="Book Antiqua" w:eastAsia="Times New Roman" w:hAnsi="Book Antiqua"/>
          <w:color w:val="000000"/>
          <w:szCs w:val="24"/>
          <w:lang w:val="es-PR"/>
        </w:rPr>
        <w:t xml:space="preserve"> de asistencia y colaboración.</w:t>
      </w:r>
    </w:p>
    <w:p w14:paraId="504FF868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autoriza al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</w:t>
      </w:r>
      <w:r w:rsidRPr="007A063B">
        <w:rPr>
          <w:rFonts w:ascii="Book Antiqua" w:hAnsi="Book Antiqua"/>
          <w:color w:val="000000"/>
          <w:szCs w:val="24"/>
          <w:lang w:val="es-PR"/>
        </w:rPr>
        <w:t>cr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 formalizar acuerdos de asistencia y colaboración con las agencias gube</w:t>
      </w:r>
      <w:r w:rsidRPr="007A063B">
        <w:rPr>
          <w:rFonts w:ascii="Book Antiqua" w:hAnsi="Book Antiqua"/>
          <w:color w:val="000000"/>
          <w:szCs w:val="24"/>
          <w:lang w:val="es-PR"/>
        </w:rPr>
        <w:t>rn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amentales enunciadas en este Ar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ículo mediante convenios o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compromisos suscritos en</w:t>
      </w:r>
      <w:r w:rsidRPr="007A063B">
        <w:rPr>
          <w:rFonts w:ascii="Book Antiqua" w:hAnsi="Book Antiqua"/>
          <w:color w:val="000000"/>
          <w:szCs w:val="24"/>
          <w:lang w:val="es-PR"/>
        </w:rPr>
        <w:t>t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re las partes en beneficio de los residentes del CPTC y el HV</w:t>
      </w:r>
      <w:r w:rsidRPr="007A063B">
        <w:rPr>
          <w:rFonts w:ascii="Book Antiqua" w:hAnsi="Book Antiqua"/>
          <w:color w:val="000000"/>
          <w:szCs w:val="24"/>
          <w:lang w:val="es-PR"/>
        </w:rPr>
        <w:t>D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D, en los cuales se establecerá el protocolo a seguir cuando la administración de los albergues solicite los servicios, entre los demás asuntos pertinentes.</w:t>
      </w:r>
    </w:p>
    <w:p w14:paraId="26F97FC1" w14:textId="665A508D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Para este propósito, se ordena a todas las agencias y entidades gubernamentales a proveer la ayuda que sea necesaria para que los albergues puedan cumplir con sus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encomiendas, incluyendo, pero sin limitarse a, apoyo técnico, médico o de enfermería, personal y operacional, medicamentos, materiales, equipo y servicios. </w:t>
      </w:r>
    </w:p>
    <w:p w14:paraId="4CA6DE03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Toda solicitud presentada por el Pr</w:t>
      </w:r>
      <w:r w:rsidRPr="007A063B">
        <w:rPr>
          <w:rFonts w:ascii="Book Antiqua" w:hAnsi="Book Antiqua"/>
          <w:color w:val="000000"/>
          <w:szCs w:val="24"/>
          <w:lang w:val="es-PR"/>
        </w:rPr>
        <w:t>ogr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ama del Albergue de Asistencia y Protección a Víctimas y Testigos a cualquier agencia o entidad se atenderá de forma prioritaria y expedita por los jefes de dichas dependencias gube</w:t>
      </w:r>
      <w:r w:rsidRPr="007A063B">
        <w:rPr>
          <w:rFonts w:ascii="Book Antiqua" w:hAnsi="Book Antiqua"/>
          <w:color w:val="000000"/>
          <w:szCs w:val="24"/>
          <w:lang w:val="es-PR"/>
        </w:rPr>
        <w:t>rn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amentales. La colaboración o apoyo que se solicite será provista libre de costo, siempre que la reglamentación y legislación aplicable así lo permita. </w:t>
      </w:r>
    </w:p>
    <w:p w14:paraId="389FFD32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Todo organismo público que posea un bien inmueble en desuso que sea solicitado por el Departamento de Justicia para los fines de esta Ley, deberá traspasar o ceder el mismo libre de costo siguiendo las disposiciones legales y reglamentarias aplicables. El organismo público tendrá un término máximo de noventa (90) días para completar la cesión o traspaso del bien inmueble, contados a partir desde que el Departamento de Justicia presente su solicitud. </w:t>
      </w:r>
    </w:p>
    <w:p w14:paraId="6CC1346A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Artículo 12.- Elegibilidad para Asistencia y Protección al amparo de esta Ley.</w:t>
      </w:r>
    </w:p>
    <w:p w14:paraId="4B04AAC3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, mediante reglamento, establecerá los criterios de admisión y el sistema de referidos al Programa del Albergue de Asistencia y Protección a Víc</w:t>
      </w:r>
      <w:r w:rsidRPr="007A063B">
        <w:rPr>
          <w:rFonts w:ascii="Book Antiqua" w:hAnsi="Book Antiqua"/>
          <w:color w:val="000000"/>
          <w:szCs w:val="24"/>
          <w:lang w:val="es-PR"/>
        </w:rPr>
        <w:t>tim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as y Testigos. Los referidos tendrán lugar cuando lo reco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miende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un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fiscal, la ví</w:t>
      </w:r>
      <w:r w:rsidRPr="007A063B">
        <w:rPr>
          <w:rFonts w:ascii="Book Antiqua" w:hAnsi="Book Antiqua"/>
          <w:color w:val="000000"/>
          <w:szCs w:val="24"/>
          <w:lang w:val="es-PR"/>
        </w:rPr>
        <w:t>ctima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lo solicite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o se sospeche que una víctima, testigo y familiares de estos están en riesgo de amenaza, ataque o de otra forma de intimidación por parte del sospechoso, acusado, familiares,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amigo o asociados.</w:t>
      </w:r>
    </w:p>
    <w:p w14:paraId="0D17D62E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Artículo 13.- Reglamentación.</w:t>
      </w:r>
    </w:p>
    <w:p w14:paraId="6680664B" w14:textId="53611FA4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establecerá reglamentación para la ad</w:t>
      </w:r>
      <w:r w:rsidRPr="007A063B">
        <w:rPr>
          <w:rFonts w:ascii="Book Antiqua" w:hAnsi="Book Antiqua"/>
          <w:color w:val="000000"/>
          <w:szCs w:val="24"/>
          <w:lang w:val="es-PR"/>
        </w:rPr>
        <w:t>ministración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operación del Programa del Albergue de Asistencia y Protección a Víctimas y Testigos, de conformidad con esta Ley, durante los noventa (90) días siguientes a su aprobación.</w:t>
      </w:r>
      <w:r w:rsidR="00E4460F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La ausencia del reglamento no impedirá que esta Ley entre en vigor.</w:t>
      </w:r>
    </w:p>
    <w:p w14:paraId="66E1454D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Artículo 14.- Fondos.</w:t>
      </w:r>
    </w:p>
    <w:p w14:paraId="6B2C970D" w14:textId="72E4D78D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Los fondos estatales necesarios se consignarán en el presupuesto general de gastos </w:t>
      </w:r>
      <w:r w:rsidRPr="007A063B">
        <w:rPr>
          <w:rFonts w:ascii="Book Antiqua" w:hAnsi="Book Antiqua"/>
          <w:noProof/>
          <w:color w:val="000000"/>
          <w:szCs w:val="24"/>
          <w:lang w:val="es-PR" w:eastAsia="es-PR"/>
        </w:rPr>
        <w:drawing>
          <wp:inline distT="0" distB="0" distL="0" distR="0" wp14:anchorId="05AECC83" wp14:editId="580C8205">
            <wp:extent cx="14605" cy="14605"/>
            <wp:effectExtent l="0" t="0" r="0" b="0"/>
            <wp:docPr id="1361993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del Departamento de Justicia.</w:t>
      </w:r>
    </w:p>
    <w:p w14:paraId="28ABC622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o el funcionario a quien designe, gestionará los fondos federales correspondientes a víctimas y testigos para la </w:t>
      </w:r>
      <w:r w:rsidRPr="007A063B">
        <w:rPr>
          <w:rFonts w:ascii="Book Antiqua" w:hAnsi="Book Antiqua"/>
          <w:color w:val="000000"/>
          <w:szCs w:val="24"/>
          <w:lang w:val="es-PR"/>
        </w:rPr>
        <w:t>administración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u operación del Programa o para otros tipos de asistencia y protección a víctimas y testigos de delito.</w:t>
      </w:r>
    </w:p>
    <w:p w14:paraId="60DCDC4B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Artículo 15.- Interpretación de la Ley.</w:t>
      </w:r>
    </w:p>
    <w:p w14:paraId="13FC1033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Las disposiciones de esta Ley serán interpretadas de la manera que resulte en el mayor beneficio de los residentes del CPTC y el HVDD, siempre que resulte cónsona y </w:t>
      </w:r>
      <w:r w:rsidRPr="007A063B">
        <w:rPr>
          <w:rFonts w:ascii="Book Antiqua" w:hAnsi="Book Antiqua"/>
          <w:color w:val="000000"/>
          <w:szCs w:val="24"/>
          <w:lang w:val="es-PR"/>
        </w:rPr>
        <w:t>afín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 los propósitos de la ley.</w:t>
      </w:r>
    </w:p>
    <w:p w14:paraId="48063E08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Artículo 16.- Separabilidad.</w:t>
      </w:r>
    </w:p>
    <w:p w14:paraId="32869A04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La declaración judicial de inconstitucionalidad sobre cualquier artículo o parte de esta Ley no invalidará sus disposiciones restantes.</w:t>
      </w:r>
    </w:p>
    <w:p w14:paraId="70CF4E83" w14:textId="77777777" w:rsidR="000A1C62" w:rsidRPr="007A063B" w:rsidRDefault="000A1C62" w:rsidP="007A063B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Artículo 17.- Cláusula derogatoria.</w:t>
      </w:r>
    </w:p>
    <w:p w14:paraId="5C03E73B" w14:textId="77777777" w:rsidR="000A1C62" w:rsidRPr="007A063B" w:rsidRDefault="000A1C62" w:rsidP="007A063B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Se deroga la Ley Núm. 77 de 9 de julio de 1986, según enmendada,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conocida como</w:t>
      </w:r>
      <w:r w:rsidRPr="007A063B">
        <w:rPr>
          <w:rFonts w:ascii="Book Antiqua" w:hAnsi="Book Antiqua"/>
          <w:color w:val="000000"/>
          <w:szCs w:val="24"/>
          <w:lang w:val="es-PR"/>
        </w:rPr>
        <w:t xml:space="preserve"> “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Ley para la Protección de Víctimas y Testigos</w:t>
      </w:r>
      <w:r w:rsidRPr="007A063B">
        <w:rPr>
          <w:rFonts w:ascii="Book Antiqua" w:hAnsi="Book Antiqua"/>
          <w:color w:val="000000"/>
          <w:szCs w:val="24"/>
          <w:lang w:val="es-PR"/>
        </w:rPr>
        <w:t>”</w:t>
      </w:r>
      <w:r w:rsidRPr="007A063B">
        <w:rPr>
          <w:rFonts w:ascii="Book Antiqua" w:eastAsia="Courier New" w:hAnsi="Book Antiqua" w:cs="Courier New"/>
          <w:color w:val="000000"/>
          <w:szCs w:val="24"/>
          <w:lang w:val="es-PR"/>
        </w:rPr>
        <w:t>, así como cualquier otra ley o parte de ley, que sea incompatible con los propósitos de la presente.</w:t>
      </w:r>
    </w:p>
    <w:p w14:paraId="73CF77F6" w14:textId="77777777" w:rsidR="008D43B9" w:rsidRDefault="000A1C62" w:rsidP="008D43B9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7A063B">
        <w:rPr>
          <w:rFonts w:ascii="Book Antiqua" w:eastAsia="Times New Roman" w:hAnsi="Book Antiqua"/>
          <w:color w:val="000000"/>
          <w:szCs w:val="24"/>
          <w:lang w:val="es-PR"/>
        </w:rPr>
        <w:t>Artículo 18.- Vigencia.</w:t>
      </w:r>
    </w:p>
    <w:p w14:paraId="6051189F" w14:textId="1F289B03" w:rsidR="008D43B9" w:rsidRPr="008D43B9" w:rsidRDefault="00E4460F" w:rsidP="008D43B9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 Ley entrará en vigor </w:t>
      </w:r>
      <w:bookmarkEnd w:id="1"/>
      <w:r>
        <w:rPr>
          <w:rFonts w:ascii="Book Antiqua" w:eastAsia="Courier New" w:hAnsi="Book Antiqua" w:cs="Courier New"/>
          <w:color w:val="000000"/>
          <w:szCs w:val="24"/>
          <w:lang w:val="es-PR"/>
        </w:rPr>
        <w:t>el 1 de julio de 2025.</w:t>
      </w:r>
      <w:bookmarkStart w:id="4" w:name="_Hlk80359695"/>
      <w:bookmarkStart w:id="5" w:name="_Hlk106092062"/>
      <w:bookmarkStart w:id="6" w:name="_Hlk106909138"/>
      <w:bookmarkStart w:id="7" w:name="_Hlk192258723"/>
    </w:p>
    <w:bookmarkEnd w:id="4"/>
    <w:bookmarkEnd w:id="5"/>
    <w:bookmarkEnd w:id="6"/>
    <w:bookmarkEnd w:id="7"/>
    <w:p w14:paraId="521D3CAA" w14:textId="4362AECF" w:rsidR="00D61E46" w:rsidRPr="008D43B9" w:rsidRDefault="00D61E46" w:rsidP="008D43B9">
      <w:pPr>
        <w:suppressLineNumbers/>
        <w:ind w:left="2074" w:right="2434"/>
        <w:contextualSpacing/>
        <w:jc w:val="center"/>
        <w:rPr>
          <w:rFonts w:ascii="Book Antiqua" w:hAnsi="Book Antiqua" w:cs="Arial"/>
          <w:b/>
          <w:lang w:val="es-ES"/>
        </w:rPr>
      </w:pPr>
    </w:p>
    <w:sectPr w:rsidR="00D61E46" w:rsidRPr="008D43B9" w:rsidSect="000A1C6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7BCF7" w14:textId="77777777" w:rsidR="000A1C62" w:rsidRDefault="000A1C62" w:rsidP="000A1C62">
      <w:r>
        <w:separator/>
      </w:r>
    </w:p>
  </w:endnote>
  <w:endnote w:type="continuationSeparator" w:id="0">
    <w:p w14:paraId="11C5B708" w14:textId="77777777" w:rsidR="000A1C62" w:rsidRDefault="000A1C62" w:rsidP="000A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2C9DA" w14:textId="77777777" w:rsidR="00E75C08" w:rsidRDefault="00E75C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54698" w14:textId="77777777" w:rsidR="00E75C08" w:rsidRDefault="00E75C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B8A4D" w14:textId="77777777" w:rsidR="00E75C08" w:rsidRDefault="00E75C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E55DB" w14:textId="77777777" w:rsidR="000A1C62" w:rsidRDefault="000A1C62" w:rsidP="000A1C62">
      <w:r>
        <w:separator/>
      </w:r>
    </w:p>
  </w:footnote>
  <w:footnote w:type="continuationSeparator" w:id="0">
    <w:p w14:paraId="08DA336C" w14:textId="77777777" w:rsidR="000A1C62" w:rsidRDefault="000A1C62" w:rsidP="000A1C62">
      <w:r>
        <w:continuationSeparator/>
      </w:r>
    </w:p>
  </w:footnote>
  <w:footnote w:id="1">
    <w:p w14:paraId="7FD44188" w14:textId="2B1E6268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360" w:right="0" w:hanging="36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>Ley para la Protección de Víctimas y Testigos, Ley Núm. 77 de 9 de julio de 1986, según enmendada. Artículo 5</w:t>
      </w:r>
      <w:r w:rsidR="00BA16E3">
        <w:rPr>
          <w:rFonts w:ascii="Book Antiqua" w:hAnsi="Book Antiqua"/>
          <w:i/>
          <w:iCs/>
          <w:szCs w:val="20"/>
          <w:u w:val="single"/>
        </w:rPr>
        <w:t>,</w:t>
      </w:r>
      <w:r w:rsidRPr="008E57A7">
        <w:rPr>
          <w:rFonts w:ascii="Book Antiqua" w:hAnsi="Book Antiqua"/>
          <w:szCs w:val="20"/>
        </w:rPr>
        <w:t xml:space="preserve"> </w:t>
      </w:r>
      <w:r w:rsidRPr="008E57A7">
        <w:rPr>
          <w:rFonts w:ascii="Book Antiqua" w:eastAsia="Courier New" w:hAnsi="Book Antiqua" w:cs="Courier New"/>
          <w:szCs w:val="20"/>
        </w:rPr>
        <w:t>Otros servicios de protección.</w:t>
      </w:r>
    </w:p>
  </w:footnote>
  <w:footnote w:id="2">
    <w:p w14:paraId="0CE2FC4A" w14:textId="779970CF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360" w:right="0" w:hanging="36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>Véase, Ley Núm. 28 de 19 de julio de 1987, Sección I - Enmienda al inciso (a) del Artículo 5 de la Ley</w:t>
      </w:r>
      <w:r w:rsidR="00305F81">
        <w:rPr>
          <w:rFonts w:ascii="Book Antiqua" w:hAnsi="Book Antiqua"/>
          <w:szCs w:val="20"/>
        </w:rPr>
        <w:t> </w:t>
      </w:r>
      <w:r w:rsidRPr="008E57A7">
        <w:rPr>
          <w:rFonts w:ascii="Book Antiqua" w:hAnsi="Book Antiqua"/>
          <w:szCs w:val="20"/>
        </w:rPr>
        <w:t xml:space="preserve">Núm. 77 de </w:t>
      </w:r>
      <w:r w:rsidRPr="008E57A7">
        <w:rPr>
          <w:rFonts w:ascii="Book Antiqua" w:eastAsia="Courier New" w:hAnsi="Book Antiqua" w:cs="Courier New"/>
          <w:szCs w:val="20"/>
        </w:rPr>
        <w:t xml:space="preserve">9 de julio de 1986. </w:t>
      </w:r>
      <w:r w:rsidRPr="008E57A7">
        <w:rPr>
          <w:rFonts w:ascii="Book Antiqua" w:hAnsi="Book Antiqua"/>
          <w:noProof/>
          <w:szCs w:val="20"/>
        </w:rPr>
        <w:drawing>
          <wp:inline distT="0" distB="0" distL="0" distR="0" wp14:anchorId="76D7E9F8" wp14:editId="300789C0">
            <wp:extent cx="14605" cy="14605"/>
            <wp:effectExtent l="0" t="0" r="0" b="0"/>
            <wp:docPr id="17908905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4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footnote>
  <w:footnote w:id="3">
    <w:p w14:paraId="7AF55C59" w14:textId="13041486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0" w:right="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 xml:space="preserve">Véase, Ley Núm. 28, </w:t>
      </w:r>
      <w:r w:rsidR="00BA16E3">
        <w:rPr>
          <w:rFonts w:ascii="Book Antiqua" w:hAnsi="Book Antiqua"/>
          <w:i/>
          <w:iCs/>
          <w:szCs w:val="20"/>
          <w:u w:val="single"/>
        </w:rPr>
        <w:t>supra</w:t>
      </w:r>
      <w:r w:rsidRPr="008E57A7">
        <w:rPr>
          <w:rFonts w:ascii="Book Antiqua" w:hAnsi="Book Antiqua"/>
          <w:szCs w:val="20"/>
        </w:rPr>
        <w:t xml:space="preserve">, Sección 2 - Enmienda al Articulo IO de la Ley Núm. 77 de 1986. </w:t>
      </w:r>
    </w:p>
  </w:footnote>
  <w:footnote w:id="4">
    <w:p w14:paraId="31E4CEC0" w14:textId="7B9757CD" w:rsidR="000A1C62" w:rsidRPr="008E57A7" w:rsidRDefault="000A1C62" w:rsidP="008E57A7">
      <w:pPr>
        <w:pStyle w:val="FootnoteText"/>
        <w:tabs>
          <w:tab w:val="left" w:pos="360"/>
        </w:tabs>
        <w:ind w:left="0" w:right="0" w:firstLine="0"/>
        <w:rPr>
          <w:rFonts w:ascii="Book Antiqua" w:hAnsi="Book Antiqua"/>
        </w:rPr>
      </w:pPr>
      <w:r w:rsidRPr="008E57A7">
        <w:rPr>
          <w:rStyle w:val="FootnoteReference"/>
          <w:rFonts w:ascii="Book Antiqua" w:hAnsi="Book Antiqua"/>
        </w:rPr>
        <w:footnoteRef/>
      </w:r>
      <w:r w:rsidRPr="008E57A7">
        <w:rPr>
          <w:rFonts w:ascii="Book Antiqua" w:hAnsi="Book Antiqua"/>
        </w:rPr>
        <w:t xml:space="preserve"> </w:t>
      </w:r>
      <w:r w:rsidR="008E57A7">
        <w:rPr>
          <w:rFonts w:ascii="Book Antiqua" w:hAnsi="Book Antiqua"/>
        </w:rPr>
        <w:tab/>
      </w:r>
      <w:r w:rsidRPr="008E57A7">
        <w:rPr>
          <w:rFonts w:ascii="Book Antiqua" w:hAnsi="Book Antiqua"/>
        </w:rPr>
        <w:t xml:space="preserve">Véase, Plan de Reorganización Núm. 5 del 27 de diciembre de 2011, Artículo 39, </w:t>
      </w:r>
      <w:r w:rsidRPr="008E57A7">
        <w:rPr>
          <w:rFonts w:ascii="Book Antiqua" w:hAnsi="Book Antiqua"/>
          <w:i/>
          <w:iCs/>
        </w:rPr>
        <w:t xml:space="preserve">et </w:t>
      </w:r>
      <w:proofErr w:type="spellStart"/>
      <w:r w:rsidRPr="008E57A7">
        <w:rPr>
          <w:rFonts w:ascii="Book Antiqua" w:hAnsi="Book Antiqua"/>
          <w:i/>
          <w:iCs/>
        </w:rPr>
        <w:t>seq</w:t>
      </w:r>
      <w:proofErr w:type="spellEnd"/>
      <w:r w:rsidRPr="008E57A7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36BD5" w14:textId="77777777" w:rsidR="00E75C08" w:rsidRDefault="00E75C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C5E83" w14:textId="77777777" w:rsidR="000A1C62" w:rsidRPr="00E75C08" w:rsidRDefault="000A1C62">
    <w:pPr>
      <w:pStyle w:val="Header"/>
      <w:jc w:val="center"/>
      <w:rPr>
        <w:rFonts w:ascii="Book Antiqua" w:hAnsi="Book Antiqua"/>
      </w:rPr>
    </w:pPr>
    <w:r w:rsidRPr="00E75C08">
      <w:rPr>
        <w:rStyle w:val="PageNumber"/>
        <w:rFonts w:ascii="Book Antiqua" w:hAnsi="Book Antiqua"/>
      </w:rPr>
      <w:fldChar w:fldCharType="begin"/>
    </w:r>
    <w:r w:rsidRPr="00E75C08">
      <w:rPr>
        <w:rStyle w:val="PageNumber"/>
        <w:rFonts w:ascii="Book Antiqua" w:hAnsi="Book Antiqua"/>
      </w:rPr>
      <w:instrText xml:space="preserve"> PAGE </w:instrText>
    </w:r>
    <w:r w:rsidRPr="00E75C08">
      <w:rPr>
        <w:rStyle w:val="PageNumber"/>
        <w:rFonts w:ascii="Book Antiqua" w:hAnsi="Book Antiqua"/>
      </w:rPr>
      <w:fldChar w:fldCharType="separate"/>
    </w:r>
    <w:r w:rsidRPr="00E75C08">
      <w:rPr>
        <w:rStyle w:val="PageNumber"/>
        <w:rFonts w:ascii="Book Antiqua" w:hAnsi="Book Antiqua"/>
        <w:noProof/>
      </w:rPr>
      <w:t>6</w:t>
    </w:r>
    <w:r w:rsidRPr="00E75C08">
      <w:rPr>
        <w:rStyle w:val="PageNumber"/>
        <w:rFonts w:ascii="Book Antiqua" w:hAnsi="Book Antiqu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EF51C" w14:textId="77777777" w:rsidR="000A1C62" w:rsidRPr="004F0848" w:rsidRDefault="000A1C62" w:rsidP="004F0848">
    <w:pPr>
      <w:pStyle w:val="Header"/>
      <w:jc w:val="center"/>
      <w:rPr>
        <w:rFonts w:ascii="Book Antiqua" w:hAnsi="Book Antiqua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62"/>
    <w:rsid w:val="00044893"/>
    <w:rsid w:val="000A1C62"/>
    <w:rsid w:val="000B1C14"/>
    <w:rsid w:val="000C6837"/>
    <w:rsid w:val="0014769E"/>
    <w:rsid w:val="00182A6B"/>
    <w:rsid w:val="00184016"/>
    <w:rsid w:val="00190224"/>
    <w:rsid w:val="001B7502"/>
    <w:rsid w:val="001D2A3B"/>
    <w:rsid w:val="001E2260"/>
    <w:rsid w:val="00205A6E"/>
    <w:rsid w:val="00264935"/>
    <w:rsid w:val="00265A00"/>
    <w:rsid w:val="00270216"/>
    <w:rsid w:val="002D33E1"/>
    <w:rsid w:val="002E5F06"/>
    <w:rsid w:val="00302077"/>
    <w:rsid w:val="00305F81"/>
    <w:rsid w:val="00314F69"/>
    <w:rsid w:val="00343B62"/>
    <w:rsid w:val="0038265E"/>
    <w:rsid w:val="003921B4"/>
    <w:rsid w:val="003C1135"/>
    <w:rsid w:val="003C378C"/>
    <w:rsid w:val="003E4881"/>
    <w:rsid w:val="004C0D98"/>
    <w:rsid w:val="004E5E34"/>
    <w:rsid w:val="004F0691"/>
    <w:rsid w:val="004F0B53"/>
    <w:rsid w:val="005008E4"/>
    <w:rsid w:val="00544AD2"/>
    <w:rsid w:val="00545251"/>
    <w:rsid w:val="005651D1"/>
    <w:rsid w:val="005C5F2C"/>
    <w:rsid w:val="005F1E84"/>
    <w:rsid w:val="0063096E"/>
    <w:rsid w:val="00696CC1"/>
    <w:rsid w:val="00732471"/>
    <w:rsid w:val="007A063B"/>
    <w:rsid w:val="007B18C4"/>
    <w:rsid w:val="007D478E"/>
    <w:rsid w:val="007F4E44"/>
    <w:rsid w:val="008962AD"/>
    <w:rsid w:val="008C41AF"/>
    <w:rsid w:val="008D43B9"/>
    <w:rsid w:val="008E279F"/>
    <w:rsid w:val="008E57A7"/>
    <w:rsid w:val="0098001D"/>
    <w:rsid w:val="00982323"/>
    <w:rsid w:val="009F63DE"/>
    <w:rsid w:val="00A04804"/>
    <w:rsid w:val="00A20552"/>
    <w:rsid w:val="00A24A87"/>
    <w:rsid w:val="00A36C7D"/>
    <w:rsid w:val="00A91319"/>
    <w:rsid w:val="00AA51CC"/>
    <w:rsid w:val="00AC4CE4"/>
    <w:rsid w:val="00B35D1C"/>
    <w:rsid w:val="00BA16E3"/>
    <w:rsid w:val="00D16CD1"/>
    <w:rsid w:val="00D61E46"/>
    <w:rsid w:val="00D64980"/>
    <w:rsid w:val="00D858B3"/>
    <w:rsid w:val="00DB4D2A"/>
    <w:rsid w:val="00DE74BD"/>
    <w:rsid w:val="00E4460F"/>
    <w:rsid w:val="00E502D1"/>
    <w:rsid w:val="00E60278"/>
    <w:rsid w:val="00E75C08"/>
    <w:rsid w:val="00E76D37"/>
    <w:rsid w:val="00E917C2"/>
    <w:rsid w:val="00E9700F"/>
    <w:rsid w:val="00EA0DC3"/>
    <w:rsid w:val="00EA37F2"/>
    <w:rsid w:val="00EB2E87"/>
    <w:rsid w:val="00EB5C6D"/>
    <w:rsid w:val="00F1564D"/>
    <w:rsid w:val="00F27C0B"/>
    <w:rsid w:val="00F430A3"/>
    <w:rsid w:val="00F53686"/>
    <w:rsid w:val="00F6053C"/>
    <w:rsid w:val="00FF4DEB"/>
    <w:rsid w:val="00FF60B9"/>
    <w:rsid w:val="0743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22758"/>
  <w15:chartTrackingRefBased/>
  <w15:docId w15:val="{E679AAC6-481B-4C4E-ABEB-2CC1A8A0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C62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1C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C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C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C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C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C6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C6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C6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C6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C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C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C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C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C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C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C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C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A1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C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A1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C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A1C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C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A1C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C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C62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0A1C62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0A1C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A1C62"/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character" w:styleId="PageNumber">
    <w:name w:val="page number"/>
    <w:basedOn w:val="DefaultParagraphFont"/>
    <w:rsid w:val="000A1C62"/>
  </w:style>
  <w:style w:type="paragraph" w:customStyle="1" w:styleId="footnotedescription">
    <w:name w:val="footnote description"/>
    <w:next w:val="Normal"/>
    <w:link w:val="footnotedescriptionChar"/>
    <w:hidden/>
    <w:rsid w:val="000A1C62"/>
    <w:pPr>
      <w:spacing w:after="0"/>
      <w:ind w:left="187" w:right="136"/>
      <w:jc w:val="both"/>
    </w:pPr>
    <w:rPr>
      <w:rFonts w:ascii="Times New Roman" w:eastAsia="Times New Roman" w:hAnsi="Times New Roman" w:cs="Times New Roman"/>
      <w:color w:val="000000"/>
      <w:kern w:val="0"/>
      <w:sz w:val="20"/>
      <w:lang w:val="es-PR" w:eastAsia="es-PR"/>
      <w14:ligatures w14:val="none"/>
    </w:rPr>
  </w:style>
  <w:style w:type="character" w:customStyle="1" w:styleId="footnotedescriptionChar">
    <w:name w:val="footnote description Char"/>
    <w:link w:val="footnotedescription"/>
    <w:rsid w:val="000A1C62"/>
    <w:rPr>
      <w:rFonts w:ascii="Times New Roman" w:eastAsia="Times New Roman" w:hAnsi="Times New Roman" w:cs="Times New Roman"/>
      <w:color w:val="000000"/>
      <w:kern w:val="0"/>
      <w:sz w:val="20"/>
      <w:lang w:val="es-PR" w:eastAsia="es-PR"/>
      <w14:ligatures w14:val="none"/>
    </w:rPr>
  </w:style>
  <w:style w:type="character" w:customStyle="1" w:styleId="footnotemark">
    <w:name w:val="footnote mark"/>
    <w:hidden/>
    <w:rsid w:val="000A1C62"/>
    <w:rPr>
      <w:rFonts w:ascii="Times New Roman" w:eastAsia="Times New Roman" w:hAnsi="Times New Roman" w:cs="Times New Roman"/>
      <w:color w:val="000000"/>
      <w:sz w:val="14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1C62"/>
    <w:pPr>
      <w:ind w:left="82" w:right="330" w:hanging="10"/>
      <w:jc w:val="both"/>
    </w:pPr>
    <w:rPr>
      <w:rFonts w:ascii="Courier New" w:eastAsia="Courier New" w:hAnsi="Courier New" w:cs="Courier New"/>
      <w:color w:val="000000"/>
      <w:sz w:val="20"/>
      <w:lang w:val="es-PR" w:eastAsia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1C62"/>
    <w:rPr>
      <w:rFonts w:ascii="Courier New" w:eastAsia="Courier New" w:hAnsi="Courier New" w:cs="Courier New"/>
      <w:color w:val="000000"/>
      <w:kern w:val="0"/>
      <w:sz w:val="20"/>
      <w:szCs w:val="20"/>
      <w:lang w:val="es-PR" w:eastAsia="es-PR"/>
      <w14:ligatures w14:val="none"/>
    </w:rPr>
  </w:style>
  <w:style w:type="character" w:styleId="FootnoteReference">
    <w:name w:val="footnote reference"/>
    <w:uiPriority w:val="99"/>
    <w:semiHidden/>
    <w:unhideWhenUsed/>
    <w:rsid w:val="000A1C62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0A1C62"/>
  </w:style>
  <w:style w:type="paragraph" w:styleId="Footer">
    <w:name w:val="footer"/>
    <w:basedOn w:val="Normal"/>
    <w:link w:val="FooterChar"/>
    <w:uiPriority w:val="99"/>
    <w:unhideWhenUsed/>
    <w:rsid w:val="00E75C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5C08"/>
    <w:rPr>
      <w:rFonts w:ascii="Times New Roman" w:eastAsia="Batang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71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19</Pages>
  <Words>4426</Words>
  <Characters>25231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Victor E. Vélez Cucuta</cp:lastModifiedBy>
  <cp:revision>15</cp:revision>
  <cp:lastPrinted>2025-03-10T18:14:00Z</cp:lastPrinted>
  <dcterms:created xsi:type="dcterms:W3CDTF">2025-02-27T19:00:00Z</dcterms:created>
  <dcterms:modified xsi:type="dcterms:W3CDTF">2025-03-10T18:14:00Z</dcterms:modified>
</cp:coreProperties>
</file>