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2124F" w14:textId="7AA7FFDC" w:rsidR="00AE6EC0" w:rsidRPr="00AE6EC0" w:rsidRDefault="00AE6EC0" w:rsidP="00BE19E8">
      <w:pPr>
        <w:jc w:val="center"/>
        <w:rPr>
          <w:rFonts w:ascii="Book Antiqua" w:hAnsi="Book Antiqua"/>
          <w:b/>
          <w:bCs/>
          <w:sz w:val="28"/>
          <w:szCs w:val="28"/>
        </w:rPr>
      </w:pPr>
      <w:r w:rsidRPr="00AE6EC0">
        <w:rPr>
          <w:rFonts w:ascii="Book Antiqua" w:hAnsi="Book Antiqua"/>
          <w:b/>
          <w:bCs/>
          <w:sz w:val="28"/>
          <w:szCs w:val="28"/>
        </w:rPr>
        <w:t>(</w:t>
      </w:r>
      <w:proofErr w:type="spellStart"/>
      <w:r w:rsidRPr="00AE6EC0">
        <w:rPr>
          <w:rFonts w:ascii="Book Antiqua" w:hAnsi="Book Antiqua"/>
          <w:b/>
          <w:bCs/>
          <w:sz w:val="28"/>
          <w:szCs w:val="28"/>
        </w:rPr>
        <w:t>Entirillado</w:t>
      </w:r>
      <w:proofErr w:type="spellEnd"/>
      <w:r w:rsidRPr="00AE6EC0">
        <w:rPr>
          <w:rFonts w:ascii="Book Antiqua" w:hAnsi="Book Antiqua"/>
          <w:b/>
          <w:bCs/>
          <w:sz w:val="28"/>
          <w:szCs w:val="28"/>
        </w:rPr>
        <w:t xml:space="preserve"> </w:t>
      </w:r>
      <w:r w:rsidR="00200F9F" w:rsidRPr="00AE6EC0">
        <w:rPr>
          <w:rFonts w:ascii="Book Antiqua" w:hAnsi="Book Antiqua"/>
          <w:b/>
          <w:bCs/>
          <w:sz w:val="28"/>
          <w:szCs w:val="28"/>
        </w:rPr>
        <w:t>Electrónico</w:t>
      </w:r>
      <w:r w:rsidRPr="00AE6EC0">
        <w:rPr>
          <w:rFonts w:ascii="Book Antiqua" w:hAnsi="Book Antiqua"/>
          <w:b/>
          <w:bCs/>
          <w:sz w:val="28"/>
          <w:szCs w:val="28"/>
        </w:rPr>
        <w:t>)</w:t>
      </w:r>
    </w:p>
    <w:p w14:paraId="32CC9149" w14:textId="428C4B50" w:rsidR="00BE19E8" w:rsidRPr="001A6C90" w:rsidRDefault="00BE19E8" w:rsidP="00BE19E8">
      <w:pPr>
        <w:jc w:val="center"/>
        <w:rPr>
          <w:rFonts w:ascii="Book Antiqua" w:hAnsi="Book Antiqua"/>
          <w:sz w:val="28"/>
          <w:szCs w:val="28"/>
        </w:rPr>
      </w:pPr>
      <w:r w:rsidRPr="006A4551">
        <w:rPr>
          <w:rFonts w:ascii="Book Antiqua" w:hAnsi="Book Antiqua"/>
          <w:sz w:val="28"/>
          <w:szCs w:val="28"/>
        </w:rPr>
        <w:t>GOBIERNO</w:t>
      </w:r>
      <w:r>
        <w:rPr>
          <w:rFonts w:ascii="Book Antiqua" w:hAnsi="Book Antiqua"/>
          <w:sz w:val="28"/>
          <w:szCs w:val="28"/>
        </w:rPr>
        <w:t xml:space="preserve"> </w:t>
      </w:r>
      <w:r w:rsidRPr="001A6C90">
        <w:rPr>
          <w:rFonts w:ascii="Book Antiqua" w:hAnsi="Book Antiqua"/>
          <w:sz w:val="28"/>
          <w:szCs w:val="28"/>
        </w:rPr>
        <w:t>DE PUERTO RICO</w:t>
      </w:r>
    </w:p>
    <w:p w14:paraId="6CEE6B4B" w14:textId="77777777" w:rsidR="00BE19E8" w:rsidRPr="001A6C90" w:rsidRDefault="00BE19E8" w:rsidP="006565FE">
      <w:pPr>
        <w:jc w:val="center"/>
        <w:rPr>
          <w:rFonts w:ascii="Book Antiqua" w:hAnsi="Book Antiqua"/>
        </w:rPr>
      </w:pPr>
    </w:p>
    <w:tbl>
      <w:tblPr>
        <w:tblW w:w="9540" w:type="dxa"/>
        <w:tblInd w:w="-90" w:type="dxa"/>
        <w:tblLook w:val="04A0" w:firstRow="1" w:lastRow="0" w:firstColumn="1" w:lastColumn="0" w:noHBand="0" w:noVBand="1"/>
      </w:tblPr>
      <w:tblGrid>
        <w:gridCol w:w="2243"/>
        <w:gridCol w:w="4098"/>
        <w:gridCol w:w="3199"/>
      </w:tblGrid>
      <w:tr w:rsidR="00BE19E8" w:rsidRPr="001A6C90" w14:paraId="4CEA83C5" w14:textId="77777777" w:rsidTr="00362723">
        <w:tc>
          <w:tcPr>
            <w:tcW w:w="2243" w:type="dxa"/>
            <w:shd w:val="clear" w:color="auto" w:fill="auto"/>
          </w:tcPr>
          <w:p w14:paraId="11970AEB" w14:textId="77777777" w:rsidR="00BE19E8" w:rsidRPr="001A6C90" w:rsidRDefault="00BE19E8" w:rsidP="00362723">
            <w:pPr>
              <w:rPr>
                <w:rFonts w:ascii="Book Antiqua" w:hAnsi="Book Antiqua"/>
              </w:rPr>
            </w:pPr>
            <w:r>
              <w:rPr>
                <w:rFonts w:ascii="Book Antiqua" w:hAnsi="Book Antiqua"/>
              </w:rPr>
              <w:t>20</w:t>
            </w:r>
            <w:r w:rsidRPr="006A7984">
              <w:rPr>
                <w:rFonts w:ascii="Book Antiqua" w:hAnsi="Book Antiqua"/>
                <w:vertAlign w:val="superscript"/>
              </w:rPr>
              <w:t>ma</w:t>
            </w:r>
            <w:r w:rsidRPr="001A6C90">
              <w:rPr>
                <w:rFonts w:ascii="Book Antiqua" w:hAnsi="Book Antiqua"/>
                <w:vertAlign w:val="superscript"/>
              </w:rPr>
              <w:t xml:space="preserve">.  </w:t>
            </w:r>
            <w:r w:rsidRPr="001A6C90">
              <w:rPr>
                <w:rFonts w:ascii="Book Antiqua" w:hAnsi="Book Antiqua"/>
              </w:rPr>
              <w:t xml:space="preserve">Asamblea </w:t>
            </w:r>
          </w:p>
          <w:p w14:paraId="6A8A97C9" w14:textId="77777777" w:rsidR="00BE19E8" w:rsidRPr="001A6C90" w:rsidRDefault="00BE19E8" w:rsidP="00362723">
            <w:pPr>
              <w:jc w:val="center"/>
              <w:rPr>
                <w:rFonts w:ascii="Book Antiqua" w:hAnsi="Book Antiqua"/>
              </w:rPr>
            </w:pPr>
            <w:r w:rsidRPr="001A6C90">
              <w:rPr>
                <w:rFonts w:ascii="Book Antiqua" w:hAnsi="Book Antiqua"/>
              </w:rPr>
              <w:t xml:space="preserve">  Legislativa</w:t>
            </w:r>
          </w:p>
        </w:tc>
        <w:tc>
          <w:tcPr>
            <w:tcW w:w="4098" w:type="dxa"/>
            <w:shd w:val="clear" w:color="auto" w:fill="auto"/>
          </w:tcPr>
          <w:p w14:paraId="61EDDF9F" w14:textId="77777777" w:rsidR="00BE19E8" w:rsidRPr="001A6C90" w:rsidRDefault="00BE19E8" w:rsidP="00362723">
            <w:pPr>
              <w:jc w:val="center"/>
              <w:rPr>
                <w:rFonts w:ascii="Book Antiqua" w:hAnsi="Book Antiqua"/>
              </w:rPr>
            </w:pPr>
          </w:p>
          <w:p w14:paraId="7DA8BC49" w14:textId="77777777" w:rsidR="00BE19E8" w:rsidRPr="001A6C90" w:rsidRDefault="00BE19E8" w:rsidP="00362723">
            <w:pPr>
              <w:jc w:val="center"/>
              <w:rPr>
                <w:rFonts w:ascii="Book Antiqua" w:hAnsi="Book Antiqua"/>
              </w:rPr>
            </w:pPr>
          </w:p>
          <w:p w14:paraId="4D4C4171" w14:textId="77777777" w:rsidR="00BE19E8" w:rsidRPr="001A6C90" w:rsidRDefault="00BE19E8" w:rsidP="00362723">
            <w:pPr>
              <w:jc w:val="center"/>
              <w:rPr>
                <w:rFonts w:ascii="Book Antiqua" w:hAnsi="Book Antiqua"/>
              </w:rPr>
            </w:pPr>
          </w:p>
        </w:tc>
        <w:tc>
          <w:tcPr>
            <w:tcW w:w="3199" w:type="dxa"/>
            <w:shd w:val="clear" w:color="auto" w:fill="auto"/>
          </w:tcPr>
          <w:p w14:paraId="01776EE3" w14:textId="77777777" w:rsidR="00BE19E8" w:rsidRPr="001A6C90" w:rsidRDefault="00BE19E8" w:rsidP="00362723">
            <w:pPr>
              <w:jc w:val="center"/>
              <w:rPr>
                <w:rFonts w:ascii="Book Antiqua" w:hAnsi="Book Antiqua"/>
              </w:rPr>
            </w:pPr>
            <w:r w:rsidRPr="001A6C90">
              <w:rPr>
                <w:rFonts w:ascii="Book Antiqua" w:hAnsi="Book Antiqua"/>
              </w:rPr>
              <w:t xml:space="preserve">                    </w:t>
            </w:r>
            <w:r>
              <w:rPr>
                <w:rFonts w:ascii="Book Antiqua" w:hAnsi="Book Antiqua"/>
              </w:rPr>
              <w:t>1</w:t>
            </w:r>
            <w:r>
              <w:rPr>
                <w:rFonts w:ascii="Book Antiqua" w:hAnsi="Book Antiqua"/>
                <w:vertAlign w:val="superscript"/>
              </w:rPr>
              <w:t>r</w:t>
            </w:r>
            <w:r w:rsidRPr="001A6C90">
              <w:rPr>
                <w:rFonts w:ascii="Book Antiqua" w:hAnsi="Book Antiqua"/>
                <w:vertAlign w:val="superscript"/>
              </w:rPr>
              <w:t xml:space="preserve">a. </w:t>
            </w:r>
            <w:r w:rsidRPr="001A6C90">
              <w:rPr>
                <w:rFonts w:ascii="Book Antiqua" w:hAnsi="Book Antiqua"/>
              </w:rPr>
              <w:t>Sesión</w:t>
            </w:r>
          </w:p>
          <w:p w14:paraId="5DE59DFB" w14:textId="77777777" w:rsidR="00BE19E8" w:rsidRPr="001A6C90" w:rsidRDefault="00BE19E8" w:rsidP="00362723">
            <w:pPr>
              <w:jc w:val="center"/>
              <w:rPr>
                <w:rFonts w:ascii="Book Antiqua" w:hAnsi="Book Antiqua"/>
              </w:rPr>
            </w:pPr>
            <w:r w:rsidRPr="001A6C90">
              <w:rPr>
                <w:rFonts w:ascii="Book Antiqua" w:hAnsi="Book Antiqua"/>
              </w:rPr>
              <w:tab/>
            </w:r>
            <w:r w:rsidRPr="001A6C90">
              <w:rPr>
                <w:rFonts w:ascii="Book Antiqua" w:hAnsi="Book Antiqua"/>
              </w:rPr>
              <w:tab/>
              <w:t xml:space="preserve">     Ordinaria</w:t>
            </w:r>
          </w:p>
        </w:tc>
      </w:tr>
    </w:tbl>
    <w:p w14:paraId="5BCDFCD9" w14:textId="77777777" w:rsidR="00BE19E8" w:rsidRPr="001A6C90" w:rsidRDefault="00BE19E8" w:rsidP="00BE19E8">
      <w:pPr>
        <w:jc w:val="center"/>
        <w:rPr>
          <w:rFonts w:ascii="Book Antiqua" w:hAnsi="Book Antiqua"/>
          <w:b/>
          <w:bCs/>
          <w:sz w:val="36"/>
          <w:szCs w:val="36"/>
        </w:rPr>
      </w:pPr>
      <w:r w:rsidRPr="001A6C90">
        <w:rPr>
          <w:rFonts w:ascii="Book Antiqua" w:hAnsi="Book Antiqua"/>
          <w:b/>
          <w:bCs/>
          <w:sz w:val="36"/>
          <w:szCs w:val="36"/>
        </w:rPr>
        <w:t>CÁMARA DE REPRESENTANTES</w:t>
      </w:r>
    </w:p>
    <w:p w14:paraId="0869FA56" w14:textId="77777777" w:rsidR="00BE19E8" w:rsidRPr="001A6C90" w:rsidRDefault="00BE19E8" w:rsidP="00BE19E8">
      <w:pPr>
        <w:jc w:val="center"/>
        <w:rPr>
          <w:rFonts w:ascii="Book Antiqua" w:hAnsi="Book Antiqua"/>
          <w:b/>
          <w:bCs/>
        </w:rPr>
      </w:pPr>
    </w:p>
    <w:p w14:paraId="64B55F20" w14:textId="34DC4E31" w:rsidR="00BE19E8" w:rsidRPr="001A6C90" w:rsidRDefault="00BE19E8" w:rsidP="00BE19E8">
      <w:pPr>
        <w:jc w:val="center"/>
        <w:rPr>
          <w:rFonts w:ascii="Book Antiqua" w:hAnsi="Book Antiqua"/>
          <w:b/>
          <w:sz w:val="52"/>
        </w:rPr>
      </w:pPr>
      <w:r w:rsidRPr="001A6C90">
        <w:rPr>
          <w:rFonts w:ascii="Book Antiqua" w:hAnsi="Book Antiqua"/>
          <w:b/>
          <w:sz w:val="52"/>
        </w:rPr>
        <w:t xml:space="preserve">P. de la C. </w:t>
      </w:r>
      <w:r w:rsidR="00776BB6">
        <w:rPr>
          <w:rFonts w:ascii="Book Antiqua" w:hAnsi="Book Antiqua"/>
          <w:b/>
          <w:sz w:val="52"/>
        </w:rPr>
        <w:t>20</w:t>
      </w:r>
    </w:p>
    <w:p w14:paraId="1D0F3D12" w14:textId="77777777" w:rsidR="00BE19E8" w:rsidRPr="001A6C90" w:rsidRDefault="00BE19E8" w:rsidP="00BE19E8">
      <w:pPr>
        <w:jc w:val="center"/>
        <w:rPr>
          <w:rFonts w:ascii="Book Antiqua" w:hAnsi="Book Antiqua"/>
          <w:b/>
        </w:rPr>
      </w:pPr>
    </w:p>
    <w:p w14:paraId="6CA6AB56" w14:textId="47340890" w:rsidR="00BE19E8" w:rsidRPr="001A6C90" w:rsidRDefault="00776BB6" w:rsidP="00BE19E8">
      <w:pPr>
        <w:jc w:val="center"/>
        <w:rPr>
          <w:rFonts w:ascii="Book Antiqua" w:hAnsi="Book Antiqua"/>
        </w:rPr>
      </w:pPr>
      <w:r>
        <w:rPr>
          <w:rFonts w:ascii="Book Antiqua" w:hAnsi="Book Antiqua"/>
        </w:rPr>
        <w:t xml:space="preserve">2 </w:t>
      </w:r>
      <w:r w:rsidR="00BE19E8" w:rsidRPr="001A6C90">
        <w:rPr>
          <w:rFonts w:ascii="Book Antiqua" w:hAnsi="Book Antiqua"/>
        </w:rPr>
        <w:t xml:space="preserve">DE </w:t>
      </w:r>
      <w:r w:rsidR="00BE19E8">
        <w:rPr>
          <w:rFonts w:ascii="Book Antiqua" w:hAnsi="Book Antiqua"/>
        </w:rPr>
        <w:t>ENERO</w:t>
      </w:r>
      <w:r w:rsidR="00BE19E8" w:rsidRPr="001A6C90">
        <w:rPr>
          <w:rFonts w:ascii="Book Antiqua" w:hAnsi="Book Antiqua"/>
        </w:rPr>
        <w:t xml:space="preserve"> DE 202</w:t>
      </w:r>
      <w:r w:rsidR="00BE19E8">
        <w:rPr>
          <w:rFonts w:ascii="Book Antiqua" w:hAnsi="Book Antiqua"/>
        </w:rPr>
        <w:t>5</w:t>
      </w:r>
    </w:p>
    <w:p w14:paraId="5107ED3D" w14:textId="77777777" w:rsidR="00BE19E8" w:rsidRPr="001A6C90" w:rsidRDefault="00BE19E8" w:rsidP="00BE19E8">
      <w:pPr>
        <w:jc w:val="center"/>
        <w:rPr>
          <w:rFonts w:ascii="Book Antiqua" w:hAnsi="Book Antiqua"/>
        </w:rPr>
      </w:pPr>
    </w:p>
    <w:p w14:paraId="382525B0" w14:textId="77777777" w:rsidR="00BE19E8" w:rsidRPr="001A6C90" w:rsidRDefault="00BE19E8" w:rsidP="00BE19E8">
      <w:pPr>
        <w:ind w:left="450" w:hanging="360"/>
        <w:jc w:val="center"/>
        <w:rPr>
          <w:rFonts w:ascii="Book Antiqua" w:hAnsi="Book Antiqua"/>
        </w:rPr>
      </w:pPr>
      <w:r w:rsidRPr="001A6C90">
        <w:rPr>
          <w:rFonts w:ascii="Book Antiqua" w:hAnsi="Book Antiqua"/>
          <w:color w:val="000000"/>
        </w:rPr>
        <w:t>Presentado por</w:t>
      </w:r>
      <w:r>
        <w:rPr>
          <w:rFonts w:ascii="Book Antiqua" w:hAnsi="Book Antiqua"/>
          <w:color w:val="000000"/>
        </w:rPr>
        <w:t xml:space="preserve"> el representante </w:t>
      </w:r>
      <w:r w:rsidRPr="001A6C90">
        <w:rPr>
          <w:rFonts w:ascii="Book Antiqua" w:hAnsi="Book Antiqua"/>
          <w:i/>
          <w:iCs/>
          <w:color w:val="000000"/>
        </w:rPr>
        <w:t>Méndez Núñez</w:t>
      </w:r>
    </w:p>
    <w:p w14:paraId="04239354" w14:textId="77777777" w:rsidR="00BE19E8" w:rsidRPr="001A6C90" w:rsidRDefault="00BE19E8" w:rsidP="00BE19E8">
      <w:pPr>
        <w:jc w:val="center"/>
        <w:rPr>
          <w:rFonts w:ascii="Book Antiqua" w:hAnsi="Book Antiqua"/>
        </w:rPr>
      </w:pPr>
    </w:p>
    <w:p w14:paraId="63D7AE71" w14:textId="34E4C2B1" w:rsidR="00BE19E8" w:rsidRDefault="00BE19E8" w:rsidP="00BE19E8">
      <w:pPr>
        <w:jc w:val="center"/>
        <w:rPr>
          <w:rFonts w:ascii="Book Antiqua" w:hAnsi="Book Antiqua" w:cs="CG Times (W1)"/>
        </w:rPr>
      </w:pPr>
      <w:r w:rsidRPr="001A6C90">
        <w:rPr>
          <w:rFonts w:ascii="Book Antiqua" w:hAnsi="Book Antiqua" w:cs="CG Times (W1)"/>
        </w:rPr>
        <w:t xml:space="preserve">Referido a </w:t>
      </w:r>
      <w:r w:rsidR="00B821C4">
        <w:rPr>
          <w:rFonts w:ascii="Book Antiqua" w:hAnsi="Book Antiqua" w:cs="CG Times (W1)"/>
        </w:rPr>
        <w:t>la Comisión de Educación</w:t>
      </w:r>
    </w:p>
    <w:p w14:paraId="1D7FE70A" w14:textId="77777777" w:rsidR="00555EA3" w:rsidRPr="00B33EA8" w:rsidRDefault="00555EA3" w:rsidP="00555EA3">
      <w:pPr>
        <w:jc w:val="center"/>
        <w:rPr>
          <w:rFonts w:ascii="Book Antiqua" w:eastAsia="MS Mincho" w:hAnsi="Book Antiqua"/>
          <w:color w:val="000000" w:themeColor="text1"/>
        </w:rPr>
      </w:pPr>
    </w:p>
    <w:p w14:paraId="4ECF2A06" w14:textId="77777777" w:rsidR="00555EA3" w:rsidRPr="00B33EA8" w:rsidRDefault="00555EA3" w:rsidP="00555EA3">
      <w:pPr>
        <w:jc w:val="center"/>
        <w:rPr>
          <w:rFonts w:ascii="Book Antiqua" w:eastAsia="MS Mincho" w:hAnsi="Book Antiqua"/>
          <w:b/>
          <w:bCs/>
          <w:color w:val="000000" w:themeColor="text1"/>
        </w:rPr>
      </w:pPr>
      <w:r w:rsidRPr="00B33EA8">
        <w:rPr>
          <w:rFonts w:ascii="Book Antiqua" w:eastAsia="MS Mincho" w:hAnsi="Book Antiqua"/>
          <w:b/>
          <w:bCs/>
          <w:color w:val="000000" w:themeColor="text1"/>
        </w:rPr>
        <w:t>LEY</w:t>
      </w:r>
    </w:p>
    <w:p w14:paraId="7C8BF547" w14:textId="77777777" w:rsidR="00555EA3" w:rsidRPr="00B33EA8" w:rsidRDefault="00555EA3" w:rsidP="00555EA3">
      <w:pPr>
        <w:jc w:val="both"/>
        <w:rPr>
          <w:rFonts w:ascii="Book Antiqua" w:eastAsia="MS Mincho" w:hAnsi="Book Antiqua"/>
          <w:color w:val="000000" w:themeColor="text1"/>
        </w:rPr>
      </w:pPr>
    </w:p>
    <w:p w14:paraId="381C94FE" w14:textId="487DED18" w:rsidR="002F6BA7" w:rsidRPr="00B33EA8" w:rsidRDefault="002F6BA7" w:rsidP="002F6BA7">
      <w:pPr>
        <w:pStyle w:val="BodyText"/>
        <w:ind w:left="720" w:hanging="720"/>
        <w:rPr>
          <w:rFonts w:ascii="Book Antiqua" w:hAnsi="Book Antiqua"/>
          <w:szCs w:val="24"/>
        </w:rPr>
      </w:pPr>
      <w:r w:rsidRPr="00B33EA8">
        <w:rPr>
          <w:rFonts w:ascii="Book Antiqua" w:hAnsi="Book Antiqua"/>
          <w:szCs w:val="24"/>
        </w:rPr>
        <w:t xml:space="preserve">Para enmendar los Artículos 2.01 y 4.01 de la Ley Núm. 4-2022, </w:t>
      </w:r>
      <w:r w:rsidR="00BE19E8">
        <w:rPr>
          <w:rFonts w:ascii="Book Antiqua" w:hAnsi="Book Antiqua"/>
        </w:rPr>
        <w:t xml:space="preserve">según enmendada, </w:t>
      </w:r>
      <w:r w:rsidRPr="00B33EA8">
        <w:rPr>
          <w:rFonts w:ascii="Book Antiqua" w:hAnsi="Book Antiqua"/>
          <w:szCs w:val="24"/>
        </w:rPr>
        <w:t xml:space="preserve">conocida como </w:t>
      </w:r>
      <w:r w:rsidRPr="00B33EA8">
        <w:rPr>
          <w:rFonts w:ascii="Book Antiqua" w:hAnsi="Book Antiqua"/>
          <w:iCs/>
        </w:rPr>
        <w:t>"Ley del Fondo de Becas para Mitigar el Alza en Matrículas del Plan Fiscal", con el fin de aclarar la responsabilidad de la Universidad de Puerto Rico sobre la distribución de los fondos</w:t>
      </w:r>
      <w:r w:rsidRPr="00B33EA8">
        <w:rPr>
          <w:rFonts w:ascii="Book Antiqua" w:hAnsi="Book Antiqua"/>
          <w:szCs w:val="24"/>
        </w:rPr>
        <w:t>; y para otros fines relacionados.</w:t>
      </w:r>
    </w:p>
    <w:p w14:paraId="3B8C9D54" w14:textId="77777777" w:rsidR="002F6BA7" w:rsidRPr="001A409F" w:rsidRDefault="002F6BA7" w:rsidP="002F6BA7">
      <w:pPr>
        <w:pStyle w:val="BodyText"/>
        <w:ind w:left="720" w:hanging="720"/>
        <w:rPr>
          <w:rFonts w:ascii="Book Antiqua" w:hAnsi="Book Antiqua"/>
          <w:color w:val="000000"/>
        </w:rPr>
      </w:pPr>
    </w:p>
    <w:p w14:paraId="1C7C7D2E" w14:textId="77777777" w:rsidR="002F6BA7" w:rsidRPr="001A409F" w:rsidRDefault="002F6BA7" w:rsidP="002F6BA7">
      <w:pPr>
        <w:jc w:val="center"/>
        <w:rPr>
          <w:rFonts w:ascii="Book Antiqua" w:eastAsia="MS Mincho" w:hAnsi="Book Antiqua"/>
          <w:color w:val="000000"/>
        </w:rPr>
      </w:pPr>
      <w:r w:rsidRPr="001A409F">
        <w:rPr>
          <w:rFonts w:ascii="Book Antiqua" w:eastAsia="MS Mincho" w:hAnsi="Book Antiqua"/>
          <w:color w:val="000000"/>
        </w:rPr>
        <w:t>EXPOSICIÓN DE MOTIVOS</w:t>
      </w:r>
    </w:p>
    <w:p w14:paraId="6EDB0322" w14:textId="77777777" w:rsidR="002F6BA7" w:rsidRPr="001A409F" w:rsidRDefault="002F6BA7" w:rsidP="002F6BA7">
      <w:pPr>
        <w:suppressLineNumbers/>
        <w:ind w:firstLine="720"/>
        <w:jc w:val="both"/>
        <w:rPr>
          <w:rFonts w:ascii="Book Antiqua" w:eastAsia="Book Antiqua" w:hAnsi="Book Antiqua" w:cs="Book Antiqua"/>
          <w:color w:val="000000"/>
          <w:szCs w:val="24"/>
        </w:rPr>
      </w:pPr>
    </w:p>
    <w:p w14:paraId="63141CBF" w14:textId="1A0F9056" w:rsidR="002F6BA7" w:rsidRPr="00B33EA8" w:rsidRDefault="00BE19E8" w:rsidP="002F6BA7">
      <w:pPr>
        <w:pStyle w:val="NoSpacing"/>
        <w:ind w:firstLine="720"/>
        <w:jc w:val="both"/>
        <w:rPr>
          <w:rFonts w:ascii="Book Antiqua" w:eastAsia="Times New Roman" w:hAnsi="Book Antiqua"/>
          <w:sz w:val="24"/>
          <w:szCs w:val="20"/>
          <w:lang w:val="es-PR"/>
        </w:rPr>
      </w:pPr>
      <w:r>
        <w:rPr>
          <w:rFonts w:ascii="Book Antiqua" w:eastAsia="Times New Roman" w:hAnsi="Book Antiqua"/>
          <w:sz w:val="24"/>
          <w:szCs w:val="20"/>
          <w:lang w:val="es-PR"/>
        </w:rPr>
        <w:t>La</w:t>
      </w:r>
      <w:r w:rsidR="002F6BA7" w:rsidRPr="00B33EA8">
        <w:rPr>
          <w:rFonts w:ascii="Book Antiqua" w:eastAsia="Times New Roman" w:hAnsi="Book Antiqua"/>
          <w:sz w:val="24"/>
          <w:szCs w:val="20"/>
          <w:lang w:val="es-PR"/>
        </w:rPr>
        <w:t xml:space="preserve"> Ley Núm. 4-2022</w:t>
      </w:r>
      <w:r w:rsidR="002F6BA7" w:rsidRPr="00BE19E8">
        <w:rPr>
          <w:rFonts w:ascii="Book Antiqua" w:eastAsia="Times New Roman" w:hAnsi="Book Antiqua"/>
          <w:sz w:val="24"/>
          <w:szCs w:val="24"/>
          <w:lang w:val="es-PR"/>
        </w:rPr>
        <w:t xml:space="preserve">, </w:t>
      </w:r>
      <w:r w:rsidRPr="00BE19E8">
        <w:rPr>
          <w:rFonts w:ascii="Book Antiqua" w:hAnsi="Book Antiqua"/>
          <w:sz w:val="24"/>
          <w:szCs w:val="24"/>
          <w:lang w:val="es-PR"/>
        </w:rPr>
        <w:t xml:space="preserve">según enmendada, </w:t>
      </w:r>
      <w:r w:rsidRPr="00BE19E8">
        <w:rPr>
          <w:rFonts w:ascii="Book Antiqua" w:eastAsia="Times New Roman" w:hAnsi="Book Antiqua"/>
          <w:sz w:val="24"/>
          <w:szCs w:val="24"/>
          <w:lang w:val="es-PR"/>
        </w:rPr>
        <w:t xml:space="preserve">conocida como </w:t>
      </w:r>
      <w:r w:rsidR="002F6BA7" w:rsidRPr="00BE19E8">
        <w:rPr>
          <w:rFonts w:ascii="Book Antiqua" w:eastAsia="Times New Roman" w:hAnsi="Book Antiqua"/>
          <w:sz w:val="24"/>
          <w:szCs w:val="24"/>
          <w:lang w:val="es-PR"/>
        </w:rPr>
        <w:t>"</w:t>
      </w:r>
      <w:r w:rsidRPr="00BE19E8">
        <w:rPr>
          <w:rFonts w:ascii="Book Antiqua" w:eastAsia="Times New Roman" w:hAnsi="Book Antiqua"/>
          <w:sz w:val="24"/>
          <w:szCs w:val="24"/>
          <w:lang w:val="es-PR"/>
        </w:rPr>
        <w:t xml:space="preserve">Ley del </w:t>
      </w:r>
      <w:r w:rsidR="002F6BA7" w:rsidRPr="00BE19E8">
        <w:rPr>
          <w:rFonts w:ascii="Book Antiqua" w:eastAsia="Times New Roman" w:hAnsi="Book Antiqua"/>
          <w:sz w:val="24"/>
          <w:szCs w:val="24"/>
          <w:lang w:val="es-PR"/>
        </w:rPr>
        <w:t>Fondo de Becas para Mitigar el Alza en Matrículas del Plan Fiscal</w:t>
      </w:r>
      <w:r w:rsidR="002F6BA7" w:rsidRPr="00B33EA8">
        <w:rPr>
          <w:rFonts w:ascii="Book Antiqua" w:eastAsia="Times New Roman" w:hAnsi="Book Antiqua"/>
          <w:sz w:val="24"/>
          <w:szCs w:val="20"/>
          <w:lang w:val="es-PR"/>
        </w:rPr>
        <w:t xml:space="preserve">", </w:t>
      </w:r>
      <w:r>
        <w:rPr>
          <w:rFonts w:ascii="Book Antiqua" w:eastAsia="Times New Roman" w:hAnsi="Book Antiqua"/>
          <w:sz w:val="24"/>
          <w:szCs w:val="20"/>
          <w:lang w:val="es-PR"/>
        </w:rPr>
        <w:t xml:space="preserve">fue aprobada con </w:t>
      </w:r>
      <w:r w:rsidR="002F6BA7" w:rsidRPr="00B33EA8">
        <w:rPr>
          <w:rFonts w:ascii="Book Antiqua" w:eastAsia="Times New Roman" w:hAnsi="Book Antiqua"/>
          <w:sz w:val="24"/>
          <w:szCs w:val="20"/>
          <w:lang w:val="es-PR"/>
        </w:rPr>
        <w:t>la intención de establecer un nuevo Programa de Becas con el fin de que sea utilizado para costear los gastos de matrícula y demás costos relacionados para estudiantes con aprovechamiento académico favorable y necesidades económicas que cursen sus estudios subgraduados o graduados en la Universidad de Puerto Rico (en adelante</w:t>
      </w:r>
      <w:r w:rsidR="00200F9F">
        <w:rPr>
          <w:rFonts w:ascii="Book Antiqua" w:eastAsia="Times New Roman" w:hAnsi="Book Antiqua"/>
          <w:i/>
          <w:iCs/>
          <w:sz w:val="24"/>
          <w:szCs w:val="20"/>
          <w:u w:val="single"/>
          <w:lang w:val="es-PR"/>
        </w:rPr>
        <w:t>,</w:t>
      </w:r>
      <w:r w:rsidR="002F6BA7" w:rsidRPr="00B33EA8">
        <w:rPr>
          <w:rFonts w:ascii="Book Antiqua" w:eastAsia="Times New Roman" w:hAnsi="Book Antiqua"/>
          <w:sz w:val="24"/>
          <w:szCs w:val="20"/>
          <w:lang w:val="es-PR"/>
        </w:rPr>
        <w:t xml:space="preserve"> “UPR”). </w:t>
      </w:r>
    </w:p>
    <w:p w14:paraId="159FACB9" w14:textId="77777777" w:rsidR="002F6BA7" w:rsidRPr="00B33EA8" w:rsidRDefault="002F6BA7" w:rsidP="002F6BA7">
      <w:pPr>
        <w:pStyle w:val="NoSpacing"/>
        <w:jc w:val="both"/>
        <w:rPr>
          <w:rFonts w:ascii="Book Antiqua" w:eastAsia="Times New Roman" w:hAnsi="Book Antiqua"/>
          <w:sz w:val="24"/>
          <w:szCs w:val="20"/>
          <w:lang w:val="es-PR"/>
        </w:rPr>
      </w:pPr>
    </w:p>
    <w:p w14:paraId="29B1E6D0" w14:textId="3DA53B1F" w:rsidR="002F6BA7" w:rsidRPr="00B33EA8" w:rsidRDefault="002F6BA7" w:rsidP="002F6BA7">
      <w:pPr>
        <w:pStyle w:val="NoSpacing"/>
        <w:ind w:firstLine="720"/>
        <w:jc w:val="both"/>
        <w:rPr>
          <w:rFonts w:ascii="Book Antiqua" w:eastAsia="Times New Roman" w:hAnsi="Book Antiqua"/>
          <w:sz w:val="24"/>
          <w:szCs w:val="20"/>
          <w:lang w:val="es-PR"/>
        </w:rPr>
      </w:pPr>
      <w:r w:rsidRPr="00B33EA8">
        <w:rPr>
          <w:rFonts w:ascii="Book Antiqua" w:eastAsia="Times New Roman" w:hAnsi="Book Antiqua"/>
          <w:sz w:val="24"/>
          <w:szCs w:val="20"/>
          <w:lang w:val="es-PR"/>
        </w:rPr>
        <w:t>La legislación aprobada le otorga ciertas responsabilidades puntuales a distintas entidades gubernamentales, tales como</w:t>
      </w:r>
      <w:r w:rsidR="00200F9F">
        <w:rPr>
          <w:rFonts w:ascii="Book Antiqua" w:eastAsia="Times New Roman" w:hAnsi="Book Antiqua"/>
          <w:i/>
          <w:iCs/>
          <w:sz w:val="24"/>
          <w:szCs w:val="20"/>
          <w:u w:val="single"/>
          <w:lang w:val="es-PR"/>
        </w:rPr>
        <w:t>:</w:t>
      </w:r>
      <w:r w:rsidRPr="00B33EA8">
        <w:rPr>
          <w:rFonts w:ascii="Book Antiqua" w:eastAsia="Times New Roman" w:hAnsi="Book Antiqua"/>
          <w:sz w:val="24"/>
          <w:szCs w:val="20"/>
          <w:lang w:val="es-PR"/>
        </w:rPr>
        <w:t xml:space="preserve"> la UPR, la Autoridad de Asesoría Financiera y Agencia Fiscal (</w:t>
      </w:r>
      <w:r w:rsidR="00200F9F" w:rsidRPr="00200F9F">
        <w:rPr>
          <w:rFonts w:ascii="Book Antiqua" w:eastAsia="Times New Roman" w:hAnsi="Book Antiqua"/>
          <w:i/>
          <w:iCs/>
          <w:sz w:val="24"/>
          <w:szCs w:val="20"/>
          <w:u w:val="single"/>
          <w:lang w:val="es-PR"/>
        </w:rPr>
        <w:t>en adelante,</w:t>
      </w:r>
      <w:r w:rsidR="00200F9F" w:rsidRPr="00B33EA8">
        <w:rPr>
          <w:rFonts w:ascii="Book Antiqua" w:eastAsia="Times New Roman" w:hAnsi="Book Antiqua"/>
          <w:sz w:val="24"/>
          <w:szCs w:val="20"/>
          <w:lang w:val="es-PR"/>
        </w:rPr>
        <w:t xml:space="preserve"> </w:t>
      </w:r>
      <w:r w:rsidRPr="00B33EA8">
        <w:rPr>
          <w:rFonts w:ascii="Book Antiqua" w:eastAsia="Times New Roman" w:hAnsi="Book Antiqua"/>
          <w:sz w:val="24"/>
          <w:szCs w:val="20"/>
          <w:lang w:val="es-PR"/>
        </w:rPr>
        <w:t>AAFAF), el Departamento de Hacienda (</w:t>
      </w:r>
      <w:r w:rsidR="00200F9F" w:rsidRPr="00200F9F">
        <w:rPr>
          <w:rFonts w:ascii="Book Antiqua" w:eastAsia="Times New Roman" w:hAnsi="Book Antiqua"/>
          <w:i/>
          <w:iCs/>
          <w:sz w:val="24"/>
          <w:szCs w:val="20"/>
          <w:u w:val="single"/>
          <w:lang w:val="es-PR"/>
        </w:rPr>
        <w:t>en adelante,</w:t>
      </w:r>
      <w:r w:rsidR="00200F9F">
        <w:rPr>
          <w:rFonts w:ascii="Book Antiqua" w:eastAsia="Times New Roman" w:hAnsi="Book Antiqua"/>
          <w:i/>
          <w:iCs/>
          <w:sz w:val="24"/>
          <w:szCs w:val="20"/>
          <w:u w:val="single"/>
          <w:lang w:val="es-PR"/>
        </w:rPr>
        <w:t xml:space="preserve"> </w:t>
      </w:r>
      <w:r w:rsidRPr="00B33EA8">
        <w:rPr>
          <w:rFonts w:ascii="Book Antiqua" w:eastAsia="Times New Roman" w:hAnsi="Book Antiqua"/>
          <w:sz w:val="24"/>
          <w:szCs w:val="20"/>
          <w:lang w:val="es-PR"/>
        </w:rPr>
        <w:t>Hacienda) y la Oficina del Principal Oficial Financiero (</w:t>
      </w:r>
      <w:r w:rsidR="00200F9F" w:rsidRPr="00200F9F">
        <w:rPr>
          <w:rFonts w:ascii="Book Antiqua" w:eastAsia="Times New Roman" w:hAnsi="Book Antiqua"/>
          <w:i/>
          <w:iCs/>
          <w:sz w:val="24"/>
          <w:szCs w:val="20"/>
          <w:u w:val="single"/>
          <w:lang w:val="es-PR"/>
        </w:rPr>
        <w:t>en adelante,</w:t>
      </w:r>
      <w:r w:rsidR="00200F9F">
        <w:rPr>
          <w:rFonts w:ascii="Book Antiqua" w:eastAsia="Times New Roman" w:hAnsi="Book Antiqua"/>
          <w:i/>
          <w:iCs/>
          <w:sz w:val="24"/>
          <w:szCs w:val="20"/>
          <w:u w:val="single"/>
          <w:lang w:val="es-PR"/>
        </w:rPr>
        <w:t xml:space="preserve"> </w:t>
      </w:r>
      <w:proofErr w:type="spellStart"/>
      <w:r w:rsidRPr="00B33EA8">
        <w:rPr>
          <w:rFonts w:ascii="Book Antiqua" w:eastAsia="Times New Roman" w:hAnsi="Book Antiqua"/>
          <w:i/>
          <w:iCs/>
          <w:sz w:val="24"/>
          <w:szCs w:val="20"/>
          <w:lang w:val="es-PR"/>
        </w:rPr>
        <w:t>Chief</w:t>
      </w:r>
      <w:proofErr w:type="spellEnd"/>
      <w:r w:rsidRPr="00B33EA8">
        <w:rPr>
          <w:rFonts w:ascii="Book Antiqua" w:eastAsia="Times New Roman" w:hAnsi="Book Antiqua"/>
          <w:i/>
          <w:iCs/>
          <w:sz w:val="24"/>
          <w:szCs w:val="20"/>
          <w:lang w:val="es-PR"/>
        </w:rPr>
        <w:t xml:space="preserve"> </w:t>
      </w:r>
      <w:proofErr w:type="spellStart"/>
      <w:r w:rsidRPr="00B33EA8">
        <w:rPr>
          <w:rFonts w:ascii="Book Antiqua" w:eastAsia="Times New Roman" w:hAnsi="Book Antiqua"/>
          <w:i/>
          <w:iCs/>
          <w:sz w:val="24"/>
          <w:szCs w:val="20"/>
          <w:lang w:val="es-PR"/>
        </w:rPr>
        <w:t>Financial</w:t>
      </w:r>
      <w:proofErr w:type="spellEnd"/>
      <w:r w:rsidRPr="00B33EA8">
        <w:rPr>
          <w:rFonts w:ascii="Book Antiqua" w:eastAsia="Times New Roman" w:hAnsi="Book Antiqua"/>
          <w:i/>
          <w:iCs/>
          <w:sz w:val="24"/>
          <w:szCs w:val="20"/>
          <w:lang w:val="es-PR"/>
        </w:rPr>
        <w:t xml:space="preserve"> </w:t>
      </w:r>
      <w:proofErr w:type="spellStart"/>
      <w:r w:rsidRPr="00B33EA8">
        <w:rPr>
          <w:rFonts w:ascii="Book Antiqua" w:eastAsia="Times New Roman" w:hAnsi="Book Antiqua"/>
          <w:i/>
          <w:iCs/>
          <w:sz w:val="24"/>
          <w:szCs w:val="20"/>
          <w:lang w:val="es-PR"/>
        </w:rPr>
        <w:t>Officer</w:t>
      </w:r>
      <w:proofErr w:type="spellEnd"/>
      <w:r w:rsidRPr="00B33EA8">
        <w:rPr>
          <w:rFonts w:ascii="Book Antiqua" w:eastAsia="Times New Roman" w:hAnsi="Book Antiqua"/>
          <w:sz w:val="24"/>
          <w:szCs w:val="20"/>
          <w:lang w:val="es-PR"/>
        </w:rPr>
        <w:t xml:space="preserve"> o </w:t>
      </w:r>
      <w:r w:rsidRPr="00B33EA8">
        <w:rPr>
          <w:rFonts w:ascii="Book Antiqua" w:eastAsia="Times New Roman" w:hAnsi="Book Antiqua"/>
          <w:i/>
          <w:iCs/>
          <w:sz w:val="24"/>
          <w:szCs w:val="20"/>
          <w:lang w:val="es-PR"/>
        </w:rPr>
        <w:t>CFO</w:t>
      </w:r>
      <w:r w:rsidRPr="00B33EA8">
        <w:rPr>
          <w:rFonts w:ascii="Book Antiqua" w:eastAsia="Times New Roman" w:hAnsi="Book Antiqua"/>
          <w:sz w:val="24"/>
          <w:szCs w:val="20"/>
          <w:lang w:val="es-PR"/>
        </w:rPr>
        <w:t xml:space="preserve">, por sus siglas en inglés), dentro de las que se incluye el desarrollar las métricas, requisitos de cumplimiento y el seguimiento financiero necesario para el Programa de Becas para Mitigar el Alza en Matrículas del Plan Fiscal.  De igual modo, se les ordena vigilar la distribución de los activos de los fondos y las alternativas de inversión de este.  Ahora bien, la medida también requiere que todas las citadas entidades gubernamentales salvaguarden el uso de </w:t>
      </w:r>
      <w:r w:rsidRPr="00B33EA8">
        <w:rPr>
          <w:rFonts w:ascii="Book Antiqua" w:eastAsia="Times New Roman" w:hAnsi="Book Antiqua"/>
          <w:sz w:val="24"/>
          <w:szCs w:val="20"/>
          <w:lang w:val="es-PR"/>
        </w:rPr>
        <w:lastRenderedPageBreak/>
        <w:t xml:space="preserve">los fondos para que los mismos sean distribuidos solamente a estudiantes con progreso académico satisfactorio y necesidades económicas. </w:t>
      </w:r>
    </w:p>
    <w:p w14:paraId="28F0767B" w14:textId="77777777" w:rsidR="002F6BA7" w:rsidRPr="00B33EA8" w:rsidRDefault="002F6BA7" w:rsidP="002F6BA7">
      <w:pPr>
        <w:pStyle w:val="NoSpacing"/>
        <w:ind w:firstLine="720"/>
        <w:jc w:val="both"/>
        <w:rPr>
          <w:rFonts w:ascii="Book Antiqua" w:eastAsia="Times New Roman" w:hAnsi="Book Antiqua"/>
          <w:sz w:val="24"/>
          <w:szCs w:val="20"/>
          <w:lang w:val="es-PR"/>
        </w:rPr>
      </w:pPr>
    </w:p>
    <w:p w14:paraId="2BFE1A03" w14:textId="052A25A0" w:rsidR="002F6BA7" w:rsidRPr="00B33EA8" w:rsidRDefault="002F6BA7" w:rsidP="002F6BA7">
      <w:pPr>
        <w:pStyle w:val="NoSpacing"/>
        <w:ind w:firstLine="720"/>
        <w:jc w:val="both"/>
        <w:rPr>
          <w:rFonts w:ascii="Book Antiqua" w:eastAsia="Times New Roman" w:hAnsi="Book Antiqua"/>
          <w:sz w:val="24"/>
          <w:szCs w:val="20"/>
          <w:lang w:val="es-PR"/>
        </w:rPr>
      </w:pPr>
      <w:r w:rsidRPr="00B33EA8">
        <w:rPr>
          <w:rFonts w:ascii="Book Antiqua" w:eastAsia="Times New Roman" w:hAnsi="Book Antiqua"/>
          <w:sz w:val="24"/>
          <w:szCs w:val="20"/>
          <w:lang w:val="es-PR"/>
        </w:rPr>
        <w:t>Exceptuando a la UPR, las citadas entidades gubernamentales tienen a su cargo deberes ministeriales puntuales como agencias fiscales del Ejecutivo.</w:t>
      </w:r>
      <w:r>
        <w:rPr>
          <w:rFonts w:ascii="Book Antiqua" w:eastAsia="Times New Roman" w:hAnsi="Book Antiqua"/>
          <w:sz w:val="24"/>
          <w:szCs w:val="20"/>
          <w:lang w:val="es-PR"/>
        </w:rPr>
        <w:t xml:space="preserve"> </w:t>
      </w:r>
      <w:r w:rsidRPr="00B33EA8">
        <w:rPr>
          <w:rFonts w:ascii="Book Antiqua" w:eastAsia="Times New Roman" w:hAnsi="Book Antiqua"/>
          <w:sz w:val="24"/>
          <w:szCs w:val="20"/>
          <w:lang w:val="es-PR"/>
        </w:rPr>
        <w:t xml:space="preserve">Reconocemos </w:t>
      </w:r>
      <w:r w:rsidRPr="00876835">
        <w:rPr>
          <w:rFonts w:ascii="Book Antiqua" w:eastAsia="Times New Roman" w:hAnsi="Book Antiqua"/>
          <w:strike/>
          <w:sz w:val="24"/>
          <w:szCs w:val="20"/>
          <w:lang w:val="es-PR"/>
        </w:rPr>
        <w:t>el</w:t>
      </w:r>
      <w:r w:rsidR="00A51046">
        <w:rPr>
          <w:rFonts w:ascii="Book Antiqua" w:eastAsia="Times New Roman" w:hAnsi="Book Antiqua"/>
          <w:strike/>
          <w:sz w:val="24"/>
          <w:szCs w:val="20"/>
          <w:lang w:val="es-PR"/>
        </w:rPr>
        <w:t xml:space="preserve"> </w:t>
      </w:r>
      <w:r w:rsidR="00A51046" w:rsidRPr="00A51046">
        <w:rPr>
          <w:rFonts w:ascii="Book Antiqua" w:eastAsia="Times New Roman" w:hAnsi="Book Antiqua"/>
          <w:i/>
          <w:iCs/>
          <w:sz w:val="24"/>
          <w:szCs w:val="20"/>
          <w:u w:val="single"/>
          <w:lang w:val="es-PR"/>
        </w:rPr>
        <w:t>su</w:t>
      </w:r>
      <w:r w:rsidR="00A51046">
        <w:rPr>
          <w:rFonts w:ascii="Book Antiqua" w:eastAsia="Times New Roman" w:hAnsi="Book Antiqua"/>
          <w:sz w:val="24"/>
          <w:szCs w:val="20"/>
          <w:lang w:val="es-PR"/>
        </w:rPr>
        <w:t xml:space="preserve"> </w:t>
      </w:r>
      <w:r w:rsidRPr="00B33EA8">
        <w:rPr>
          <w:rFonts w:ascii="Book Antiqua" w:eastAsia="Times New Roman" w:hAnsi="Book Antiqua"/>
          <w:sz w:val="24"/>
          <w:szCs w:val="20"/>
          <w:lang w:val="es-PR"/>
        </w:rPr>
        <w:t xml:space="preserve">deber y </w:t>
      </w:r>
      <w:r w:rsidRPr="00A51046">
        <w:rPr>
          <w:rFonts w:ascii="Book Antiqua" w:eastAsia="Times New Roman" w:hAnsi="Book Antiqua"/>
          <w:strike/>
          <w:sz w:val="24"/>
          <w:szCs w:val="20"/>
          <w:lang w:val="es-PR"/>
        </w:rPr>
        <w:t xml:space="preserve">la </w:t>
      </w:r>
      <w:r w:rsidRPr="00B33EA8">
        <w:rPr>
          <w:rFonts w:ascii="Book Antiqua" w:eastAsia="Times New Roman" w:hAnsi="Book Antiqua"/>
          <w:sz w:val="24"/>
          <w:szCs w:val="20"/>
          <w:lang w:val="es-PR"/>
        </w:rPr>
        <w:t xml:space="preserve">capacidad de éstas </w:t>
      </w:r>
      <w:r w:rsidRPr="00A51046">
        <w:rPr>
          <w:rFonts w:ascii="Book Antiqua" w:eastAsia="Times New Roman" w:hAnsi="Book Antiqua"/>
          <w:strike/>
          <w:sz w:val="24"/>
          <w:szCs w:val="20"/>
          <w:lang w:val="es-PR"/>
        </w:rPr>
        <w:t>de</w:t>
      </w:r>
      <w:r w:rsidRPr="00B33EA8">
        <w:rPr>
          <w:rFonts w:ascii="Book Antiqua" w:eastAsia="Times New Roman" w:hAnsi="Book Antiqua"/>
          <w:sz w:val="24"/>
          <w:szCs w:val="20"/>
          <w:lang w:val="es-PR"/>
        </w:rPr>
        <w:t xml:space="preserve"> </w:t>
      </w:r>
      <w:r w:rsidR="00A51046">
        <w:rPr>
          <w:rFonts w:ascii="Book Antiqua" w:eastAsia="Times New Roman" w:hAnsi="Book Antiqua"/>
          <w:i/>
          <w:iCs/>
          <w:sz w:val="24"/>
          <w:szCs w:val="20"/>
          <w:u w:val="single"/>
          <w:lang w:val="es-PR"/>
        </w:rPr>
        <w:t xml:space="preserve">para </w:t>
      </w:r>
      <w:r w:rsidRPr="00B33EA8">
        <w:rPr>
          <w:rFonts w:ascii="Book Antiqua" w:eastAsia="Times New Roman" w:hAnsi="Book Antiqua"/>
          <w:sz w:val="24"/>
          <w:szCs w:val="20"/>
          <w:lang w:val="es-PR"/>
        </w:rPr>
        <w:t xml:space="preserve">asistir a la UPR en </w:t>
      </w:r>
      <w:r w:rsidRPr="00A51046">
        <w:rPr>
          <w:rFonts w:ascii="Book Antiqua" w:eastAsia="Times New Roman" w:hAnsi="Book Antiqua"/>
          <w:strike/>
          <w:sz w:val="24"/>
          <w:szCs w:val="20"/>
          <w:lang w:val="es-PR"/>
        </w:rPr>
        <w:t>los</w:t>
      </w:r>
      <w:r w:rsidRPr="00B33EA8">
        <w:rPr>
          <w:rFonts w:ascii="Book Antiqua" w:eastAsia="Times New Roman" w:hAnsi="Book Antiqua"/>
          <w:sz w:val="24"/>
          <w:szCs w:val="20"/>
          <w:lang w:val="es-PR"/>
        </w:rPr>
        <w:t xml:space="preserve"> asuntos financieros </w:t>
      </w:r>
      <w:r w:rsidRPr="00A51046">
        <w:rPr>
          <w:rFonts w:ascii="Book Antiqua" w:eastAsia="Times New Roman" w:hAnsi="Book Antiqua"/>
          <w:strike/>
          <w:sz w:val="24"/>
          <w:szCs w:val="20"/>
          <w:lang w:val="es-PR"/>
        </w:rPr>
        <w:t>sobre</w:t>
      </w:r>
      <w:r w:rsidRPr="00B33EA8">
        <w:rPr>
          <w:rFonts w:ascii="Book Antiqua" w:eastAsia="Times New Roman" w:hAnsi="Book Antiqua"/>
          <w:sz w:val="24"/>
          <w:szCs w:val="20"/>
          <w:lang w:val="es-PR"/>
        </w:rPr>
        <w:t xml:space="preserve"> </w:t>
      </w:r>
      <w:r w:rsidR="00A51046">
        <w:rPr>
          <w:rFonts w:ascii="Book Antiqua" w:eastAsia="Times New Roman" w:hAnsi="Book Antiqua"/>
          <w:i/>
          <w:iCs/>
          <w:sz w:val="24"/>
          <w:szCs w:val="20"/>
          <w:u w:val="single"/>
          <w:lang w:val="es-PR"/>
        </w:rPr>
        <w:t xml:space="preserve">relacionados con </w:t>
      </w:r>
      <w:r w:rsidRPr="00B33EA8">
        <w:rPr>
          <w:rFonts w:ascii="Book Antiqua" w:eastAsia="Times New Roman" w:hAnsi="Book Antiqua"/>
          <w:sz w:val="24"/>
          <w:szCs w:val="20"/>
          <w:lang w:val="es-PR"/>
        </w:rPr>
        <w:t>el fondo creado.  Sin embargo, ordenar que dichas agencias sean responsables de salvaguardar el uso de los fondos</w:t>
      </w:r>
      <w:r w:rsidR="00A51046">
        <w:rPr>
          <w:rFonts w:ascii="Book Antiqua" w:eastAsia="Times New Roman" w:hAnsi="Book Antiqua"/>
          <w:i/>
          <w:iCs/>
          <w:sz w:val="24"/>
          <w:szCs w:val="20"/>
          <w:u w:val="single"/>
          <w:lang w:val="es-PR"/>
        </w:rPr>
        <w:t>,</w:t>
      </w:r>
      <w:r w:rsidRPr="00B33EA8">
        <w:rPr>
          <w:rFonts w:ascii="Book Antiqua" w:eastAsia="Times New Roman" w:hAnsi="Book Antiqua"/>
          <w:sz w:val="24"/>
          <w:szCs w:val="20"/>
          <w:lang w:val="es-PR"/>
        </w:rPr>
        <w:t xml:space="preserve"> para que los mismos sean distribuidos solamente a estudiantes con progreso académico satisfactorio que demuestren necesidad económica </w:t>
      </w:r>
      <w:r w:rsidRPr="00A51046">
        <w:rPr>
          <w:rFonts w:ascii="Book Antiqua" w:eastAsia="Times New Roman" w:hAnsi="Book Antiqua"/>
          <w:strike/>
          <w:sz w:val="24"/>
          <w:szCs w:val="20"/>
          <w:lang w:val="es-PR"/>
        </w:rPr>
        <w:t>nos parece que</w:t>
      </w:r>
      <w:r w:rsidRPr="00B33EA8">
        <w:rPr>
          <w:rFonts w:ascii="Book Antiqua" w:eastAsia="Times New Roman" w:hAnsi="Book Antiqua"/>
          <w:sz w:val="24"/>
          <w:szCs w:val="20"/>
          <w:lang w:val="es-PR"/>
        </w:rPr>
        <w:t xml:space="preserve"> les impone una carga innecesaria</w:t>
      </w:r>
      <w:r w:rsidRPr="00A51046">
        <w:rPr>
          <w:rFonts w:ascii="Book Antiqua" w:eastAsia="Times New Roman" w:hAnsi="Book Antiqua"/>
          <w:strike/>
          <w:sz w:val="24"/>
          <w:szCs w:val="20"/>
          <w:lang w:val="es-PR"/>
        </w:rPr>
        <w:t>, en momentos en que las referidas entidades se encuentran atendiendo una pluralidad de asuntos que redundan en beneficio de las finanzas gubernamentales</w:t>
      </w:r>
      <w:r w:rsidRPr="00B33EA8">
        <w:rPr>
          <w:rFonts w:ascii="Book Antiqua" w:eastAsia="Times New Roman" w:hAnsi="Book Antiqua"/>
          <w:sz w:val="24"/>
          <w:szCs w:val="20"/>
          <w:lang w:val="es-PR"/>
        </w:rPr>
        <w:t xml:space="preserve">. </w:t>
      </w:r>
      <w:r w:rsidR="00221E99" w:rsidRPr="00221E99">
        <w:rPr>
          <w:rFonts w:ascii="Book Antiqua" w:eastAsia="Times New Roman" w:hAnsi="Book Antiqua"/>
          <w:i/>
          <w:iCs/>
          <w:sz w:val="24"/>
          <w:szCs w:val="20"/>
          <w:u w:val="single"/>
          <w:lang w:val="es-PR"/>
        </w:rPr>
        <w:t xml:space="preserve">Estas </w:t>
      </w:r>
      <w:r w:rsidR="00A51046" w:rsidRPr="00221E99">
        <w:rPr>
          <w:rFonts w:ascii="Book Antiqua" w:eastAsia="Times New Roman" w:hAnsi="Book Antiqua"/>
          <w:i/>
          <w:iCs/>
          <w:sz w:val="24"/>
          <w:szCs w:val="20"/>
          <w:u w:val="single"/>
          <w:lang w:val="es-PR"/>
        </w:rPr>
        <w:t>entidades atienden múltiples asuntos en beneficio de las finanzas gubernamentales.</w:t>
      </w:r>
      <w:r w:rsidR="00221E99">
        <w:rPr>
          <w:rFonts w:ascii="Book Antiqua" w:eastAsia="Times New Roman" w:hAnsi="Book Antiqua"/>
          <w:i/>
          <w:iCs/>
          <w:sz w:val="24"/>
          <w:szCs w:val="20"/>
          <w:u w:val="single"/>
          <w:lang w:val="es-PR"/>
        </w:rPr>
        <w:t xml:space="preserve"> Además,</w:t>
      </w:r>
      <w:r w:rsidR="00221E99" w:rsidRPr="00221E99">
        <w:rPr>
          <w:rFonts w:ascii="Book Antiqua" w:eastAsia="Times New Roman" w:hAnsi="Book Antiqua"/>
          <w:i/>
          <w:iCs/>
          <w:sz w:val="24"/>
          <w:szCs w:val="20"/>
          <w:u w:val="single"/>
          <w:lang w:val="es-PR"/>
        </w:rPr>
        <w:t xml:space="preserve"> </w:t>
      </w:r>
      <w:r w:rsidR="00221E99" w:rsidRPr="00221E99">
        <w:rPr>
          <w:rFonts w:ascii="Book Antiqua" w:eastAsia="Times New Roman" w:hAnsi="Book Antiqua"/>
          <w:strike/>
          <w:sz w:val="24"/>
          <w:szCs w:val="20"/>
          <w:lang w:val="es-PR"/>
        </w:rPr>
        <w:t>Más</w:t>
      </w:r>
      <w:r w:rsidRPr="00221E99">
        <w:rPr>
          <w:rFonts w:ascii="Book Antiqua" w:eastAsia="Times New Roman" w:hAnsi="Book Antiqua"/>
          <w:strike/>
          <w:sz w:val="24"/>
          <w:szCs w:val="20"/>
          <w:lang w:val="es-PR"/>
        </w:rPr>
        <w:t xml:space="preserve"> aún, en consideración a que,</w:t>
      </w:r>
      <w:r w:rsidRPr="00B33EA8">
        <w:rPr>
          <w:rFonts w:ascii="Book Antiqua" w:eastAsia="Times New Roman" w:hAnsi="Book Antiqua"/>
          <w:sz w:val="24"/>
          <w:szCs w:val="20"/>
          <w:lang w:val="es-PR"/>
        </w:rPr>
        <w:t xml:space="preserve"> una vez se transfieren los fondos a la UPR, una corporación pública, las citadas entidades gubernamentales </w:t>
      </w:r>
      <w:r w:rsidRPr="00221E99">
        <w:rPr>
          <w:rFonts w:ascii="Book Antiqua" w:eastAsia="Times New Roman" w:hAnsi="Book Antiqua"/>
          <w:strike/>
          <w:sz w:val="24"/>
          <w:szCs w:val="20"/>
          <w:lang w:val="es-PR"/>
        </w:rPr>
        <w:t>carecen de</w:t>
      </w:r>
      <w:r w:rsidRPr="00B33EA8">
        <w:rPr>
          <w:rFonts w:ascii="Book Antiqua" w:eastAsia="Times New Roman" w:hAnsi="Book Antiqua"/>
          <w:sz w:val="24"/>
          <w:szCs w:val="20"/>
          <w:lang w:val="es-PR"/>
        </w:rPr>
        <w:t xml:space="preserve"> </w:t>
      </w:r>
      <w:r w:rsidR="00221E99">
        <w:rPr>
          <w:rFonts w:ascii="Book Antiqua" w:eastAsia="Times New Roman" w:hAnsi="Book Antiqua"/>
          <w:i/>
          <w:iCs/>
          <w:sz w:val="24"/>
          <w:szCs w:val="20"/>
          <w:u w:val="single"/>
          <w:lang w:val="es-PR"/>
        </w:rPr>
        <w:t xml:space="preserve">pierden </w:t>
      </w:r>
      <w:r w:rsidRPr="00B33EA8">
        <w:rPr>
          <w:rFonts w:ascii="Book Antiqua" w:eastAsia="Times New Roman" w:hAnsi="Book Antiqua"/>
          <w:sz w:val="24"/>
          <w:szCs w:val="20"/>
          <w:lang w:val="es-PR"/>
        </w:rPr>
        <w:t>visibilidad sobre los mismos por operación contable.</w:t>
      </w:r>
    </w:p>
    <w:p w14:paraId="4E38A9F3" w14:textId="77777777" w:rsidR="002F6BA7" w:rsidRPr="00B33EA8" w:rsidRDefault="002F6BA7" w:rsidP="002F6BA7">
      <w:pPr>
        <w:pStyle w:val="NoSpacing"/>
        <w:ind w:firstLine="720"/>
        <w:jc w:val="both"/>
        <w:rPr>
          <w:rFonts w:ascii="Book Antiqua" w:eastAsia="Times New Roman" w:hAnsi="Book Antiqua"/>
          <w:sz w:val="24"/>
          <w:szCs w:val="20"/>
          <w:lang w:val="es-PR"/>
        </w:rPr>
      </w:pPr>
    </w:p>
    <w:p w14:paraId="6EDCA657" w14:textId="3F264AC2" w:rsidR="002F6BA7" w:rsidRPr="00B33EA8" w:rsidRDefault="002F6BA7" w:rsidP="002F6BA7">
      <w:pPr>
        <w:pStyle w:val="NoSpacing"/>
        <w:ind w:firstLine="720"/>
        <w:jc w:val="both"/>
        <w:rPr>
          <w:rFonts w:ascii="Book Antiqua" w:eastAsia="Times New Roman" w:hAnsi="Book Antiqua"/>
          <w:sz w:val="24"/>
          <w:szCs w:val="20"/>
          <w:lang w:val="es-PR"/>
        </w:rPr>
      </w:pPr>
      <w:r w:rsidRPr="00B33EA8">
        <w:rPr>
          <w:rFonts w:ascii="Book Antiqua" w:eastAsia="Times New Roman" w:hAnsi="Book Antiqua"/>
          <w:sz w:val="24"/>
          <w:szCs w:val="20"/>
          <w:lang w:val="es-PR"/>
        </w:rPr>
        <w:t xml:space="preserve">La UPR </w:t>
      </w:r>
      <w:r w:rsidRPr="00221E99">
        <w:rPr>
          <w:rFonts w:ascii="Book Antiqua" w:eastAsia="Times New Roman" w:hAnsi="Book Antiqua"/>
          <w:strike/>
          <w:sz w:val="24"/>
          <w:szCs w:val="20"/>
          <w:lang w:val="es-PR"/>
        </w:rPr>
        <w:t>es la encargada en ley</w:t>
      </w:r>
      <w:r w:rsidRPr="00B33EA8">
        <w:rPr>
          <w:rFonts w:ascii="Book Antiqua" w:eastAsia="Times New Roman" w:hAnsi="Book Antiqua"/>
          <w:sz w:val="24"/>
          <w:szCs w:val="20"/>
          <w:lang w:val="es-PR"/>
        </w:rPr>
        <w:t xml:space="preserve"> </w:t>
      </w:r>
      <w:r w:rsidR="00221E99" w:rsidRPr="00221E99">
        <w:rPr>
          <w:rFonts w:ascii="Book Antiqua" w:eastAsia="Times New Roman" w:hAnsi="Book Antiqua"/>
          <w:i/>
          <w:iCs/>
          <w:sz w:val="24"/>
          <w:szCs w:val="20"/>
          <w:u w:val="single"/>
          <w:lang w:val="es-PR"/>
        </w:rPr>
        <w:t>es la entidad encargada, según la ley,</w:t>
      </w:r>
      <w:r w:rsidR="00221E99">
        <w:rPr>
          <w:rFonts w:ascii="Book Antiqua" w:eastAsia="Times New Roman" w:hAnsi="Book Antiqua"/>
          <w:i/>
          <w:iCs/>
          <w:sz w:val="24"/>
          <w:szCs w:val="20"/>
          <w:u w:val="single"/>
          <w:lang w:val="es-PR"/>
        </w:rPr>
        <w:t xml:space="preserve"> </w:t>
      </w:r>
      <w:r w:rsidRPr="00B33EA8">
        <w:rPr>
          <w:rFonts w:ascii="Book Antiqua" w:eastAsia="Times New Roman" w:hAnsi="Book Antiqua"/>
          <w:sz w:val="24"/>
          <w:szCs w:val="20"/>
          <w:lang w:val="es-PR"/>
        </w:rPr>
        <w:t xml:space="preserve">de crear el Programa de Becas, y </w:t>
      </w:r>
      <w:r w:rsidRPr="00221E99">
        <w:rPr>
          <w:rFonts w:ascii="Book Antiqua" w:eastAsia="Times New Roman" w:hAnsi="Book Antiqua"/>
          <w:strike/>
          <w:sz w:val="24"/>
          <w:szCs w:val="20"/>
          <w:lang w:val="es-PR"/>
        </w:rPr>
        <w:t>es la entidad que</w:t>
      </w:r>
      <w:r>
        <w:rPr>
          <w:rFonts w:ascii="Book Antiqua" w:eastAsia="Times New Roman" w:hAnsi="Book Antiqua"/>
          <w:sz w:val="24"/>
          <w:szCs w:val="20"/>
          <w:lang w:val="es-PR"/>
        </w:rPr>
        <w:t xml:space="preserve"> </w:t>
      </w:r>
      <w:r w:rsidRPr="00B33EA8">
        <w:rPr>
          <w:rFonts w:ascii="Book Antiqua" w:eastAsia="Times New Roman" w:hAnsi="Book Antiqua"/>
          <w:sz w:val="24"/>
          <w:szCs w:val="20"/>
          <w:lang w:val="es-PR"/>
        </w:rPr>
        <w:t xml:space="preserve">tiene la responsabilidad de velar por el desempeño </w:t>
      </w:r>
      <w:r w:rsidRPr="00200F9F">
        <w:rPr>
          <w:rFonts w:ascii="Book Antiqua" w:eastAsia="Times New Roman" w:hAnsi="Book Antiqua"/>
          <w:strike/>
          <w:sz w:val="24"/>
          <w:szCs w:val="20"/>
          <w:lang w:val="es-PR"/>
        </w:rPr>
        <w:t>académicos</w:t>
      </w:r>
      <w:r w:rsidRPr="00B33EA8">
        <w:rPr>
          <w:rFonts w:ascii="Book Antiqua" w:eastAsia="Times New Roman" w:hAnsi="Book Antiqua"/>
          <w:sz w:val="24"/>
          <w:szCs w:val="20"/>
          <w:lang w:val="es-PR"/>
        </w:rPr>
        <w:t xml:space="preserve"> </w:t>
      </w:r>
      <w:r w:rsidR="00200F9F" w:rsidRPr="00200F9F">
        <w:rPr>
          <w:rFonts w:ascii="Book Antiqua" w:eastAsia="Times New Roman" w:hAnsi="Book Antiqua"/>
          <w:i/>
          <w:iCs/>
          <w:sz w:val="24"/>
          <w:szCs w:val="20"/>
          <w:u w:val="single"/>
          <w:lang w:val="es-PR"/>
        </w:rPr>
        <w:t>académico</w:t>
      </w:r>
      <w:r w:rsidR="00200F9F" w:rsidRPr="00B33EA8">
        <w:rPr>
          <w:rFonts w:ascii="Book Antiqua" w:eastAsia="Times New Roman" w:hAnsi="Book Antiqua"/>
          <w:sz w:val="24"/>
          <w:szCs w:val="20"/>
          <w:lang w:val="es-PR"/>
        </w:rPr>
        <w:t xml:space="preserve"> </w:t>
      </w:r>
      <w:r w:rsidRPr="00B33EA8">
        <w:rPr>
          <w:rFonts w:ascii="Book Antiqua" w:eastAsia="Times New Roman" w:hAnsi="Book Antiqua"/>
          <w:sz w:val="24"/>
          <w:szCs w:val="20"/>
          <w:lang w:val="es-PR"/>
        </w:rPr>
        <w:t>de los estudiantes</w:t>
      </w:r>
      <w:r w:rsidR="00221E99">
        <w:rPr>
          <w:rFonts w:ascii="Book Antiqua" w:eastAsia="Times New Roman" w:hAnsi="Book Antiqua"/>
          <w:i/>
          <w:iCs/>
          <w:sz w:val="24"/>
          <w:szCs w:val="20"/>
          <w:u w:val="single"/>
          <w:lang w:val="es-PR"/>
        </w:rPr>
        <w:t>. Por lo tanto,</w:t>
      </w:r>
      <w:r w:rsidRPr="00B33EA8">
        <w:rPr>
          <w:rFonts w:ascii="Book Antiqua" w:eastAsia="Times New Roman" w:hAnsi="Book Antiqua"/>
          <w:sz w:val="24"/>
          <w:szCs w:val="20"/>
          <w:lang w:val="es-PR"/>
        </w:rPr>
        <w:t xml:space="preserve"> </w:t>
      </w:r>
      <w:r w:rsidRPr="00221E99">
        <w:rPr>
          <w:rFonts w:ascii="Book Antiqua" w:eastAsia="Times New Roman" w:hAnsi="Book Antiqua"/>
          <w:strike/>
          <w:sz w:val="24"/>
          <w:szCs w:val="20"/>
          <w:lang w:val="es-PR"/>
        </w:rPr>
        <w:t>por lo que</w:t>
      </w:r>
      <w:r w:rsidRPr="00B33EA8">
        <w:rPr>
          <w:rFonts w:ascii="Book Antiqua" w:eastAsia="Times New Roman" w:hAnsi="Book Antiqua"/>
          <w:sz w:val="24"/>
          <w:szCs w:val="20"/>
          <w:lang w:val="es-PR"/>
        </w:rPr>
        <w:t xml:space="preserve"> debe ser ésta quien, bajo el estricto cumplimiento de las guías </w:t>
      </w:r>
      <w:r w:rsidRPr="00221E99">
        <w:rPr>
          <w:rFonts w:ascii="Book Antiqua" w:eastAsia="Times New Roman" w:hAnsi="Book Antiqua"/>
          <w:strike/>
          <w:sz w:val="24"/>
          <w:szCs w:val="20"/>
          <w:lang w:val="es-PR"/>
        </w:rPr>
        <w:t>puntuales que se creen</w:t>
      </w:r>
      <w:r w:rsidR="00561B1B" w:rsidRPr="00561B1B">
        <w:rPr>
          <w:rFonts w:ascii="Book Antiqua" w:eastAsia="Times New Roman" w:hAnsi="Book Antiqua"/>
          <w:sz w:val="24"/>
          <w:szCs w:val="20"/>
          <w:lang w:val="es-PR"/>
        </w:rPr>
        <w:t xml:space="preserve"> </w:t>
      </w:r>
      <w:r w:rsidR="00221E99">
        <w:rPr>
          <w:rFonts w:ascii="Book Antiqua" w:eastAsia="Times New Roman" w:hAnsi="Book Antiqua"/>
          <w:i/>
          <w:iCs/>
          <w:sz w:val="24"/>
          <w:szCs w:val="20"/>
          <w:u w:val="single"/>
          <w:lang w:val="es-PR"/>
        </w:rPr>
        <w:t>específicas que se establezcan, se encargue de</w:t>
      </w:r>
      <w:r w:rsidRPr="00B33EA8">
        <w:rPr>
          <w:rFonts w:ascii="Book Antiqua" w:eastAsia="Times New Roman" w:hAnsi="Book Antiqua"/>
          <w:sz w:val="24"/>
          <w:szCs w:val="20"/>
          <w:lang w:val="es-PR"/>
        </w:rPr>
        <w:t xml:space="preserve"> </w:t>
      </w:r>
      <w:r w:rsidRPr="00221E99">
        <w:rPr>
          <w:rFonts w:ascii="Book Antiqua" w:eastAsia="Times New Roman" w:hAnsi="Book Antiqua"/>
          <w:strike/>
          <w:sz w:val="24"/>
          <w:szCs w:val="20"/>
          <w:lang w:val="es-PR"/>
        </w:rPr>
        <w:t>vele por</w:t>
      </w:r>
      <w:r w:rsidRPr="00B33EA8">
        <w:rPr>
          <w:rFonts w:ascii="Book Antiqua" w:eastAsia="Times New Roman" w:hAnsi="Book Antiqua"/>
          <w:sz w:val="24"/>
          <w:szCs w:val="20"/>
          <w:lang w:val="es-PR"/>
        </w:rPr>
        <w:t xml:space="preserve"> la distribución adecuada de los fondos.  </w:t>
      </w:r>
      <w:r w:rsidRPr="00221E99">
        <w:rPr>
          <w:rFonts w:ascii="Book Antiqua" w:eastAsia="Times New Roman" w:hAnsi="Book Antiqua"/>
          <w:strike/>
          <w:sz w:val="24"/>
          <w:szCs w:val="20"/>
          <w:lang w:val="es-PR"/>
        </w:rPr>
        <w:t xml:space="preserve">Por lo </w:t>
      </w:r>
      <w:proofErr w:type="gramStart"/>
      <w:r w:rsidRPr="00221E99">
        <w:rPr>
          <w:rFonts w:ascii="Book Antiqua" w:eastAsia="Times New Roman" w:hAnsi="Book Antiqua"/>
          <w:strike/>
          <w:sz w:val="24"/>
          <w:szCs w:val="20"/>
          <w:lang w:val="es-PR"/>
        </w:rPr>
        <w:t>tanto</w:t>
      </w:r>
      <w:proofErr w:type="gramEnd"/>
      <w:r w:rsidR="00561B1B" w:rsidRPr="00561B1B">
        <w:rPr>
          <w:rFonts w:ascii="Book Antiqua" w:eastAsia="Times New Roman" w:hAnsi="Book Antiqua"/>
          <w:sz w:val="24"/>
          <w:szCs w:val="20"/>
          <w:lang w:val="es-PR"/>
        </w:rPr>
        <w:t xml:space="preserve"> </w:t>
      </w:r>
      <w:r w:rsidR="00221E99">
        <w:rPr>
          <w:rFonts w:ascii="Book Antiqua" w:eastAsia="Times New Roman" w:hAnsi="Book Antiqua"/>
          <w:i/>
          <w:iCs/>
          <w:sz w:val="24"/>
          <w:szCs w:val="20"/>
          <w:u w:val="single"/>
          <w:lang w:val="es-PR"/>
        </w:rPr>
        <w:t>En consecuencia</w:t>
      </w:r>
      <w:r w:rsidRPr="00B33EA8">
        <w:rPr>
          <w:rFonts w:ascii="Book Antiqua" w:eastAsia="Times New Roman" w:hAnsi="Book Antiqua"/>
          <w:sz w:val="24"/>
          <w:szCs w:val="20"/>
          <w:lang w:val="es-PR"/>
        </w:rPr>
        <w:t xml:space="preserve">, mediante esta Ley aclaramos dicha responsabilidad, imponiendo a la Universidad de Puerto Rico el deber de cumplir con los requisitos necesarios de distribución, y ordenando la notificación periódica de informes a la AAFAF, a Hacienda y al </w:t>
      </w:r>
      <w:r w:rsidRPr="00B33EA8">
        <w:rPr>
          <w:rFonts w:ascii="Book Antiqua" w:eastAsia="Times New Roman" w:hAnsi="Book Antiqua"/>
          <w:i/>
          <w:iCs/>
          <w:sz w:val="24"/>
          <w:szCs w:val="20"/>
          <w:lang w:val="es-PR"/>
        </w:rPr>
        <w:t>CFO</w:t>
      </w:r>
      <w:r w:rsidRPr="00B33EA8">
        <w:rPr>
          <w:rFonts w:ascii="Book Antiqua" w:eastAsia="Times New Roman" w:hAnsi="Book Antiqua"/>
          <w:sz w:val="24"/>
          <w:szCs w:val="20"/>
          <w:lang w:val="es-PR"/>
        </w:rPr>
        <w:t>, que evidencien el cumplimiento con los requisitos en cuanto a la distribución de los fondos.</w:t>
      </w:r>
    </w:p>
    <w:p w14:paraId="21E65A5C" w14:textId="77777777" w:rsidR="002F6BA7" w:rsidRPr="00B33EA8" w:rsidRDefault="002F6BA7" w:rsidP="002F6BA7">
      <w:pPr>
        <w:pStyle w:val="BodyText"/>
        <w:ind w:firstLine="720"/>
        <w:rPr>
          <w:rFonts w:ascii="Book Antiqua" w:hAnsi="Book Antiqua"/>
        </w:rPr>
      </w:pPr>
    </w:p>
    <w:p w14:paraId="1961F87D" w14:textId="4C68D0FA" w:rsidR="008573BD" w:rsidRPr="00B33EA8" w:rsidRDefault="002F6BA7" w:rsidP="002F6BA7">
      <w:pPr>
        <w:pStyle w:val="BodyText"/>
        <w:ind w:firstLine="720"/>
        <w:rPr>
          <w:rFonts w:ascii="Book Antiqua" w:hAnsi="Book Antiqua"/>
        </w:rPr>
      </w:pPr>
      <w:r w:rsidRPr="00221E99">
        <w:rPr>
          <w:rFonts w:ascii="Book Antiqua" w:hAnsi="Book Antiqua"/>
          <w:strike/>
        </w:rPr>
        <w:t xml:space="preserve">Por lo </w:t>
      </w:r>
      <w:proofErr w:type="gramStart"/>
      <w:r w:rsidRPr="00221E99">
        <w:rPr>
          <w:rFonts w:ascii="Book Antiqua" w:hAnsi="Book Antiqua"/>
          <w:strike/>
        </w:rPr>
        <w:t>tanto</w:t>
      </w:r>
      <w:proofErr w:type="gramEnd"/>
      <w:r w:rsidR="00561B1B" w:rsidRPr="00561B1B">
        <w:rPr>
          <w:rFonts w:ascii="Book Antiqua" w:hAnsi="Book Antiqua"/>
        </w:rPr>
        <w:t xml:space="preserve"> </w:t>
      </w:r>
      <w:r w:rsidR="00221E99">
        <w:rPr>
          <w:rFonts w:ascii="Book Antiqua" w:hAnsi="Book Antiqua"/>
          <w:i/>
          <w:iCs/>
          <w:u w:val="single"/>
        </w:rPr>
        <w:t>Asimismo</w:t>
      </w:r>
      <w:r w:rsidRPr="00B33EA8">
        <w:rPr>
          <w:rFonts w:ascii="Book Antiqua" w:hAnsi="Book Antiqua"/>
        </w:rPr>
        <w:t xml:space="preserve">, mediante esta Ley se le ordena a la UPR </w:t>
      </w:r>
      <w:r>
        <w:rPr>
          <w:rFonts w:ascii="Book Antiqua" w:hAnsi="Book Antiqua"/>
        </w:rPr>
        <w:t xml:space="preserve">a </w:t>
      </w:r>
      <w:r w:rsidRPr="00B33EA8">
        <w:rPr>
          <w:rFonts w:ascii="Book Antiqua" w:hAnsi="Book Antiqua"/>
        </w:rPr>
        <w:t xml:space="preserve">establecer requisitos de cualificación de las becas, a tenor con los requisitos establecidos en la Ley, </w:t>
      </w:r>
      <w:r w:rsidRPr="00221E99">
        <w:rPr>
          <w:rFonts w:ascii="Book Antiqua" w:hAnsi="Book Antiqua"/>
          <w:strike/>
        </w:rPr>
        <w:t>que salvaguarden el uso de los fondos, para que los mismos</w:t>
      </w:r>
      <w:r w:rsidRPr="00B33EA8">
        <w:rPr>
          <w:rFonts w:ascii="Book Antiqua" w:hAnsi="Book Antiqua"/>
        </w:rPr>
        <w:t xml:space="preserve"> </w:t>
      </w:r>
      <w:r w:rsidRPr="00221E99">
        <w:rPr>
          <w:rFonts w:ascii="Book Antiqua" w:hAnsi="Book Antiqua"/>
          <w:strike/>
        </w:rPr>
        <w:t>sean distribuidos solamente</w:t>
      </w:r>
      <w:r w:rsidRPr="00B33EA8">
        <w:rPr>
          <w:rFonts w:ascii="Book Antiqua" w:hAnsi="Book Antiqua"/>
        </w:rPr>
        <w:t xml:space="preserve"> </w:t>
      </w:r>
      <w:r w:rsidR="00221E99" w:rsidRPr="00221E99">
        <w:rPr>
          <w:rFonts w:ascii="Book Antiqua" w:hAnsi="Book Antiqua"/>
          <w:i/>
          <w:iCs/>
          <w:u w:val="single"/>
        </w:rPr>
        <w:t>para salvaguardar el uso de los fondos y garantizar que estos sean distribuidos exclusivamente</w:t>
      </w:r>
      <w:r w:rsidR="00221E99" w:rsidRPr="00221E99">
        <w:rPr>
          <w:rFonts w:ascii="Book Antiqua" w:hAnsi="Book Antiqua"/>
        </w:rPr>
        <w:t xml:space="preserve"> </w:t>
      </w:r>
      <w:r w:rsidRPr="00B33EA8">
        <w:rPr>
          <w:rFonts w:ascii="Book Antiqua" w:hAnsi="Book Antiqua"/>
        </w:rPr>
        <w:t>a estudiantes con progreso académico satisfactorio</w:t>
      </w:r>
      <w:r w:rsidR="000C2854">
        <w:rPr>
          <w:rFonts w:ascii="Book Antiqua" w:hAnsi="Book Antiqua"/>
          <w:i/>
          <w:iCs/>
          <w:u w:val="single"/>
        </w:rPr>
        <w:t>,</w:t>
      </w:r>
      <w:r w:rsidRPr="00B33EA8">
        <w:rPr>
          <w:rFonts w:ascii="Book Antiqua" w:hAnsi="Book Antiqua"/>
        </w:rPr>
        <w:t xml:space="preserve"> </w:t>
      </w:r>
      <w:r w:rsidR="000C2854">
        <w:rPr>
          <w:rFonts w:ascii="Book Antiqua" w:hAnsi="Book Antiqua"/>
          <w:i/>
          <w:iCs/>
          <w:u w:val="single"/>
        </w:rPr>
        <w:t xml:space="preserve">y </w:t>
      </w:r>
      <w:r w:rsidRPr="00B33EA8">
        <w:rPr>
          <w:rFonts w:ascii="Book Antiqua" w:hAnsi="Book Antiqua"/>
        </w:rPr>
        <w:t xml:space="preserve">que demuestren necesidad económica.  </w:t>
      </w:r>
      <w:r w:rsidRPr="000C2854">
        <w:rPr>
          <w:rFonts w:ascii="Book Antiqua" w:hAnsi="Book Antiqua"/>
          <w:strike/>
        </w:rPr>
        <w:t>Sin embargo, la</w:t>
      </w:r>
      <w:r w:rsidRPr="00B33EA8">
        <w:rPr>
          <w:rFonts w:ascii="Book Antiqua" w:hAnsi="Book Antiqua"/>
        </w:rPr>
        <w:t xml:space="preserve"> </w:t>
      </w:r>
      <w:proofErr w:type="spellStart"/>
      <w:r w:rsidR="000C2854">
        <w:rPr>
          <w:rFonts w:ascii="Book Antiqua" w:hAnsi="Book Antiqua"/>
          <w:i/>
          <w:iCs/>
          <w:u w:val="single"/>
        </w:rPr>
        <w:t>L</w:t>
      </w:r>
      <w:r w:rsidR="000C2854" w:rsidRPr="000C2854">
        <w:rPr>
          <w:rFonts w:ascii="Book Antiqua" w:hAnsi="Book Antiqua"/>
          <w:i/>
          <w:iCs/>
          <w:u w:val="single"/>
        </w:rPr>
        <w:t>a</w:t>
      </w:r>
      <w:proofErr w:type="spellEnd"/>
      <w:r w:rsidR="000C2854">
        <w:rPr>
          <w:rFonts w:ascii="Book Antiqua" w:hAnsi="Book Antiqua"/>
          <w:b/>
          <w:bCs/>
          <w:i/>
          <w:iCs/>
        </w:rPr>
        <w:t xml:space="preserve"> </w:t>
      </w:r>
      <w:r w:rsidRPr="00B33EA8">
        <w:rPr>
          <w:rFonts w:ascii="Book Antiqua" w:hAnsi="Book Antiqua"/>
        </w:rPr>
        <w:t xml:space="preserve">UPR deberá enviar informes periódicos a la AAFAF, a Hacienda y al </w:t>
      </w:r>
      <w:r w:rsidRPr="00B33EA8">
        <w:rPr>
          <w:rFonts w:ascii="Book Antiqua" w:hAnsi="Book Antiqua"/>
          <w:i/>
          <w:iCs/>
        </w:rPr>
        <w:t>CFO</w:t>
      </w:r>
      <w:r w:rsidRPr="00B33EA8">
        <w:rPr>
          <w:rFonts w:ascii="Book Antiqua" w:hAnsi="Book Antiqua"/>
        </w:rPr>
        <w:t xml:space="preserve"> que evidencien el cumplimiento de los requisitos de cualificación por parte de los </w:t>
      </w:r>
      <w:r w:rsidRPr="000C2854">
        <w:rPr>
          <w:rFonts w:ascii="Book Antiqua" w:hAnsi="Book Antiqua"/>
          <w:strike/>
        </w:rPr>
        <w:t xml:space="preserve">recipientes </w:t>
      </w:r>
      <w:r w:rsidR="000C2854" w:rsidRPr="000C2854">
        <w:rPr>
          <w:rFonts w:ascii="Book Antiqua" w:hAnsi="Book Antiqua"/>
          <w:i/>
          <w:iCs/>
          <w:u w:val="single"/>
        </w:rPr>
        <w:t>beneficiarios</w:t>
      </w:r>
      <w:r w:rsidR="000C2854">
        <w:rPr>
          <w:rFonts w:ascii="Book Antiqua" w:hAnsi="Book Antiqua"/>
        </w:rPr>
        <w:t xml:space="preserve"> </w:t>
      </w:r>
      <w:r w:rsidRPr="00B33EA8">
        <w:rPr>
          <w:rFonts w:ascii="Book Antiqua" w:hAnsi="Book Antiqua"/>
        </w:rPr>
        <w:t xml:space="preserve">del programa de becas </w:t>
      </w:r>
      <w:r w:rsidRPr="000C2854">
        <w:rPr>
          <w:rFonts w:ascii="Book Antiqua" w:hAnsi="Book Antiqua"/>
          <w:strike/>
        </w:rPr>
        <w:t>que mediante esta Ley se crea</w:t>
      </w:r>
      <w:r w:rsidR="000C2854">
        <w:rPr>
          <w:rFonts w:ascii="Book Antiqua" w:hAnsi="Book Antiqua"/>
          <w:i/>
          <w:iCs/>
          <w:u w:val="single"/>
        </w:rPr>
        <w:t xml:space="preserve"> creado mediante esta Ley</w:t>
      </w:r>
      <w:r w:rsidRPr="00B33EA8">
        <w:rPr>
          <w:rFonts w:ascii="Book Antiqua" w:hAnsi="Book Antiqua"/>
        </w:rPr>
        <w:t>.</w:t>
      </w:r>
    </w:p>
    <w:p w14:paraId="397F3073" w14:textId="77777777" w:rsidR="00555EA3" w:rsidRPr="00B33EA8" w:rsidRDefault="00555EA3" w:rsidP="00555EA3">
      <w:pPr>
        <w:ind w:firstLine="720"/>
        <w:jc w:val="both"/>
        <w:rPr>
          <w:rFonts w:ascii="Book Antiqua" w:hAnsi="Book Antiqua"/>
          <w:color w:val="000000" w:themeColor="text1"/>
        </w:rPr>
      </w:pPr>
    </w:p>
    <w:p w14:paraId="5F726CD0" w14:textId="77777777" w:rsidR="00555EA3" w:rsidRPr="00B33EA8" w:rsidRDefault="00555EA3" w:rsidP="00555EA3">
      <w:pPr>
        <w:suppressAutoHyphens/>
        <w:spacing w:line="480" w:lineRule="auto"/>
        <w:jc w:val="both"/>
        <w:rPr>
          <w:rFonts w:ascii="Book Antiqua" w:hAnsi="Book Antiqua"/>
          <w:i/>
          <w:iCs/>
          <w:color w:val="000000" w:themeColor="text1"/>
        </w:rPr>
      </w:pPr>
      <w:r w:rsidRPr="00B33EA8">
        <w:rPr>
          <w:rFonts w:ascii="Book Antiqua" w:hAnsi="Book Antiqua"/>
          <w:i/>
          <w:iCs/>
          <w:color w:val="000000" w:themeColor="text1"/>
        </w:rPr>
        <w:t>DECRÉTASE POR LA ASAMBLEA LEGISLATIVA DE PUERTO RICO:</w:t>
      </w:r>
    </w:p>
    <w:p w14:paraId="43C55AE1" w14:textId="77777777" w:rsidR="00555EA3" w:rsidRPr="00B33EA8" w:rsidRDefault="00555EA3" w:rsidP="00555EA3">
      <w:pPr>
        <w:spacing w:line="480" w:lineRule="auto"/>
        <w:jc w:val="both"/>
        <w:rPr>
          <w:rFonts w:ascii="Book Antiqua" w:hAnsi="Book Antiqua"/>
          <w:i/>
          <w:iCs/>
          <w:color w:val="000000" w:themeColor="text1"/>
        </w:rPr>
        <w:sectPr w:rsidR="00555EA3" w:rsidRPr="00B33EA8" w:rsidSect="009C0BB4">
          <w:headerReference w:type="default" r:id="rId7"/>
          <w:headerReference w:type="first" r:id="rId8"/>
          <w:pgSz w:w="12240" w:h="15840" w:code="1"/>
          <w:pgMar w:top="1296" w:right="1296" w:bottom="1296" w:left="1296" w:header="720" w:footer="720" w:gutter="0"/>
          <w:pgNumType w:start="1"/>
          <w:cols w:space="720"/>
          <w:titlePg/>
          <w:docGrid w:linePitch="326"/>
        </w:sectPr>
      </w:pPr>
    </w:p>
    <w:p w14:paraId="1B35C4FF" w14:textId="47D30113" w:rsidR="002F6BA7" w:rsidRPr="00B33EA8" w:rsidRDefault="002F6BA7" w:rsidP="002F6BA7">
      <w:pPr>
        <w:pStyle w:val="BodyText"/>
        <w:spacing w:line="480" w:lineRule="auto"/>
        <w:ind w:firstLine="720"/>
        <w:rPr>
          <w:rFonts w:ascii="Book Antiqua" w:hAnsi="Book Antiqua"/>
          <w:iCs/>
        </w:rPr>
      </w:pPr>
      <w:r w:rsidRPr="00B33EA8">
        <w:rPr>
          <w:rFonts w:ascii="Book Antiqua" w:hAnsi="Book Antiqua"/>
        </w:rPr>
        <w:t xml:space="preserve">Sección 1. - Se enmienda el Artículo 2.01 de la Ley Núm. 4-2022, </w:t>
      </w:r>
      <w:r w:rsidR="00BE19E8">
        <w:rPr>
          <w:rFonts w:ascii="Book Antiqua" w:hAnsi="Book Antiqua"/>
        </w:rPr>
        <w:t xml:space="preserve">según enmendada, </w:t>
      </w:r>
      <w:r w:rsidRPr="00B33EA8">
        <w:rPr>
          <w:rFonts w:ascii="Book Antiqua" w:hAnsi="Book Antiqua"/>
        </w:rPr>
        <w:t xml:space="preserve">conocida como </w:t>
      </w:r>
      <w:r w:rsidRPr="00B33EA8">
        <w:rPr>
          <w:rFonts w:ascii="Book Antiqua" w:hAnsi="Book Antiqua"/>
          <w:iCs/>
        </w:rPr>
        <w:t>"Ley del Fondo de Becas para Mitigar el Alza en Matrículas del Plan Fiscal", para que se lea como sigue:</w:t>
      </w:r>
    </w:p>
    <w:p w14:paraId="78D33590" w14:textId="77777777" w:rsidR="002F6BA7" w:rsidRPr="00B33EA8" w:rsidRDefault="002F6BA7" w:rsidP="002F6BA7">
      <w:pPr>
        <w:pStyle w:val="BodyText"/>
        <w:spacing w:line="480" w:lineRule="auto"/>
        <w:ind w:firstLine="720"/>
        <w:rPr>
          <w:rFonts w:ascii="Book Antiqua" w:hAnsi="Book Antiqua"/>
        </w:rPr>
      </w:pPr>
      <w:r w:rsidRPr="00B33EA8">
        <w:rPr>
          <w:rFonts w:ascii="Book Antiqua" w:hAnsi="Book Antiqua"/>
        </w:rPr>
        <w:t xml:space="preserve">“Artículo 2.01.- Creación del Programa de Becas para Mitigar el Alza en Matrículas </w:t>
      </w:r>
      <w:r w:rsidRPr="00B33EA8">
        <w:rPr>
          <w:rFonts w:ascii="Book Antiqua" w:hAnsi="Book Antiqua"/>
        </w:rPr>
        <w:lastRenderedPageBreak/>
        <w:t>del Plan Fiscal.</w:t>
      </w:r>
    </w:p>
    <w:p w14:paraId="59BAC7BA" w14:textId="782458E4" w:rsidR="002F6BA7" w:rsidRPr="00B33EA8" w:rsidRDefault="002F6BA7" w:rsidP="002F6BA7">
      <w:pPr>
        <w:pStyle w:val="BodyText"/>
        <w:spacing w:line="480" w:lineRule="auto"/>
        <w:ind w:firstLine="720"/>
        <w:rPr>
          <w:rFonts w:ascii="Book Antiqua" w:hAnsi="Book Antiqua"/>
        </w:rPr>
      </w:pPr>
      <w:r w:rsidRPr="00B33EA8">
        <w:rPr>
          <w:rFonts w:ascii="Book Antiqua" w:hAnsi="Book Antiqua"/>
        </w:rPr>
        <w:t xml:space="preserve">Se le ordena a la Universidad de Puerto Rico, por conducto de su Junta de Gobierno, la creación del Programa de Becas para Mitigar el Alza en Matrículas del Plan Fiscal.  Este Programa será financiado con los </w:t>
      </w:r>
      <w:r w:rsidRPr="00842F91">
        <w:rPr>
          <w:rFonts w:ascii="Book Antiqua" w:hAnsi="Book Antiqua"/>
        </w:rPr>
        <w:t>réditos</w:t>
      </w:r>
      <w:r w:rsidR="00842F91">
        <w:rPr>
          <w:rFonts w:ascii="Book Antiqua" w:hAnsi="Book Antiqua"/>
        </w:rPr>
        <w:t xml:space="preserve"> </w:t>
      </w:r>
      <w:r w:rsidRPr="00B33EA8">
        <w:rPr>
          <w:rFonts w:ascii="Book Antiqua" w:hAnsi="Book Antiqua"/>
        </w:rPr>
        <w:t xml:space="preserve">que genere el depósito de los fondos adicionales que el </w:t>
      </w:r>
      <w:r w:rsidRPr="000C2854">
        <w:rPr>
          <w:rFonts w:ascii="Book Antiqua" w:hAnsi="Book Antiqua"/>
        </w:rPr>
        <w:t>Estado Libre Asociado</w:t>
      </w:r>
      <w:r w:rsidRPr="00B33EA8">
        <w:rPr>
          <w:rFonts w:ascii="Book Antiqua" w:hAnsi="Book Antiqua"/>
        </w:rPr>
        <w:t xml:space="preserve"> ha asignado o que asigne en los Años Fiscales 2021-2022 y 2022-2023 o aquellos que de tiempo en tiempo se depositen para estos fines al Fideicomiso para el Fondo Dotal de la Universidad de Puerto Rico.  Este nuevo Programa de Becas distribuirá becas académicas a estudiantes con progreso académico satisfactorio, que demuestren necesidad económica y que cursen sus estudios subgraduados o graduados en la Universidad de Puerto Rico.  Se le ordena, además, a la Universidad de Puerto Rico a depositar en la cuenta del Fideicomiso para el Fondo Dotal de la Universidad de Puerto Rico una cantidad mínima de ciento veinticinco (125) millones de dólares y cualquier otra cantidad recibida por el </w:t>
      </w:r>
      <w:proofErr w:type="gramStart"/>
      <w:r w:rsidRPr="00B33EA8">
        <w:rPr>
          <w:rFonts w:ascii="Book Antiqua" w:hAnsi="Book Antiqua"/>
        </w:rPr>
        <w:t>Secretario</w:t>
      </w:r>
      <w:proofErr w:type="gramEnd"/>
      <w:r w:rsidRPr="00B33EA8">
        <w:rPr>
          <w:rFonts w:ascii="Book Antiqua" w:hAnsi="Book Antiqua"/>
        </w:rPr>
        <w:t xml:space="preserve"> de Hacienda que sea asignado o haya sido asignada por el Estado Libre Asociado para los Años </w:t>
      </w:r>
      <w:r w:rsidRPr="00B33EA8">
        <w:rPr>
          <w:rFonts w:ascii="Book Antiqua" w:hAnsi="Book Antiqua"/>
          <w:b/>
        </w:rPr>
        <w:t>[Ficales]</w:t>
      </w:r>
      <w:r>
        <w:rPr>
          <w:rFonts w:ascii="Book Antiqua" w:hAnsi="Book Antiqua"/>
        </w:rPr>
        <w:t xml:space="preserve"> </w:t>
      </w:r>
      <w:r>
        <w:rPr>
          <w:rFonts w:ascii="Book Antiqua" w:hAnsi="Book Antiqua"/>
          <w:i/>
        </w:rPr>
        <w:t xml:space="preserve">Fiscales </w:t>
      </w:r>
      <w:r w:rsidRPr="00B33EA8">
        <w:rPr>
          <w:rFonts w:ascii="Book Antiqua" w:hAnsi="Book Antiqua"/>
        </w:rPr>
        <w:t>2021-2022 y 2022-2023 y en adelante, para estos fines.</w:t>
      </w:r>
    </w:p>
    <w:p w14:paraId="6D8D127E" w14:textId="77777777" w:rsidR="002F6BA7" w:rsidRPr="00B33EA8" w:rsidRDefault="002F6BA7" w:rsidP="002F6BA7">
      <w:pPr>
        <w:pStyle w:val="BodyText"/>
        <w:spacing w:line="480" w:lineRule="auto"/>
        <w:ind w:firstLine="720"/>
        <w:rPr>
          <w:rFonts w:ascii="Book Antiqua" w:hAnsi="Book Antiqua"/>
        </w:rPr>
      </w:pPr>
      <w:r w:rsidRPr="00B33EA8">
        <w:rPr>
          <w:rFonts w:ascii="Book Antiqua" w:hAnsi="Book Antiqua"/>
        </w:rPr>
        <w:t xml:space="preserve">Se le ordena a la AAFAF, en colaboración con la Junta de Gobierno de la Universidad de Puerto Rico, el Departamento de Hacienda y la Oficina del Principal Oficial Financiero desarrollar las métricas, los requisitos de cumplimiento y el seguimiento financiero necesario para el Programa de Becas para Mitigar el Alza en Matrículas del Plan Fiscal. </w:t>
      </w:r>
      <w:r w:rsidRPr="00B33EA8">
        <w:rPr>
          <w:rFonts w:ascii="Book Antiqua" w:hAnsi="Book Antiqua"/>
          <w:b/>
          <w:bCs/>
        </w:rPr>
        <w:t xml:space="preserve">[También se les ordena a estas instrumentalidades a salvaguardar el uso de los fondos para que los mismos sean distribuidos solamente a estudiantes con progreso académico satisfactorio que demuestren necesidad </w:t>
      </w:r>
      <w:r w:rsidRPr="00B33EA8">
        <w:rPr>
          <w:rFonts w:ascii="Book Antiqua" w:hAnsi="Book Antiqua"/>
          <w:b/>
          <w:bCs/>
        </w:rPr>
        <w:lastRenderedPageBreak/>
        <w:t>económica.]</w:t>
      </w:r>
      <w:r w:rsidRPr="00B33EA8">
        <w:rPr>
          <w:rFonts w:ascii="Book Antiqua" w:hAnsi="Book Antiqua"/>
        </w:rPr>
        <w:t xml:space="preserve">  Además, </w:t>
      </w:r>
      <w:proofErr w:type="gramStart"/>
      <w:r w:rsidRPr="00B33EA8">
        <w:rPr>
          <w:rFonts w:ascii="Book Antiqua" w:hAnsi="Book Antiqua"/>
        </w:rPr>
        <w:t>vigilarán</w:t>
      </w:r>
      <w:r w:rsidRPr="00B33EA8">
        <w:rPr>
          <w:rFonts w:ascii="Book Antiqua" w:hAnsi="Book Antiqua"/>
          <w:b/>
          <w:bCs/>
        </w:rPr>
        <w:t>[</w:t>
      </w:r>
      <w:proofErr w:type="gramEnd"/>
      <w:r w:rsidRPr="00B33EA8">
        <w:rPr>
          <w:rFonts w:ascii="Book Antiqua" w:hAnsi="Book Antiqua"/>
          <w:b/>
          <w:bCs/>
        </w:rPr>
        <w:t>,]</w:t>
      </w:r>
      <w:r w:rsidRPr="00B33EA8">
        <w:rPr>
          <w:rFonts w:ascii="Book Antiqua" w:hAnsi="Book Antiqua"/>
        </w:rPr>
        <w:t xml:space="preserve"> por la distribución de los activos de los fondos y las alternativas de inversión del mismo.   </w:t>
      </w:r>
    </w:p>
    <w:p w14:paraId="580B6981" w14:textId="15E28A7D" w:rsidR="002F6BA7" w:rsidRPr="00B33EA8" w:rsidRDefault="002F6BA7" w:rsidP="002F6BA7">
      <w:pPr>
        <w:pStyle w:val="BodyText"/>
        <w:spacing w:line="480" w:lineRule="auto"/>
        <w:ind w:firstLine="720"/>
        <w:rPr>
          <w:rFonts w:ascii="Book Antiqua" w:hAnsi="Book Antiqua"/>
          <w:i/>
          <w:iCs/>
        </w:rPr>
      </w:pPr>
      <w:r w:rsidRPr="00B33EA8">
        <w:rPr>
          <w:rFonts w:ascii="Book Antiqua" w:hAnsi="Book Antiqua"/>
          <w:i/>
          <w:iCs/>
        </w:rPr>
        <w:t>S</w:t>
      </w:r>
      <w:r>
        <w:rPr>
          <w:rFonts w:ascii="Book Antiqua" w:hAnsi="Book Antiqua"/>
          <w:i/>
          <w:iCs/>
        </w:rPr>
        <w:t xml:space="preserve">e </w:t>
      </w:r>
      <w:r w:rsidRPr="00B33EA8">
        <w:rPr>
          <w:rFonts w:ascii="Book Antiqua" w:hAnsi="Book Antiqua"/>
          <w:i/>
          <w:iCs/>
        </w:rPr>
        <w:t>ordena a la Universidad de Puerto Rico a establecer requisitos de cualificación de las becas, a tenor con los requisitos aquí establecidos, que salvaguarden el uso de los fondos para que los mismos sean distribuidos solamente a estudiantes con progreso académico satisfactorio que demuestren necesidad económica.  La Universidad de Puerto Rico</w:t>
      </w:r>
      <w:r w:rsidRPr="00B33EA8">
        <w:rPr>
          <w:rFonts w:ascii="Book Antiqua" w:hAnsi="Book Antiqua"/>
          <w:i/>
          <w:iCs/>
          <w:szCs w:val="24"/>
        </w:rPr>
        <w:t xml:space="preserve">, no más tarde de 30 días </w:t>
      </w:r>
      <w:r w:rsidRPr="00B2383C">
        <w:rPr>
          <w:rFonts w:ascii="Book Antiqua" w:hAnsi="Book Antiqua"/>
          <w:i/>
          <w:iCs/>
          <w:strike/>
          <w:szCs w:val="24"/>
        </w:rPr>
        <w:t>naturales</w:t>
      </w:r>
      <w:r w:rsidR="00B2383C" w:rsidRPr="00B2383C">
        <w:rPr>
          <w:rFonts w:ascii="Book Antiqua" w:hAnsi="Book Antiqua"/>
          <w:i/>
          <w:iCs/>
          <w:szCs w:val="24"/>
          <w:u w:val="single"/>
        </w:rPr>
        <w:t xml:space="preserve"> </w:t>
      </w:r>
      <w:r w:rsidR="00B2383C">
        <w:rPr>
          <w:rFonts w:ascii="Book Antiqua" w:hAnsi="Book Antiqua"/>
          <w:i/>
          <w:iCs/>
          <w:szCs w:val="24"/>
          <w:u w:val="single"/>
        </w:rPr>
        <w:t>calendarios</w:t>
      </w:r>
      <w:r w:rsidRPr="00B33EA8">
        <w:rPr>
          <w:rFonts w:ascii="Book Antiqua" w:hAnsi="Book Antiqua"/>
          <w:i/>
          <w:iCs/>
          <w:szCs w:val="24"/>
        </w:rPr>
        <w:t>, contados a partir de cada distribución de fondos</w:t>
      </w:r>
      <w:r w:rsidRPr="00B33EA8">
        <w:rPr>
          <w:rFonts w:ascii="Book Antiqua" w:hAnsi="Book Antiqua"/>
          <w:i/>
          <w:iCs/>
        </w:rPr>
        <w:t xml:space="preserve">, deberá remitir informes a la AAFAF, el Departamento de Hacienda y la Oficina del Principal Oficial Financiero que certifiquen y evidencien el cumplimiento de los requisitos de </w:t>
      </w:r>
      <w:r w:rsidR="001E4F88">
        <w:rPr>
          <w:rFonts w:ascii="Book Antiqua" w:hAnsi="Book Antiqua"/>
          <w:i/>
          <w:iCs/>
        </w:rPr>
        <w:t>elegibilidad</w:t>
      </w:r>
      <w:r w:rsidRPr="00B33EA8">
        <w:rPr>
          <w:rFonts w:ascii="Book Antiqua" w:hAnsi="Book Antiqua"/>
          <w:i/>
          <w:iCs/>
        </w:rPr>
        <w:t xml:space="preserve"> por parte de los recipientes del programa de becas que mediante esta Ley se crea.”  </w:t>
      </w:r>
    </w:p>
    <w:p w14:paraId="48DB4BE9" w14:textId="0C4A9A4E" w:rsidR="002F6BA7" w:rsidRPr="00B33EA8" w:rsidRDefault="002F6BA7" w:rsidP="002F6BA7">
      <w:pPr>
        <w:pStyle w:val="BodyText"/>
        <w:spacing w:line="480" w:lineRule="auto"/>
        <w:ind w:firstLine="720"/>
        <w:rPr>
          <w:rFonts w:ascii="Book Antiqua" w:hAnsi="Book Antiqua"/>
          <w:iCs/>
        </w:rPr>
      </w:pPr>
      <w:r w:rsidRPr="00B33EA8">
        <w:rPr>
          <w:rFonts w:ascii="Book Antiqua" w:hAnsi="Book Antiqua"/>
          <w:color w:val="000000"/>
        </w:rPr>
        <w:t>Sección 2.-</w:t>
      </w:r>
      <w:r w:rsidRPr="00B33EA8">
        <w:rPr>
          <w:rFonts w:ascii="Book Antiqua" w:hAnsi="Book Antiqua"/>
        </w:rPr>
        <w:t xml:space="preserve"> Se enmienda el Artículo 4.01 de la Ley Núm. 4-2022, </w:t>
      </w:r>
      <w:r w:rsidR="00BE19E8">
        <w:rPr>
          <w:rFonts w:ascii="Book Antiqua" w:hAnsi="Book Antiqua"/>
        </w:rPr>
        <w:t xml:space="preserve">según enmendada, </w:t>
      </w:r>
      <w:r w:rsidRPr="00B33EA8">
        <w:rPr>
          <w:rFonts w:ascii="Book Antiqua" w:hAnsi="Book Antiqua"/>
        </w:rPr>
        <w:t xml:space="preserve">conocida como </w:t>
      </w:r>
      <w:r w:rsidRPr="00B33EA8">
        <w:rPr>
          <w:rFonts w:ascii="Book Antiqua" w:hAnsi="Book Antiqua"/>
          <w:iCs/>
        </w:rPr>
        <w:t>"Ley del Fondo de Becas para Mitigar el Alza en Matrículas del Plan Fiscal", para que se lea como sigue:</w:t>
      </w:r>
    </w:p>
    <w:p w14:paraId="1FFBFF84" w14:textId="77777777" w:rsidR="002F6BA7" w:rsidRPr="00B33EA8" w:rsidRDefault="002F6BA7" w:rsidP="002F6BA7">
      <w:pPr>
        <w:pStyle w:val="BodyText"/>
        <w:spacing w:line="480" w:lineRule="auto"/>
        <w:ind w:firstLine="560"/>
        <w:rPr>
          <w:rFonts w:ascii="Book Antiqua" w:hAnsi="Book Antiqua"/>
          <w:color w:val="000000"/>
        </w:rPr>
      </w:pPr>
      <w:r w:rsidRPr="00B33EA8">
        <w:rPr>
          <w:rFonts w:ascii="Book Antiqua" w:hAnsi="Book Antiqua"/>
          <w:color w:val="000000"/>
        </w:rPr>
        <w:t>“Artículo 4.01.- Cláusula de Cumplimiento</w:t>
      </w:r>
    </w:p>
    <w:p w14:paraId="21862493" w14:textId="1FCFE2E6" w:rsidR="002F6BA7" w:rsidRPr="00B33EA8" w:rsidRDefault="002F6BA7" w:rsidP="002F6BA7">
      <w:pPr>
        <w:pStyle w:val="BodyText"/>
        <w:spacing w:line="480" w:lineRule="auto"/>
        <w:ind w:firstLine="560"/>
        <w:rPr>
          <w:rFonts w:ascii="Book Antiqua" w:hAnsi="Book Antiqua"/>
          <w:color w:val="000000"/>
        </w:rPr>
      </w:pPr>
      <w:r w:rsidRPr="00B33EA8">
        <w:rPr>
          <w:rFonts w:ascii="Book Antiqua" w:hAnsi="Book Antiqua"/>
          <w:color w:val="000000"/>
        </w:rPr>
        <w:t xml:space="preserve">Se autoriza a la Junta de Gobierno de la Universidad de Puerto Rico, el Departamento de Hacienda, la Oficina del Principal Oficial Financiero, la AAFAF a crear un Comité que supervise las ejecutorias de la Universidad de Puerto Rico, así como del Comité Interno de Supervisión, Manejo y Desembolso. Este Comité tendrá a su cargo el desarrollar las métricas, los requisitos de cumplimiento y el seguimiento financiero necesario para el funcionamiento cabal del Programa de Becas para Mitigar el Alza en Matrículas del Plan Fiscal. </w:t>
      </w:r>
      <w:r w:rsidRPr="00B33EA8">
        <w:rPr>
          <w:rFonts w:ascii="Book Antiqua" w:hAnsi="Book Antiqua"/>
          <w:b/>
          <w:bCs/>
          <w:color w:val="000000"/>
        </w:rPr>
        <w:t xml:space="preserve">[Además, el Comité compuesto por estas instrumentalidades salvaguardará el uso de los fondos para que los mismos sean distribuidos solamente a </w:t>
      </w:r>
      <w:r w:rsidRPr="00B33EA8">
        <w:rPr>
          <w:rFonts w:ascii="Book Antiqua" w:hAnsi="Book Antiqua"/>
          <w:b/>
          <w:bCs/>
          <w:color w:val="000000"/>
        </w:rPr>
        <w:lastRenderedPageBreak/>
        <w:t>estudiantes con progreso académico satisfactorio</w:t>
      </w:r>
      <w:r w:rsidR="00B2383C">
        <w:rPr>
          <w:rFonts w:ascii="Book Antiqua" w:hAnsi="Book Antiqua"/>
          <w:b/>
          <w:bCs/>
          <w:i/>
          <w:iCs/>
          <w:color w:val="000000"/>
          <w:u w:val="single"/>
        </w:rPr>
        <w:t>,</w:t>
      </w:r>
      <w:r w:rsidRPr="00B33EA8">
        <w:rPr>
          <w:rFonts w:ascii="Book Antiqua" w:hAnsi="Book Antiqua"/>
          <w:b/>
          <w:bCs/>
          <w:color w:val="000000"/>
        </w:rPr>
        <w:t xml:space="preserve"> y necesidades económicas.]</w:t>
      </w:r>
      <w:r w:rsidRPr="00B33EA8">
        <w:rPr>
          <w:rFonts w:ascii="Book Antiqua" w:hAnsi="Book Antiqua"/>
          <w:color w:val="000000"/>
        </w:rPr>
        <w:t xml:space="preserve"> Así mismo, vigilará la distribución de los activos de los fondos.   Su cumplimiento deberá ser desarrollado y supervisado por</w:t>
      </w:r>
      <w:r w:rsidR="000C2854">
        <w:rPr>
          <w:rFonts w:ascii="Book Antiqua" w:hAnsi="Book Antiqua"/>
          <w:color w:val="000000"/>
        </w:rPr>
        <w:t xml:space="preserve"> </w:t>
      </w:r>
      <w:r w:rsidR="000C2854">
        <w:rPr>
          <w:rFonts w:ascii="Book Antiqua" w:hAnsi="Book Antiqua"/>
          <w:i/>
          <w:iCs/>
          <w:color w:val="000000"/>
          <w:u w:val="single"/>
        </w:rPr>
        <w:t xml:space="preserve">la </w:t>
      </w:r>
      <w:r w:rsidRPr="00B33EA8">
        <w:rPr>
          <w:rFonts w:ascii="Book Antiqua" w:hAnsi="Book Antiqua"/>
          <w:color w:val="000000"/>
        </w:rPr>
        <w:t>AAFAF de acuerdo con las responsabilidades ministeriales conferidas en la Ley 2-2017, según enmendada.  Además, estas instrumentalidades deberán crear, enmendar o derogar cualquier reglamentación vigente para cumplir con el propósito establecido en esta Ley.</w:t>
      </w:r>
    </w:p>
    <w:p w14:paraId="3235E907" w14:textId="6D0DAD8D" w:rsidR="002F6BA7" w:rsidRPr="0021796C" w:rsidRDefault="002F6BA7" w:rsidP="002F6BA7">
      <w:pPr>
        <w:pStyle w:val="BodyText"/>
        <w:spacing w:line="480" w:lineRule="auto"/>
        <w:ind w:firstLine="560"/>
        <w:rPr>
          <w:rFonts w:ascii="Book Antiqua" w:hAnsi="Book Antiqua"/>
          <w:i/>
          <w:iCs/>
          <w:u w:val="single"/>
        </w:rPr>
      </w:pPr>
      <w:r w:rsidRPr="00B33EA8">
        <w:rPr>
          <w:rFonts w:ascii="Book Antiqua" w:hAnsi="Book Antiqua"/>
          <w:i/>
          <w:iCs/>
        </w:rPr>
        <w:t>Se le ordena a la Universidad de Puerto Rico a establecer requisitos de cualificación de las becas, a tenor con los requisitos aquí establecidos, que salvaguarden el uso de los fondos para que los mismos sean distribuidos solamente a estudiantes con progreso académico satisfactorio que demuestren necesidad económica.  La Universidad de Puerto Rico</w:t>
      </w:r>
      <w:r w:rsidRPr="00B33EA8">
        <w:rPr>
          <w:rFonts w:ascii="Book Antiqua" w:hAnsi="Book Antiqua"/>
          <w:i/>
          <w:iCs/>
          <w:szCs w:val="24"/>
        </w:rPr>
        <w:t>, no más tarde de 30 días calendarios a partir de cada distribución de fondos</w:t>
      </w:r>
      <w:r w:rsidRPr="00B33EA8">
        <w:rPr>
          <w:rFonts w:ascii="Book Antiqua" w:hAnsi="Book Antiqua"/>
          <w:i/>
          <w:iCs/>
        </w:rPr>
        <w:t xml:space="preserve">, deberá remitir informes a la AAFAF, el Departamento de Hacienda y la Oficina del Principal Oficial Financiero que certifiquen y evidencien el cumplimiento de los requisitos de </w:t>
      </w:r>
      <w:r w:rsidR="001E4F88">
        <w:rPr>
          <w:rFonts w:ascii="Book Antiqua" w:hAnsi="Book Antiqua"/>
          <w:i/>
          <w:iCs/>
        </w:rPr>
        <w:t>elegibilidad</w:t>
      </w:r>
      <w:r w:rsidRPr="00B33EA8">
        <w:rPr>
          <w:rFonts w:ascii="Book Antiqua" w:hAnsi="Book Antiqua"/>
          <w:i/>
          <w:iCs/>
        </w:rPr>
        <w:t xml:space="preserve"> por parte de </w:t>
      </w:r>
      <w:r w:rsidRPr="0021796C">
        <w:rPr>
          <w:rFonts w:ascii="Book Antiqua" w:hAnsi="Book Antiqua"/>
          <w:i/>
          <w:iCs/>
          <w:strike/>
        </w:rPr>
        <w:t>los recipientes del programa de becas que mediante esta Ley se crea</w:t>
      </w:r>
      <w:r w:rsidR="0021796C" w:rsidRPr="00561B1B">
        <w:rPr>
          <w:rFonts w:ascii="Book Antiqua" w:hAnsi="Book Antiqua"/>
          <w:i/>
          <w:iCs/>
        </w:rPr>
        <w:t xml:space="preserve"> </w:t>
      </w:r>
      <w:r w:rsidR="0021796C" w:rsidRPr="0021796C">
        <w:rPr>
          <w:rFonts w:ascii="Book Antiqua" w:hAnsi="Book Antiqua"/>
          <w:i/>
          <w:iCs/>
          <w:u w:val="single"/>
        </w:rPr>
        <w:t>beneficiarios del programa de becas</w:t>
      </w:r>
      <w:r w:rsidR="0021796C">
        <w:rPr>
          <w:rFonts w:ascii="Book Antiqua" w:hAnsi="Book Antiqua"/>
          <w:i/>
          <w:iCs/>
          <w:u w:val="single"/>
        </w:rPr>
        <w:t xml:space="preserve"> </w:t>
      </w:r>
      <w:r w:rsidR="0021796C" w:rsidRPr="0021796C">
        <w:rPr>
          <w:rFonts w:ascii="Book Antiqua" w:hAnsi="Book Antiqua"/>
          <w:i/>
          <w:iCs/>
          <w:u w:val="single"/>
        </w:rPr>
        <w:t>creado mediante esta Ley</w:t>
      </w:r>
      <w:r w:rsidRPr="0021796C">
        <w:rPr>
          <w:rFonts w:ascii="Book Antiqua" w:hAnsi="Book Antiqua"/>
          <w:i/>
          <w:iCs/>
          <w:u w:val="single"/>
        </w:rPr>
        <w:t>.</w:t>
      </w:r>
    </w:p>
    <w:p w14:paraId="59399246" w14:textId="77777777" w:rsidR="002F6BA7" w:rsidRPr="00B33EA8" w:rsidRDefault="002F6BA7" w:rsidP="002F6BA7">
      <w:pPr>
        <w:pStyle w:val="BodyText"/>
        <w:spacing w:line="480" w:lineRule="auto"/>
        <w:ind w:firstLine="560"/>
        <w:rPr>
          <w:rFonts w:ascii="Book Antiqua" w:hAnsi="Book Antiqua"/>
          <w:color w:val="000000"/>
        </w:rPr>
      </w:pPr>
      <w:r w:rsidRPr="00B33EA8">
        <w:rPr>
          <w:rFonts w:ascii="Book Antiqua" w:hAnsi="Book Antiqua"/>
          <w:color w:val="000000"/>
        </w:rPr>
        <w:t>Inmediatamente después de la vigencia de esta Ley, la Junta de Gobierno de la Universidad de Puerto Rico deberá ordenar la revisión y enmiendas a la escritura pública vigente para Fideicomiso para el Fondo Dotal de la Universidad de Puerto Rico, a modo de atemperarla a los tiempos y a los propósitos de esta Ley.  Bajo ningún concepto tal enmienda contemplará el uso de una cantidad mayor de principal al actualmente dispuesto por la escritura pública vigente para el Fideicomiso.”</w:t>
      </w:r>
    </w:p>
    <w:p w14:paraId="10AD7461" w14:textId="77777777" w:rsidR="002F6BA7" w:rsidRPr="00B33EA8" w:rsidRDefault="002F6BA7" w:rsidP="002F6BA7">
      <w:pPr>
        <w:pStyle w:val="BodyText"/>
        <w:spacing w:line="480" w:lineRule="auto"/>
        <w:ind w:firstLine="560"/>
        <w:rPr>
          <w:rFonts w:ascii="Book Antiqua" w:hAnsi="Book Antiqua"/>
          <w:color w:val="000000"/>
        </w:rPr>
      </w:pPr>
      <w:r w:rsidRPr="00B33EA8">
        <w:rPr>
          <w:rFonts w:ascii="Book Antiqua" w:hAnsi="Book Antiqua"/>
          <w:color w:val="000000"/>
        </w:rPr>
        <w:t>Sección 3.- Separabilidad.</w:t>
      </w:r>
    </w:p>
    <w:p w14:paraId="695664C2" w14:textId="575971C6" w:rsidR="002F6BA7" w:rsidRPr="00B33EA8" w:rsidRDefault="002F6BA7" w:rsidP="002F6BA7">
      <w:pPr>
        <w:spacing w:line="480" w:lineRule="auto"/>
        <w:ind w:firstLine="720"/>
        <w:jc w:val="both"/>
        <w:rPr>
          <w:rFonts w:ascii="Book Antiqua" w:eastAsia="Calibri" w:hAnsi="Book Antiqua"/>
        </w:rPr>
      </w:pPr>
      <w:r w:rsidRPr="00B33EA8">
        <w:rPr>
          <w:rFonts w:ascii="Book Antiqua" w:eastAsia="Calibri" w:hAnsi="Book Antiqua"/>
        </w:rPr>
        <w:lastRenderedPageBreak/>
        <w:t>Si cualquier</w:t>
      </w:r>
      <w:r w:rsidRPr="00B33EA8">
        <w:rPr>
          <w:rFonts w:ascii="Book Antiqua" w:eastAsia="Calibri" w:hAnsi="Book Antiqua"/>
          <w:szCs w:val="24"/>
        </w:rPr>
        <w:t xml:space="preserve"> </w:t>
      </w:r>
      <w:r w:rsidRPr="00B33EA8">
        <w:rPr>
          <w:rFonts w:ascii="Book Antiqua" w:eastAsia="Calibri" w:hAnsi="Book Antiqua"/>
        </w:rPr>
        <w:t xml:space="preserve">cláusula, párrafo, artículo, sección, </w:t>
      </w:r>
      <w:r w:rsidRPr="00B33EA8">
        <w:rPr>
          <w:rFonts w:ascii="Book Antiqua" w:eastAsia="Calibri" w:hAnsi="Book Antiqua"/>
          <w:szCs w:val="24"/>
        </w:rPr>
        <w:t>inciso</w:t>
      </w:r>
      <w:r w:rsidRPr="00B33EA8">
        <w:rPr>
          <w:rFonts w:ascii="Book Antiqua" w:eastAsia="Calibri" w:hAnsi="Book Antiqua"/>
        </w:rPr>
        <w:t xml:space="preserve"> o parte de esta </w:t>
      </w:r>
      <w:r w:rsidRPr="00B33EA8">
        <w:rPr>
          <w:rFonts w:ascii="Book Antiqua" w:eastAsia="Calibri" w:hAnsi="Book Antiqua"/>
          <w:szCs w:val="24"/>
        </w:rPr>
        <w:t xml:space="preserve">ley </w:t>
      </w:r>
      <w:r w:rsidRPr="0021796C">
        <w:rPr>
          <w:rFonts w:ascii="Book Antiqua" w:eastAsia="Calibri" w:hAnsi="Book Antiqua"/>
          <w:szCs w:val="24"/>
        </w:rPr>
        <w:t>fuere</w:t>
      </w:r>
      <w:r w:rsidRPr="0021796C">
        <w:rPr>
          <w:rFonts w:ascii="Book Antiqua" w:eastAsia="Calibri" w:hAnsi="Book Antiqua"/>
        </w:rPr>
        <w:t xml:space="preserve"> </w:t>
      </w:r>
      <w:r w:rsidRPr="00B33EA8">
        <w:rPr>
          <w:rFonts w:ascii="Book Antiqua" w:eastAsia="Calibri" w:hAnsi="Book Antiqua"/>
        </w:rPr>
        <w:t>declarada inconstitucional</w:t>
      </w:r>
      <w:r w:rsidRPr="00B33EA8">
        <w:rPr>
          <w:rFonts w:ascii="Book Antiqua" w:eastAsia="Calibri" w:hAnsi="Book Antiqua"/>
          <w:szCs w:val="24"/>
        </w:rPr>
        <w:t xml:space="preserve"> por un tribunal competente</w:t>
      </w:r>
      <w:r w:rsidRPr="00B33EA8">
        <w:rPr>
          <w:rFonts w:ascii="Book Antiqua" w:eastAsia="Calibri" w:hAnsi="Book Antiqua"/>
        </w:rPr>
        <w:t xml:space="preserve">, la sentencia a tal efecto </w:t>
      </w:r>
      <w:r w:rsidRPr="00B33EA8">
        <w:rPr>
          <w:rFonts w:ascii="Book Antiqua" w:eastAsia="Calibri" w:hAnsi="Book Antiqua"/>
          <w:szCs w:val="24"/>
        </w:rPr>
        <w:t xml:space="preserve">dictada </w:t>
      </w:r>
      <w:r w:rsidRPr="00B33EA8">
        <w:rPr>
          <w:rFonts w:ascii="Book Antiqua" w:eastAsia="Calibri" w:hAnsi="Book Antiqua"/>
        </w:rPr>
        <w:t xml:space="preserve">no afectará, perjudicará ni invalidará el </w:t>
      </w:r>
      <w:r w:rsidRPr="00B33EA8">
        <w:rPr>
          <w:rFonts w:ascii="Book Antiqua" w:eastAsia="Calibri" w:hAnsi="Book Antiqua"/>
          <w:szCs w:val="24"/>
        </w:rPr>
        <w:t>resto</w:t>
      </w:r>
      <w:r w:rsidRPr="00B33EA8">
        <w:rPr>
          <w:rFonts w:ascii="Book Antiqua" w:eastAsia="Calibri" w:hAnsi="Book Antiqua"/>
        </w:rPr>
        <w:t xml:space="preserve"> de esta. El efecto de </w:t>
      </w:r>
      <w:r w:rsidRPr="00B33EA8">
        <w:rPr>
          <w:rFonts w:ascii="Book Antiqua" w:eastAsia="Calibri" w:hAnsi="Book Antiqua"/>
          <w:szCs w:val="24"/>
        </w:rPr>
        <w:t>dicha</w:t>
      </w:r>
      <w:r w:rsidRPr="00B33EA8">
        <w:rPr>
          <w:rFonts w:ascii="Book Antiqua" w:eastAsia="Calibri" w:hAnsi="Book Antiqua"/>
        </w:rPr>
        <w:t xml:space="preserve"> sentencia quedará limitado a la</w:t>
      </w:r>
      <w:r w:rsidRPr="00B33EA8">
        <w:rPr>
          <w:rFonts w:ascii="Book Antiqua" w:eastAsia="Calibri" w:hAnsi="Book Antiqua"/>
          <w:szCs w:val="24"/>
        </w:rPr>
        <w:t> </w:t>
      </w:r>
      <w:r w:rsidRPr="00B33EA8">
        <w:rPr>
          <w:rFonts w:ascii="Book Antiqua" w:eastAsia="Calibri" w:hAnsi="Book Antiqua"/>
        </w:rPr>
        <w:t xml:space="preserve">cláusula, párrafo, artículo, sección, </w:t>
      </w:r>
      <w:r w:rsidRPr="00B33EA8">
        <w:rPr>
          <w:rFonts w:ascii="Book Antiqua" w:eastAsia="Calibri" w:hAnsi="Book Antiqua"/>
          <w:szCs w:val="24"/>
        </w:rPr>
        <w:t>inciso</w:t>
      </w:r>
      <w:r w:rsidRPr="00B33EA8">
        <w:rPr>
          <w:rFonts w:ascii="Book Antiqua" w:eastAsia="Calibri" w:hAnsi="Book Antiqua"/>
        </w:rPr>
        <w:t xml:space="preserve"> o parte de </w:t>
      </w:r>
      <w:r w:rsidRPr="00B33EA8">
        <w:rPr>
          <w:rFonts w:ascii="Book Antiqua" w:eastAsia="Calibri" w:hAnsi="Book Antiqua"/>
          <w:szCs w:val="24"/>
        </w:rPr>
        <w:t>esta</w:t>
      </w:r>
      <w:r w:rsidRPr="00B33EA8">
        <w:rPr>
          <w:rFonts w:ascii="Book Antiqua" w:eastAsia="Calibri" w:hAnsi="Book Antiqua"/>
        </w:rPr>
        <w:t xml:space="preserve"> que así </w:t>
      </w:r>
      <w:r w:rsidRPr="00B33EA8">
        <w:rPr>
          <w:rFonts w:ascii="Book Antiqua" w:eastAsia="Calibri" w:hAnsi="Book Antiqua"/>
          <w:szCs w:val="24"/>
        </w:rPr>
        <w:t>hubiere</w:t>
      </w:r>
      <w:r w:rsidRPr="00B33EA8">
        <w:rPr>
          <w:rFonts w:ascii="Book Antiqua" w:eastAsia="Calibri" w:hAnsi="Book Antiqua"/>
        </w:rPr>
        <w:t xml:space="preserve"> sido declarada inconstitucional.</w:t>
      </w:r>
    </w:p>
    <w:p w14:paraId="3264572B" w14:textId="77777777" w:rsidR="002F6BA7" w:rsidRPr="00B33EA8" w:rsidRDefault="002F6BA7" w:rsidP="002F6BA7">
      <w:pPr>
        <w:spacing w:line="480" w:lineRule="auto"/>
        <w:ind w:firstLine="720"/>
        <w:jc w:val="both"/>
        <w:rPr>
          <w:rFonts w:ascii="Book Antiqua" w:hAnsi="Book Antiqua"/>
          <w:szCs w:val="24"/>
        </w:rPr>
      </w:pPr>
      <w:r w:rsidRPr="00B33EA8">
        <w:rPr>
          <w:rFonts w:ascii="Book Antiqua" w:hAnsi="Book Antiqua"/>
          <w:szCs w:val="24"/>
        </w:rPr>
        <w:t>Sección 4.- Vigencia.</w:t>
      </w:r>
    </w:p>
    <w:p w14:paraId="74A47C1B" w14:textId="42319B6C" w:rsidR="00680724" w:rsidRPr="00F1364B" w:rsidRDefault="002F6BA7" w:rsidP="002F6BA7">
      <w:pPr>
        <w:autoSpaceDE w:val="0"/>
        <w:autoSpaceDN w:val="0"/>
        <w:adjustRightInd w:val="0"/>
        <w:spacing w:line="480" w:lineRule="auto"/>
        <w:ind w:firstLine="720"/>
        <w:jc w:val="both"/>
        <w:rPr>
          <w:rFonts w:ascii="Book Antiqua" w:hAnsi="Book Antiqua"/>
          <w:szCs w:val="24"/>
        </w:rPr>
      </w:pPr>
      <w:r w:rsidRPr="00B33EA8">
        <w:rPr>
          <w:rFonts w:ascii="Book Antiqua" w:hAnsi="Book Antiqua"/>
          <w:szCs w:val="24"/>
        </w:rPr>
        <w:t>Esta Ley comenzará a regir inmediatamente después de su aprobación.</w:t>
      </w:r>
    </w:p>
    <w:sectPr w:rsidR="00680724" w:rsidRPr="00F1364B" w:rsidSect="00F861B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C5F75" w14:textId="77777777" w:rsidR="00233823" w:rsidRDefault="00233823" w:rsidP="00555EA3">
      <w:r>
        <w:separator/>
      </w:r>
    </w:p>
  </w:endnote>
  <w:endnote w:type="continuationSeparator" w:id="0">
    <w:p w14:paraId="6E229B3F" w14:textId="77777777" w:rsidR="00233823" w:rsidRDefault="00233823" w:rsidP="0055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default"/>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CBF84" w14:textId="77777777" w:rsidR="00233823" w:rsidRDefault="00233823" w:rsidP="00555EA3">
      <w:r>
        <w:separator/>
      </w:r>
    </w:p>
  </w:footnote>
  <w:footnote w:type="continuationSeparator" w:id="0">
    <w:p w14:paraId="658D7A86" w14:textId="77777777" w:rsidR="00233823" w:rsidRDefault="00233823" w:rsidP="0055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F33E1" w14:textId="15DA5DFF" w:rsidR="00555EA3" w:rsidRDefault="00555EA3">
    <w:pPr>
      <w:pStyle w:val="Header"/>
      <w:jc w:val="center"/>
    </w:pPr>
    <w:r>
      <w:fldChar w:fldCharType="begin"/>
    </w:r>
    <w:r>
      <w:instrText xml:space="preserve"> PAGE   \* MERGEFORMAT </w:instrText>
    </w:r>
    <w:r>
      <w:fldChar w:fldCharType="separate"/>
    </w:r>
    <w:r w:rsidR="00E61458">
      <w:rPr>
        <w:noProof/>
      </w:rPr>
      <w:t>6</w:t>
    </w:r>
    <w:r>
      <w:rPr>
        <w:noProof/>
      </w:rPr>
      <w:fldChar w:fldCharType="end"/>
    </w:r>
  </w:p>
  <w:p w14:paraId="08961F1A" w14:textId="77777777" w:rsidR="00555EA3" w:rsidRDefault="00555E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D1991" w14:textId="40DC49A5" w:rsidR="00555EA3" w:rsidRPr="00E700E5" w:rsidRDefault="00555EA3" w:rsidP="00E700E5">
    <w:pPr>
      <w:pStyle w:val="Header"/>
      <w:jc w:val="right"/>
      <w:rPr>
        <w:rFonts w:asciiTheme="majorHAnsi" w:hAnsiTheme="majorHAnsi" w:cstheme="majorHAnsi"/>
      </w:rP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E417E9"/>
    <w:multiLevelType w:val="hybridMultilevel"/>
    <w:tmpl w:val="D206AC98"/>
    <w:lvl w:ilvl="0" w:tplc="C67ACC3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1821264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EA3"/>
    <w:rsid w:val="0002503D"/>
    <w:rsid w:val="00075744"/>
    <w:rsid w:val="000C2854"/>
    <w:rsid w:val="001E4F88"/>
    <w:rsid w:val="00200F9F"/>
    <w:rsid w:val="00212CB2"/>
    <w:rsid w:val="0021796C"/>
    <w:rsid w:val="00221E99"/>
    <w:rsid w:val="00233823"/>
    <w:rsid w:val="002F6BA7"/>
    <w:rsid w:val="003770F0"/>
    <w:rsid w:val="003A1329"/>
    <w:rsid w:val="00470DBD"/>
    <w:rsid w:val="00500CA2"/>
    <w:rsid w:val="00544E9A"/>
    <w:rsid w:val="0055283F"/>
    <w:rsid w:val="00555EA3"/>
    <w:rsid w:val="00561B1B"/>
    <w:rsid w:val="00594264"/>
    <w:rsid w:val="006565FE"/>
    <w:rsid w:val="00680724"/>
    <w:rsid w:val="00776BB6"/>
    <w:rsid w:val="007A58BF"/>
    <w:rsid w:val="007F0B44"/>
    <w:rsid w:val="00842F91"/>
    <w:rsid w:val="008573BD"/>
    <w:rsid w:val="00876835"/>
    <w:rsid w:val="008E57CA"/>
    <w:rsid w:val="00903E90"/>
    <w:rsid w:val="00994FB9"/>
    <w:rsid w:val="009D3CF4"/>
    <w:rsid w:val="00A17616"/>
    <w:rsid w:val="00A51046"/>
    <w:rsid w:val="00A82819"/>
    <w:rsid w:val="00AA4CEB"/>
    <w:rsid w:val="00AC59AF"/>
    <w:rsid w:val="00AE6EC0"/>
    <w:rsid w:val="00B2383C"/>
    <w:rsid w:val="00B33EA8"/>
    <w:rsid w:val="00B821C4"/>
    <w:rsid w:val="00B92FDB"/>
    <w:rsid w:val="00BA4782"/>
    <w:rsid w:val="00BE19E8"/>
    <w:rsid w:val="00BF19BC"/>
    <w:rsid w:val="00C32576"/>
    <w:rsid w:val="00CA079E"/>
    <w:rsid w:val="00D22EB3"/>
    <w:rsid w:val="00D9062F"/>
    <w:rsid w:val="00DE5C1F"/>
    <w:rsid w:val="00E61458"/>
    <w:rsid w:val="00F1364B"/>
    <w:rsid w:val="00F212DB"/>
    <w:rsid w:val="00FE29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DF639D"/>
  <w15:docId w15:val="{44CC2E49-9593-4785-98A6-BA301CCC0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EA3"/>
    <w:pPr>
      <w:spacing w:after="0" w:line="240" w:lineRule="auto"/>
    </w:pPr>
    <w:rPr>
      <w:rFonts w:ascii="Times New Roman" w:eastAsia="Times New Roman" w:hAnsi="Times New Roman" w:cs="Times New Roman"/>
      <w:sz w:val="24"/>
      <w:szCs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B&amp;B Header"/>
    <w:basedOn w:val="Normal"/>
    <w:link w:val="HeaderChar"/>
    <w:uiPriority w:val="99"/>
    <w:rsid w:val="00555EA3"/>
    <w:pPr>
      <w:tabs>
        <w:tab w:val="center" w:pos="4320"/>
        <w:tab w:val="right" w:pos="8640"/>
      </w:tabs>
    </w:pPr>
  </w:style>
  <w:style w:type="character" w:customStyle="1" w:styleId="HeaderChar">
    <w:name w:val="Header Char"/>
    <w:aliases w:val="B&amp;B Header Char"/>
    <w:basedOn w:val="DefaultParagraphFont"/>
    <w:link w:val="Header"/>
    <w:uiPriority w:val="99"/>
    <w:rsid w:val="00555EA3"/>
    <w:rPr>
      <w:rFonts w:ascii="Times New Roman" w:eastAsia="Times New Roman" w:hAnsi="Times New Roman" w:cs="Times New Roman"/>
      <w:sz w:val="24"/>
      <w:szCs w:val="20"/>
    </w:rPr>
  </w:style>
  <w:style w:type="paragraph" w:styleId="BodyText">
    <w:name w:val="Body Text"/>
    <w:aliases w:val="B&amp;B Body Text"/>
    <w:basedOn w:val="Normal"/>
    <w:link w:val="BodyTextChar"/>
    <w:rsid w:val="00555EA3"/>
    <w:pPr>
      <w:widowControl w:val="0"/>
      <w:suppressAutoHyphens/>
      <w:jc w:val="both"/>
    </w:pPr>
    <w:rPr>
      <w:rFonts w:ascii="CG Times (W1)" w:hAnsi="CG Times (W1)"/>
      <w:snapToGrid w:val="0"/>
    </w:rPr>
  </w:style>
  <w:style w:type="character" w:customStyle="1" w:styleId="BodyTextChar">
    <w:name w:val="Body Text Char"/>
    <w:aliases w:val="B&amp;B Body Text Char"/>
    <w:basedOn w:val="DefaultParagraphFont"/>
    <w:link w:val="BodyText"/>
    <w:rsid w:val="00555EA3"/>
    <w:rPr>
      <w:rFonts w:ascii="CG Times (W1)" w:eastAsia="Times New Roman" w:hAnsi="CG Times (W1)" w:cs="Times New Roman"/>
      <w:snapToGrid w:val="0"/>
      <w:sz w:val="24"/>
      <w:szCs w:val="20"/>
    </w:rPr>
  </w:style>
  <w:style w:type="paragraph" w:styleId="FootnoteText">
    <w:name w:val="footnote text"/>
    <w:basedOn w:val="Normal"/>
    <w:link w:val="FootnoteTextChar"/>
    <w:uiPriority w:val="99"/>
    <w:semiHidden/>
    <w:unhideWhenUsed/>
    <w:rsid w:val="00555EA3"/>
    <w:rPr>
      <w:sz w:val="20"/>
    </w:rPr>
  </w:style>
  <w:style w:type="character" w:customStyle="1" w:styleId="FootnoteTextChar">
    <w:name w:val="Footnote Text Char"/>
    <w:basedOn w:val="DefaultParagraphFont"/>
    <w:link w:val="FootnoteText"/>
    <w:uiPriority w:val="99"/>
    <w:semiHidden/>
    <w:rsid w:val="00555EA3"/>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555EA3"/>
    <w:rPr>
      <w:vertAlign w:val="superscript"/>
    </w:rPr>
  </w:style>
  <w:style w:type="paragraph" w:customStyle="1" w:styleId="seccin">
    <w:name w:val="seccin"/>
    <w:basedOn w:val="Normal"/>
    <w:rsid w:val="00555EA3"/>
    <w:pPr>
      <w:spacing w:before="100" w:beforeAutospacing="1" w:after="100" w:afterAutospacing="1"/>
    </w:pPr>
    <w:rPr>
      <w:rFonts w:ascii="Times" w:hAnsi="Times"/>
      <w:sz w:val="20"/>
    </w:rPr>
  </w:style>
  <w:style w:type="character" w:styleId="CommentReference">
    <w:name w:val="annotation reference"/>
    <w:basedOn w:val="DefaultParagraphFont"/>
    <w:uiPriority w:val="99"/>
    <w:semiHidden/>
    <w:unhideWhenUsed/>
    <w:rsid w:val="00555EA3"/>
    <w:rPr>
      <w:sz w:val="16"/>
      <w:szCs w:val="16"/>
    </w:rPr>
  </w:style>
  <w:style w:type="paragraph" w:styleId="CommentText">
    <w:name w:val="annotation text"/>
    <w:basedOn w:val="Normal"/>
    <w:link w:val="CommentTextChar"/>
    <w:uiPriority w:val="99"/>
    <w:unhideWhenUsed/>
    <w:rsid w:val="00555EA3"/>
    <w:rPr>
      <w:sz w:val="20"/>
    </w:rPr>
  </w:style>
  <w:style w:type="character" w:customStyle="1" w:styleId="CommentTextChar">
    <w:name w:val="Comment Text Char"/>
    <w:basedOn w:val="DefaultParagraphFont"/>
    <w:link w:val="CommentText"/>
    <w:uiPriority w:val="99"/>
    <w:rsid w:val="00555EA3"/>
    <w:rPr>
      <w:rFonts w:ascii="Times New Roman" w:eastAsia="Times New Roman" w:hAnsi="Times New Roman" w:cs="Times New Roman"/>
      <w:sz w:val="20"/>
      <w:szCs w:val="20"/>
    </w:rPr>
  </w:style>
  <w:style w:type="character" w:styleId="LineNumber">
    <w:name w:val="line number"/>
    <w:basedOn w:val="DefaultParagraphFont"/>
    <w:uiPriority w:val="99"/>
    <w:semiHidden/>
    <w:unhideWhenUsed/>
    <w:rsid w:val="00555EA3"/>
  </w:style>
  <w:style w:type="paragraph" w:styleId="Footer">
    <w:name w:val="footer"/>
    <w:basedOn w:val="Normal"/>
    <w:link w:val="FooterChar"/>
    <w:uiPriority w:val="99"/>
    <w:unhideWhenUsed/>
    <w:rsid w:val="00555EA3"/>
    <w:pPr>
      <w:tabs>
        <w:tab w:val="center" w:pos="4680"/>
        <w:tab w:val="right" w:pos="9360"/>
      </w:tabs>
    </w:pPr>
  </w:style>
  <w:style w:type="character" w:customStyle="1" w:styleId="FooterChar">
    <w:name w:val="Footer Char"/>
    <w:basedOn w:val="DefaultParagraphFont"/>
    <w:link w:val="Footer"/>
    <w:uiPriority w:val="99"/>
    <w:rsid w:val="00555EA3"/>
    <w:rPr>
      <w:rFonts w:ascii="Times New Roman" w:eastAsia="Times New Roman" w:hAnsi="Times New Roman" w:cs="Times New Roman"/>
      <w:sz w:val="24"/>
      <w:szCs w:val="20"/>
    </w:rPr>
  </w:style>
  <w:style w:type="paragraph" w:styleId="NoSpacing">
    <w:name w:val="No Spacing"/>
    <w:uiPriority w:val="99"/>
    <w:qFormat/>
    <w:rsid w:val="008573BD"/>
    <w:pPr>
      <w:spacing w:after="0" w:line="240" w:lineRule="auto"/>
    </w:pPr>
  </w:style>
  <w:style w:type="paragraph" w:styleId="Revision">
    <w:name w:val="Revision"/>
    <w:hidden/>
    <w:uiPriority w:val="99"/>
    <w:semiHidden/>
    <w:rsid w:val="008573BD"/>
    <w:pPr>
      <w:spacing w:after="0" w:line="240" w:lineRule="auto"/>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C59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9AF"/>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AA4CEB"/>
    <w:rPr>
      <w:b/>
      <w:bCs/>
    </w:rPr>
  </w:style>
  <w:style w:type="character" w:customStyle="1" w:styleId="CommentSubjectChar">
    <w:name w:val="Comment Subject Char"/>
    <w:basedOn w:val="CommentTextChar"/>
    <w:link w:val="CommentSubject"/>
    <w:uiPriority w:val="99"/>
    <w:semiHidden/>
    <w:rsid w:val="00AA4CEB"/>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1590</Words>
  <Characters>9063</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Amnerys D. Alvarado Pacheco</dc:creator>
  <cp:keywords/>
  <dc:description/>
  <cp:lastModifiedBy>Camyl Moreno Pantojas</cp:lastModifiedBy>
  <cp:revision>2</cp:revision>
  <cp:lastPrinted>2025-03-05T23:25:00Z</cp:lastPrinted>
  <dcterms:created xsi:type="dcterms:W3CDTF">2025-03-14T14:00:00Z</dcterms:created>
  <dcterms:modified xsi:type="dcterms:W3CDTF">2025-03-14T14:00:00Z</dcterms:modified>
</cp:coreProperties>
</file>