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6664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666481">
        <w:rPr>
          <w:rFonts w:ascii="Book Antiqua" w:hAnsi="Book Antiqua"/>
          <w:sz w:val="28"/>
          <w:szCs w:val="28"/>
          <w:lang w:val="es-ES"/>
        </w:rPr>
        <w:t>GOBIERNO DE PUERTO RICO</w:t>
      </w:r>
    </w:p>
    <w:p w14:paraId="24353140" w14:textId="77777777" w:rsidR="007535BB" w:rsidRPr="006664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666481" w14:paraId="4DE77E24" w14:textId="77777777" w:rsidTr="00D95836">
        <w:trPr>
          <w:trHeight w:val="900"/>
        </w:trPr>
        <w:tc>
          <w:tcPr>
            <w:tcW w:w="3170" w:type="dxa"/>
          </w:tcPr>
          <w:p w14:paraId="27AF3912" w14:textId="77777777" w:rsidR="007535BB" w:rsidRPr="00666481" w:rsidRDefault="007535BB" w:rsidP="00D95836">
            <w:pPr>
              <w:rPr>
                <w:rFonts w:ascii="Book Antiqua" w:hAnsi="Book Antiqua"/>
                <w:lang w:val="es-ES"/>
              </w:rPr>
            </w:pPr>
            <w:r w:rsidRPr="00666481">
              <w:rPr>
                <w:rFonts w:ascii="Book Antiqua" w:hAnsi="Book Antiqua"/>
                <w:lang w:val="es-ES"/>
              </w:rPr>
              <w:t>20</w:t>
            </w:r>
            <w:r w:rsidRPr="00666481">
              <w:rPr>
                <w:rFonts w:ascii="Book Antiqua" w:hAnsi="Book Antiqua"/>
                <w:vertAlign w:val="superscript"/>
                <w:lang w:val="es-ES"/>
              </w:rPr>
              <w:t>ma.</w:t>
            </w:r>
            <w:r w:rsidRPr="00666481">
              <w:rPr>
                <w:rFonts w:ascii="Book Antiqua" w:hAnsi="Book Antiqua"/>
                <w:lang w:val="es-ES"/>
              </w:rPr>
              <w:tab/>
              <w:t>Asamblea</w:t>
            </w:r>
          </w:p>
          <w:p w14:paraId="082D32B2" w14:textId="77777777" w:rsidR="007535BB" w:rsidRPr="00666481" w:rsidRDefault="007535BB" w:rsidP="00D95836">
            <w:pPr>
              <w:rPr>
                <w:rFonts w:ascii="Book Antiqua" w:hAnsi="Book Antiqua"/>
                <w:sz w:val="36"/>
                <w:lang w:val="es-ES"/>
              </w:rPr>
            </w:pPr>
            <w:r w:rsidRPr="00666481">
              <w:rPr>
                <w:rFonts w:ascii="Book Antiqua" w:hAnsi="Book Antiqua"/>
                <w:lang w:val="es-ES"/>
              </w:rPr>
              <w:t xml:space="preserve">         </w:t>
            </w:r>
            <w:r w:rsidRPr="00666481">
              <w:rPr>
                <w:rFonts w:ascii="Book Antiqua" w:hAnsi="Book Antiqua"/>
                <w:lang w:val="es-ES"/>
              </w:rPr>
              <w:tab/>
              <w:t xml:space="preserve">Legislativa                                                                                                          </w:t>
            </w:r>
          </w:p>
        </w:tc>
        <w:tc>
          <w:tcPr>
            <w:tcW w:w="3171" w:type="dxa"/>
          </w:tcPr>
          <w:p w14:paraId="48FE9142" w14:textId="77777777" w:rsidR="007535BB" w:rsidRPr="00666481" w:rsidRDefault="007535BB" w:rsidP="00D95836">
            <w:pPr>
              <w:jc w:val="center"/>
              <w:rPr>
                <w:rFonts w:ascii="Book Antiqua" w:hAnsi="Book Antiqua"/>
                <w:sz w:val="36"/>
                <w:lang w:val="es-ES"/>
              </w:rPr>
            </w:pPr>
          </w:p>
        </w:tc>
        <w:tc>
          <w:tcPr>
            <w:tcW w:w="3268" w:type="dxa"/>
          </w:tcPr>
          <w:p w14:paraId="69176C76" w14:textId="2F06252B" w:rsidR="007535BB" w:rsidRPr="00666481" w:rsidRDefault="007535BB" w:rsidP="00D95836">
            <w:pPr>
              <w:rPr>
                <w:rFonts w:ascii="Book Antiqua" w:hAnsi="Book Antiqua"/>
                <w:lang w:val="es-ES"/>
              </w:rPr>
            </w:pPr>
            <w:r w:rsidRPr="00666481">
              <w:rPr>
                <w:rFonts w:ascii="Book Antiqua" w:hAnsi="Book Antiqua"/>
                <w:lang w:val="es-ES"/>
              </w:rPr>
              <w:tab/>
            </w:r>
            <w:r w:rsidR="00E17E3B" w:rsidRPr="00666481">
              <w:rPr>
                <w:rFonts w:ascii="Book Antiqua" w:hAnsi="Book Antiqua"/>
                <w:lang w:val="es-ES"/>
              </w:rPr>
              <w:t>2</w:t>
            </w:r>
            <w:r w:rsidR="00E17E3B" w:rsidRPr="00666481">
              <w:rPr>
                <w:rFonts w:ascii="Book Antiqua" w:hAnsi="Book Antiqua"/>
                <w:vertAlign w:val="superscript"/>
                <w:lang w:val="es-ES"/>
              </w:rPr>
              <w:t>d</w:t>
            </w:r>
            <w:r w:rsidRPr="00666481">
              <w:rPr>
                <w:rFonts w:ascii="Book Antiqua" w:hAnsi="Book Antiqua"/>
                <w:vertAlign w:val="superscript"/>
                <w:lang w:val="es-ES"/>
              </w:rPr>
              <w:t>a.</w:t>
            </w:r>
            <w:r w:rsidRPr="00666481">
              <w:rPr>
                <w:rFonts w:ascii="Book Antiqua" w:hAnsi="Book Antiqua"/>
                <w:lang w:val="es-ES"/>
              </w:rPr>
              <w:t xml:space="preserve"> Sesión</w:t>
            </w:r>
          </w:p>
          <w:p w14:paraId="42A8E2C1" w14:textId="6033C9E1" w:rsidR="007535BB" w:rsidRPr="00666481" w:rsidRDefault="007535BB" w:rsidP="00D95836">
            <w:pPr>
              <w:rPr>
                <w:rFonts w:ascii="Book Antiqua" w:hAnsi="Book Antiqua"/>
                <w:lang w:val="es-ES"/>
              </w:rPr>
            </w:pPr>
            <w:r w:rsidRPr="00666481">
              <w:rPr>
                <w:rFonts w:ascii="Book Antiqua" w:hAnsi="Book Antiqua"/>
                <w:lang w:val="es-ES"/>
              </w:rPr>
              <w:tab/>
              <w:t xml:space="preserve">      Ordinaria</w:t>
            </w:r>
          </w:p>
          <w:p w14:paraId="640FD190" w14:textId="77777777" w:rsidR="007535BB" w:rsidRPr="00666481" w:rsidRDefault="007535BB" w:rsidP="00D95836">
            <w:pPr>
              <w:jc w:val="center"/>
              <w:rPr>
                <w:rFonts w:ascii="Book Antiqua" w:hAnsi="Book Antiqua"/>
                <w:sz w:val="36"/>
                <w:lang w:val="es-ES"/>
              </w:rPr>
            </w:pPr>
          </w:p>
        </w:tc>
      </w:tr>
    </w:tbl>
    <w:bookmarkEnd w:id="0"/>
    <w:p w14:paraId="44DF1C72" w14:textId="77777777" w:rsidR="007535BB" w:rsidRPr="00666481" w:rsidRDefault="007535BB" w:rsidP="0027212A">
      <w:pPr>
        <w:spacing w:line="360" w:lineRule="auto"/>
        <w:jc w:val="center"/>
        <w:rPr>
          <w:rFonts w:ascii="Book Antiqua" w:hAnsi="Book Antiqua"/>
          <w:b/>
          <w:sz w:val="36"/>
          <w:lang w:val="es-ES"/>
        </w:rPr>
      </w:pPr>
      <w:r w:rsidRPr="00666481">
        <w:rPr>
          <w:rFonts w:ascii="Book Antiqua" w:hAnsi="Book Antiqua"/>
          <w:b/>
          <w:sz w:val="36"/>
          <w:lang w:val="es-ES"/>
        </w:rPr>
        <w:t>SENADO DE PUERTO RICO</w:t>
      </w:r>
      <w:bookmarkEnd w:id="1"/>
    </w:p>
    <w:p w14:paraId="3E53146F" w14:textId="503DE4FF" w:rsidR="007535BB" w:rsidRPr="00666481" w:rsidRDefault="00F60859" w:rsidP="0027212A">
      <w:pPr>
        <w:spacing w:line="360" w:lineRule="auto"/>
        <w:jc w:val="center"/>
        <w:rPr>
          <w:rFonts w:ascii="Book Antiqua" w:hAnsi="Book Antiqua"/>
          <w:b/>
          <w:sz w:val="52"/>
          <w:lang w:val="es-ES"/>
        </w:rPr>
      </w:pPr>
      <w:r w:rsidRPr="00666481">
        <w:rPr>
          <w:rFonts w:ascii="Book Antiqua" w:hAnsi="Book Antiqua"/>
          <w:b/>
          <w:sz w:val="52"/>
          <w:lang w:val="es-ES"/>
        </w:rPr>
        <w:t>P. de la C.</w:t>
      </w:r>
      <w:r w:rsidR="00BC6C71" w:rsidRPr="00666481">
        <w:rPr>
          <w:rFonts w:ascii="Book Antiqua" w:hAnsi="Book Antiqua"/>
          <w:b/>
          <w:sz w:val="52"/>
          <w:lang w:val="es-ES"/>
        </w:rPr>
        <w:t xml:space="preserve"> 24</w:t>
      </w:r>
    </w:p>
    <w:p w14:paraId="1443CA0F" w14:textId="77777777" w:rsidR="007535BB" w:rsidRPr="00666481" w:rsidRDefault="007535BB" w:rsidP="0027212A">
      <w:pPr>
        <w:spacing w:line="360" w:lineRule="auto"/>
        <w:jc w:val="center"/>
        <w:rPr>
          <w:rFonts w:ascii="Book Antiqua" w:hAnsi="Book Antiqua"/>
          <w:b/>
          <w:bCs/>
          <w:lang w:val="es-ES"/>
        </w:rPr>
      </w:pPr>
      <w:r w:rsidRPr="00666481">
        <w:rPr>
          <w:rFonts w:ascii="Book Antiqua" w:hAnsi="Book Antiqua"/>
          <w:b/>
          <w:bCs/>
          <w:lang w:val="es-ES"/>
        </w:rPr>
        <w:t xml:space="preserve"> </w:t>
      </w:r>
      <w:bookmarkStart w:id="3" w:name="_Hlk183037684"/>
      <w:r w:rsidR="001B5218" w:rsidRPr="00666481">
        <w:rPr>
          <w:rFonts w:ascii="Book Antiqua" w:hAnsi="Book Antiqua"/>
          <w:b/>
          <w:bCs/>
          <w:sz w:val="28"/>
          <w:szCs w:val="22"/>
          <w:lang w:val="es-ES"/>
        </w:rPr>
        <w:t xml:space="preserve">INFORME POSITIVO </w:t>
      </w:r>
    </w:p>
    <w:p w14:paraId="07AB4BDD" w14:textId="741BD7DB" w:rsidR="001B5218" w:rsidRPr="00666481" w:rsidRDefault="006D7A35" w:rsidP="0027212A">
      <w:pPr>
        <w:spacing w:line="360" w:lineRule="auto"/>
        <w:jc w:val="center"/>
        <w:rPr>
          <w:rFonts w:ascii="Book Antiqua" w:hAnsi="Book Antiqua"/>
          <w:lang w:val="es-ES"/>
        </w:rPr>
      </w:pPr>
      <w:r>
        <w:rPr>
          <w:rFonts w:ascii="Book Antiqua" w:hAnsi="Book Antiqua"/>
          <w:lang w:val="es-ES"/>
        </w:rPr>
        <w:t xml:space="preserve">14 </w:t>
      </w:r>
      <w:r w:rsidR="006239E8" w:rsidRPr="00666481">
        <w:rPr>
          <w:rFonts w:ascii="Book Antiqua" w:hAnsi="Book Antiqua"/>
          <w:lang w:val="es-ES"/>
        </w:rPr>
        <w:t xml:space="preserve">de agosto </w:t>
      </w:r>
      <w:r w:rsidR="00D13D23" w:rsidRPr="00666481">
        <w:rPr>
          <w:rFonts w:ascii="Book Antiqua" w:hAnsi="Book Antiqua"/>
          <w:lang w:val="es-ES"/>
        </w:rPr>
        <w:t>de 2025</w:t>
      </w:r>
    </w:p>
    <w:bookmarkEnd w:id="2"/>
    <w:bookmarkEnd w:id="3"/>
    <w:p w14:paraId="518A096B" w14:textId="07DCC0DC" w:rsidR="005B2884" w:rsidRPr="00666481" w:rsidRDefault="001B5218" w:rsidP="00567D36">
      <w:pPr>
        <w:tabs>
          <w:tab w:val="left" w:pos="-720"/>
        </w:tabs>
        <w:suppressAutoHyphens/>
        <w:spacing w:before="240" w:after="240" w:line="276" w:lineRule="auto"/>
        <w:rPr>
          <w:rFonts w:ascii="Book Antiqua" w:hAnsi="Book Antiqua"/>
          <w:szCs w:val="24"/>
          <w:lang w:val="es-ES"/>
        </w:rPr>
      </w:pPr>
      <w:r w:rsidRPr="00666481">
        <w:rPr>
          <w:rFonts w:ascii="Book Antiqua" w:hAnsi="Book Antiqua"/>
          <w:b/>
          <w:szCs w:val="24"/>
          <w:lang w:val="es-ES"/>
        </w:rPr>
        <w:t xml:space="preserve">AL SENADO DE PUERTO RICO: </w:t>
      </w:r>
    </w:p>
    <w:p w14:paraId="37982730" w14:textId="6B08CC9F" w:rsidR="005B2884" w:rsidRPr="00666481" w:rsidRDefault="00A52CD9" w:rsidP="00567D36">
      <w:pPr>
        <w:suppressAutoHyphens/>
        <w:spacing w:line="276" w:lineRule="auto"/>
        <w:jc w:val="both"/>
        <w:rPr>
          <w:rFonts w:ascii="Book Antiqua" w:hAnsi="Book Antiqua"/>
          <w:spacing w:val="-3"/>
          <w:lang w:val="es-ES"/>
        </w:rPr>
      </w:pPr>
      <w:r w:rsidRPr="00666481">
        <w:rPr>
          <w:rFonts w:ascii="Book Antiqua" w:hAnsi="Book Antiqua"/>
          <w:spacing w:val="-3"/>
          <w:lang w:val="es-ES"/>
        </w:rPr>
        <w:t xml:space="preserve">      </w:t>
      </w:r>
      <w:r w:rsidR="009F427F" w:rsidRPr="00666481">
        <w:rPr>
          <w:rFonts w:ascii="Book Antiqua" w:hAnsi="Book Antiqua"/>
          <w:spacing w:val="-3"/>
          <w:lang w:val="es-ES"/>
        </w:rPr>
        <w:tab/>
      </w:r>
      <w:r w:rsidR="001B5218" w:rsidRPr="00666481">
        <w:rPr>
          <w:rFonts w:ascii="Book Antiqua" w:hAnsi="Book Antiqua"/>
          <w:spacing w:val="-3"/>
          <w:lang w:val="es-ES"/>
        </w:rPr>
        <w:t xml:space="preserve">La </w:t>
      </w:r>
      <w:r w:rsidR="00E17E3B" w:rsidRPr="00666481">
        <w:rPr>
          <w:rFonts w:ascii="Book Antiqua" w:hAnsi="Book Antiqua"/>
          <w:spacing w:val="-3"/>
          <w:lang w:val="es-ES"/>
        </w:rPr>
        <w:t>Comisión de lo Jurídico del Senado de Puerto Rico</w:t>
      </w:r>
      <w:r w:rsidR="001B5218" w:rsidRPr="00666481">
        <w:rPr>
          <w:rFonts w:ascii="Book Antiqua" w:hAnsi="Book Antiqua"/>
          <w:spacing w:val="-3"/>
          <w:lang w:val="es-ES"/>
        </w:rPr>
        <w:t>, previo estudio y consideración</w:t>
      </w:r>
      <w:r w:rsidR="009F427F" w:rsidRPr="00666481">
        <w:rPr>
          <w:rFonts w:ascii="Book Antiqua" w:hAnsi="Book Antiqua"/>
          <w:spacing w:val="-3"/>
          <w:lang w:val="es-ES"/>
        </w:rPr>
        <w:t xml:space="preserve"> del </w:t>
      </w:r>
      <w:r w:rsidR="00BC6C71" w:rsidRPr="00666481">
        <w:rPr>
          <w:rFonts w:ascii="Book Antiqua" w:hAnsi="Book Antiqua"/>
          <w:spacing w:val="-3"/>
          <w:lang w:val="es-ES"/>
        </w:rPr>
        <w:t>Proyecto de la Cámara 24,</w:t>
      </w:r>
      <w:r w:rsidR="001B5218" w:rsidRPr="00666481">
        <w:rPr>
          <w:rFonts w:ascii="Book Antiqua" w:hAnsi="Book Antiqua"/>
          <w:spacing w:val="-3"/>
          <w:lang w:val="es-ES"/>
        </w:rPr>
        <w:t xml:space="preserve"> </w:t>
      </w:r>
      <w:r w:rsidR="009F427F" w:rsidRPr="00666481">
        <w:rPr>
          <w:rFonts w:ascii="Book Antiqua" w:hAnsi="Book Antiqua"/>
          <w:spacing w:val="-3"/>
          <w:lang w:val="es-ES"/>
        </w:rPr>
        <w:t>recomienda a este Alto Cuerpo su</w:t>
      </w:r>
      <w:r w:rsidR="008E051A" w:rsidRPr="00666481">
        <w:rPr>
          <w:rFonts w:ascii="Book Antiqua" w:hAnsi="Book Antiqua"/>
          <w:spacing w:val="-3"/>
          <w:lang w:val="es-ES"/>
        </w:rPr>
        <w:t xml:space="preserve"> </w:t>
      </w:r>
      <w:r w:rsidR="001B5218" w:rsidRPr="00666481">
        <w:rPr>
          <w:rFonts w:ascii="Book Antiqua" w:hAnsi="Book Antiqua"/>
          <w:spacing w:val="-3"/>
          <w:lang w:val="es-ES"/>
        </w:rPr>
        <w:t xml:space="preserve">aprobación, </w:t>
      </w:r>
      <w:r w:rsidR="001B5218" w:rsidRPr="00C41342">
        <w:rPr>
          <w:rFonts w:ascii="Book Antiqua" w:hAnsi="Book Antiqua"/>
          <w:spacing w:val="-3"/>
          <w:lang w:val="es-ES"/>
        </w:rPr>
        <w:t>con las enmiendas contenidas en el entirillado electrónico que se acompaña</w:t>
      </w:r>
      <w:r w:rsidR="00C41342" w:rsidRPr="00C41342">
        <w:rPr>
          <w:rFonts w:ascii="Book Antiqua" w:hAnsi="Book Antiqua"/>
          <w:spacing w:val="-3"/>
          <w:lang w:val="es-ES"/>
        </w:rPr>
        <w:t>.</w:t>
      </w:r>
    </w:p>
    <w:p w14:paraId="1C36686D" w14:textId="77777777" w:rsidR="000C52A1" w:rsidRPr="00666481" w:rsidRDefault="000C52A1" w:rsidP="00567D36">
      <w:pPr>
        <w:suppressAutoHyphens/>
        <w:spacing w:line="276" w:lineRule="auto"/>
        <w:jc w:val="both"/>
        <w:rPr>
          <w:rFonts w:ascii="Book Antiqua" w:hAnsi="Book Antiqua"/>
          <w:spacing w:val="-3"/>
          <w:lang w:val="es-ES"/>
        </w:rPr>
      </w:pPr>
    </w:p>
    <w:p w14:paraId="632423B1" w14:textId="77777777" w:rsidR="0024131E" w:rsidRPr="00666481" w:rsidRDefault="001B5218" w:rsidP="00567D36">
      <w:pPr>
        <w:tabs>
          <w:tab w:val="left" w:pos="-720"/>
        </w:tabs>
        <w:suppressAutoHyphens/>
        <w:spacing w:line="276" w:lineRule="auto"/>
        <w:jc w:val="center"/>
        <w:rPr>
          <w:rFonts w:ascii="Book Antiqua" w:hAnsi="Book Antiqua"/>
          <w:b/>
          <w:bCs/>
          <w:szCs w:val="24"/>
          <w:lang w:val="es-ES"/>
        </w:rPr>
      </w:pPr>
      <w:r w:rsidRPr="00666481">
        <w:rPr>
          <w:rFonts w:ascii="Book Antiqua" w:hAnsi="Book Antiqua"/>
          <w:b/>
          <w:bCs/>
          <w:szCs w:val="24"/>
          <w:lang w:val="es-ES"/>
        </w:rPr>
        <w:t xml:space="preserve">ALCANCE DE LA MEDIDA </w:t>
      </w:r>
    </w:p>
    <w:p w14:paraId="5B5C79B2" w14:textId="77777777" w:rsidR="000C52A1" w:rsidRPr="00666481" w:rsidRDefault="000C52A1" w:rsidP="00567D36">
      <w:pPr>
        <w:tabs>
          <w:tab w:val="left" w:pos="-720"/>
        </w:tabs>
        <w:suppressAutoHyphens/>
        <w:spacing w:line="276" w:lineRule="auto"/>
        <w:rPr>
          <w:rFonts w:ascii="Book Antiqua" w:hAnsi="Book Antiqua"/>
          <w:b/>
          <w:bCs/>
          <w:szCs w:val="24"/>
          <w:lang w:val="es-ES"/>
        </w:rPr>
      </w:pPr>
    </w:p>
    <w:p w14:paraId="7C7A3389" w14:textId="01A4B6C8" w:rsidR="006F51A8" w:rsidRPr="00666481" w:rsidRDefault="009F427F"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r>
      <w:r w:rsidR="001B5218" w:rsidRPr="00666481">
        <w:rPr>
          <w:rFonts w:ascii="Book Antiqua" w:hAnsi="Book Antiqua"/>
          <w:lang w:val="es-ES"/>
        </w:rPr>
        <w:t xml:space="preserve">El Proyecto </w:t>
      </w:r>
      <w:r w:rsidR="00E94583" w:rsidRPr="00666481">
        <w:rPr>
          <w:rFonts w:ascii="Book Antiqua" w:hAnsi="Book Antiqua"/>
          <w:lang w:val="es-ES"/>
        </w:rPr>
        <w:t>de la Cámara 24</w:t>
      </w:r>
      <w:r w:rsidRPr="00666481">
        <w:rPr>
          <w:rFonts w:ascii="Book Antiqua" w:hAnsi="Book Antiqua"/>
          <w:lang w:val="es-ES"/>
        </w:rPr>
        <w:t xml:space="preserve"> (en adelante, P. </w:t>
      </w:r>
      <w:r w:rsidR="00E94583" w:rsidRPr="00666481">
        <w:rPr>
          <w:rFonts w:ascii="Book Antiqua" w:hAnsi="Book Antiqua"/>
          <w:lang w:val="es-ES"/>
        </w:rPr>
        <w:t>de la C. 24)</w:t>
      </w:r>
      <w:r w:rsidR="001B5218" w:rsidRPr="00666481">
        <w:rPr>
          <w:rFonts w:ascii="Book Antiqua" w:hAnsi="Book Antiqua"/>
          <w:lang w:val="es-ES"/>
        </w:rPr>
        <w:t xml:space="preserve"> según </w:t>
      </w:r>
      <w:r w:rsidR="005354C6" w:rsidRPr="00666481">
        <w:rPr>
          <w:rFonts w:ascii="Book Antiqua" w:hAnsi="Book Antiqua"/>
          <w:lang w:val="es-ES"/>
        </w:rPr>
        <w:t>presentado</w:t>
      </w:r>
      <w:r w:rsidR="001B5218" w:rsidRPr="00666481">
        <w:rPr>
          <w:rFonts w:ascii="Book Antiqua" w:hAnsi="Book Antiqua"/>
          <w:lang w:val="es-ES"/>
        </w:rPr>
        <w:t>, tiene como propósito</w:t>
      </w:r>
      <w:bookmarkStart w:id="4" w:name="_Hlk194438498"/>
      <w:r w:rsidR="00E94583" w:rsidRPr="00666481">
        <w:rPr>
          <w:rFonts w:ascii="Book Antiqua" w:hAnsi="Book Antiqua"/>
          <w:lang w:val="es-ES"/>
        </w:rPr>
        <w:t xml:space="preserve"> enmendar el</w:t>
      </w:r>
      <w:r w:rsidR="00E94583" w:rsidRPr="00666481">
        <w:rPr>
          <w:rFonts w:ascii="Book Antiqua" w:hAnsi="Book Antiqua"/>
          <w:bCs/>
          <w:iCs/>
          <w:lang w:val="es-ES"/>
        </w:rPr>
        <w:t xml:space="preserve"> Artículo 11 de la Ley Núm. 75 de 2 de julio de 1987, según enmendada, conocida como “Ley Notarial de Puerto Rico”, a los fines de rectificar la información que deberá contener la planilla informativa sobre segregación, agrupación o traslado de bienes inmuebles.</w:t>
      </w:r>
    </w:p>
    <w:bookmarkEnd w:id="4"/>
    <w:p w14:paraId="771800BC" w14:textId="77777777" w:rsidR="00A06A16" w:rsidRPr="00666481" w:rsidRDefault="00A06A16" w:rsidP="00567D36">
      <w:pPr>
        <w:tabs>
          <w:tab w:val="left" w:pos="-720"/>
        </w:tabs>
        <w:suppressAutoHyphens/>
        <w:spacing w:line="276" w:lineRule="auto"/>
        <w:ind w:firstLine="360"/>
        <w:jc w:val="center"/>
        <w:rPr>
          <w:rFonts w:ascii="Book Antiqua" w:hAnsi="Book Antiqua"/>
          <w:b/>
          <w:bCs/>
          <w:lang w:val="es-ES"/>
        </w:rPr>
      </w:pPr>
    </w:p>
    <w:p w14:paraId="6EE110C6" w14:textId="695AAC9E" w:rsidR="006F51A8" w:rsidRPr="00666481" w:rsidRDefault="009F427F" w:rsidP="00567D36">
      <w:pPr>
        <w:tabs>
          <w:tab w:val="left" w:pos="-720"/>
        </w:tabs>
        <w:suppressAutoHyphens/>
        <w:spacing w:line="276" w:lineRule="auto"/>
        <w:ind w:firstLine="360"/>
        <w:jc w:val="center"/>
        <w:rPr>
          <w:rFonts w:ascii="Book Antiqua" w:hAnsi="Book Antiqua"/>
          <w:b/>
          <w:bCs/>
          <w:lang w:val="es-ES"/>
        </w:rPr>
      </w:pPr>
      <w:r w:rsidRPr="00666481">
        <w:rPr>
          <w:rFonts w:ascii="Book Antiqua" w:hAnsi="Book Antiqua"/>
          <w:b/>
          <w:bCs/>
          <w:lang w:val="es-ES"/>
        </w:rPr>
        <w:t>ANÁLISIS DE LA MEDIDA</w:t>
      </w:r>
    </w:p>
    <w:p w14:paraId="6FD2A601" w14:textId="77777777" w:rsidR="000C52A1" w:rsidRPr="00666481" w:rsidRDefault="000C52A1" w:rsidP="00567D36">
      <w:pPr>
        <w:tabs>
          <w:tab w:val="left" w:pos="-720"/>
        </w:tabs>
        <w:suppressAutoHyphens/>
        <w:spacing w:line="276" w:lineRule="auto"/>
        <w:ind w:firstLine="360"/>
        <w:jc w:val="center"/>
        <w:rPr>
          <w:rFonts w:ascii="Book Antiqua" w:hAnsi="Book Antiqua"/>
          <w:b/>
          <w:bCs/>
          <w:lang w:val="es-ES"/>
        </w:rPr>
      </w:pPr>
    </w:p>
    <w:p w14:paraId="615D60A4" w14:textId="2C98D8C8" w:rsidR="008345D0" w:rsidRPr="00666481" w:rsidRDefault="009F524F"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r>
      <w:r w:rsidR="008345D0" w:rsidRPr="00666481">
        <w:rPr>
          <w:rFonts w:ascii="Book Antiqua" w:hAnsi="Book Antiqua"/>
          <w:lang w:val="es-ES"/>
        </w:rPr>
        <w:t>La Ley Núm. 75 de 2 de julio de 1987, conocida como la Ley Notarial de Puerto Rico, establece los deberes que deben cumplir los notarios en los procesos de segregación, agrupación y traslado de bienes inmuebles. El Artículo 11 de dicha Ley impone al transmitente o a la persona que lleva a cabo la segregación</w:t>
      </w:r>
      <w:r w:rsidR="006005EF" w:rsidRPr="00666481">
        <w:rPr>
          <w:rFonts w:ascii="Book Antiqua" w:hAnsi="Book Antiqua"/>
          <w:lang w:val="es-ES"/>
        </w:rPr>
        <w:t xml:space="preserve">, </w:t>
      </w:r>
      <w:r w:rsidR="008345D0" w:rsidRPr="00666481">
        <w:rPr>
          <w:rFonts w:ascii="Book Antiqua" w:hAnsi="Book Antiqua"/>
          <w:lang w:val="es-ES"/>
        </w:rPr>
        <w:t>agrupación</w:t>
      </w:r>
      <w:r w:rsidR="006005EF" w:rsidRPr="00666481">
        <w:rPr>
          <w:rFonts w:ascii="Book Antiqua" w:hAnsi="Book Antiqua"/>
          <w:lang w:val="es-ES"/>
        </w:rPr>
        <w:t xml:space="preserve"> o traslado de bienes inmuebles</w:t>
      </w:r>
      <w:r w:rsidR="008345D0" w:rsidRPr="00666481">
        <w:rPr>
          <w:rFonts w:ascii="Book Antiqua" w:hAnsi="Book Antiqua"/>
          <w:lang w:val="es-ES"/>
        </w:rPr>
        <w:t xml:space="preserve"> la responsabilidad de presentar una planilla informativa ante el notario que autoriza el acto.</w:t>
      </w:r>
    </w:p>
    <w:p w14:paraId="0ABFF4C4" w14:textId="637D50BE" w:rsidR="008345D0" w:rsidRPr="00666481" w:rsidRDefault="008345D0"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r>
      <w:r w:rsidR="0054798E" w:rsidRPr="00666481">
        <w:rPr>
          <w:rFonts w:ascii="Book Antiqua" w:hAnsi="Book Antiqua"/>
          <w:lang w:val="es-ES"/>
        </w:rPr>
        <w:t>Por otra parte,</w:t>
      </w:r>
      <w:r w:rsidRPr="00666481">
        <w:rPr>
          <w:rFonts w:ascii="Book Antiqua" w:hAnsi="Book Antiqua"/>
          <w:lang w:val="es-ES"/>
        </w:rPr>
        <w:t xml:space="preserve"> la Ley 52-2022, denominada “Ley para la Estabilización de las Finanzas Públicas de Puerto Rico”, introdujo modificaciones a diversos aspectos de la </w:t>
      </w:r>
      <w:r w:rsidRPr="00666481">
        <w:rPr>
          <w:rFonts w:ascii="Book Antiqua" w:hAnsi="Book Antiqua"/>
          <w:lang w:val="es-ES"/>
        </w:rPr>
        <w:lastRenderedPageBreak/>
        <w:t xml:space="preserve">Ley </w:t>
      </w:r>
      <w:r w:rsidR="0054798E" w:rsidRPr="00666481">
        <w:rPr>
          <w:rFonts w:ascii="Book Antiqua" w:hAnsi="Book Antiqua"/>
          <w:lang w:val="es-ES"/>
        </w:rPr>
        <w:t>Notarial</w:t>
      </w:r>
      <w:r w:rsidRPr="00666481">
        <w:rPr>
          <w:rFonts w:ascii="Book Antiqua" w:hAnsi="Book Antiqua"/>
          <w:lang w:val="es-ES"/>
        </w:rPr>
        <w:t xml:space="preserve">, incluyendo cambios en los requisitos relacionados con las planillas informativas sobre inmuebles. Estas enmiendas, sin embargo, no estaban relacionadas con </w:t>
      </w:r>
      <w:r w:rsidR="0034209A" w:rsidRPr="00666481">
        <w:rPr>
          <w:rFonts w:ascii="Book Antiqua" w:hAnsi="Book Antiqua"/>
          <w:lang w:val="es-ES"/>
        </w:rPr>
        <w:t xml:space="preserve">el </w:t>
      </w:r>
      <w:r w:rsidR="00B32086" w:rsidRPr="00666481">
        <w:rPr>
          <w:rFonts w:ascii="Book Antiqua" w:hAnsi="Book Antiqua"/>
          <w:lang w:val="es-ES"/>
        </w:rPr>
        <w:t>propósito</w:t>
      </w:r>
      <w:r w:rsidR="0034209A" w:rsidRPr="00666481">
        <w:rPr>
          <w:rFonts w:ascii="Book Antiqua" w:hAnsi="Book Antiqua"/>
          <w:lang w:val="es-ES"/>
        </w:rPr>
        <w:t xml:space="preserve"> del proyecto, es decir, con </w:t>
      </w:r>
      <w:r w:rsidRPr="00666481">
        <w:rPr>
          <w:rFonts w:ascii="Book Antiqua" w:hAnsi="Book Antiqua"/>
          <w:lang w:val="es-ES"/>
        </w:rPr>
        <w:t>los cambios fundamentales al sistema contributivo aplicable a empresas foráneas. El Tribunal de Primera Instancia, al analizar el alcance de dicha ley, concluyó que las modificaciones introducidas al Artículo 86 de la Ley 52-2022 eran nulas en lo que respecta a la Ley Notarial de Puerto Rico.</w:t>
      </w:r>
      <w:r w:rsidR="001D74A8" w:rsidRPr="00666481">
        <w:rPr>
          <w:rStyle w:val="FootnoteReference"/>
          <w:rFonts w:ascii="Book Antiqua" w:hAnsi="Book Antiqua"/>
          <w:lang w:val="es-ES"/>
        </w:rPr>
        <w:footnoteReference w:id="1"/>
      </w:r>
      <w:r w:rsidRPr="00666481">
        <w:rPr>
          <w:rFonts w:ascii="Book Antiqua" w:hAnsi="Book Antiqua"/>
          <w:lang w:val="es-ES"/>
        </w:rPr>
        <w:t xml:space="preserve"> Esta determinación puso en evidencia la desconexión entre las reformas fiscales propuestas y las disposiciones pertinentes al ámbito notarial.</w:t>
      </w:r>
      <w:r w:rsidR="00486946" w:rsidRPr="00666481">
        <w:rPr>
          <w:rFonts w:ascii="Book Antiqua" w:hAnsi="Book Antiqua"/>
          <w:lang w:val="es-ES"/>
        </w:rPr>
        <w:t xml:space="preserve"> Como consecuencia de la referida Sentencia el Departamento de Hacienda</w:t>
      </w:r>
      <w:r w:rsidR="000348A5" w:rsidRPr="00666481">
        <w:rPr>
          <w:rStyle w:val="FootnoteReference"/>
          <w:rFonts w:ascii="Book Antiqua" w:hAnsi="Book Antiqua"/>
          <w:lang w:val="es-ES"/>
        </w:rPr>
        <w:footnoteReference w:id="2"/>
      </w:r>
      <w:r w:rsidR="00486946" w:rsidRPr="00666481">
        <w:rPr>
          <w:rFonts w:ascii="Book Antiqua" w:hAnsi="Book Antiqua"/>
          <w:lang w:val="es-ES"/>
        </w:rPr>
        <w:t xml:space="preserve"> y la Oficina de Inspección de Notarías (ODIN)</w:t>
      </w:r>
      <w:r w:rsidR="00DC1FD0" w:rsidRPr="00666481">
        <w:rPr>
          <w:rStyle w:val="FootnoteReference"/>
          <w:rFonts w:ascii="Book Antiqua" w:hAnsi="Book Antiqua"/>
          <w:lang w:val="es-ES"/>
        </w:rPr>
        <w:footnoteReference w:id="3"/>
      </w:r>
      <w:r w:rsidR="00486946" w:rsidRPr="00666481">
        <w:rPr>
          <w:rFonts w:ascii="Book Antiqua" w:hAnsi="Book Antiqua"/>
          <w:lang w:val="es-ES"/>
        </w:rPr>
        <w:t xml:space="preserve"> emitieron sus respectivos boletines informativos aclarando que los nuevos requisitos pretendidos por la Ley 52-2022 se daban por no puesto</w:t>
      </w:r>
      <w:r w:rsidR="00666481" w:rsidRPr="00666481">
        <w:rPr>
          <w:rFonts w:ascii="Book Antiqua" w:hAnsi="Book Antiqua"/>
          <w:lang w:val="es-ES"/>
        </w:rPr>
        <w:t>s</w:t>
      </w:r>
      <w:r w:rsidR="00486946" w:rsidRPr="00666481">
        <w:rPr>
          <w:rFonts w:ascii="Book Antiqua" w:hAnsi="Book Antiqua"/>
          <w:lang w:val="es-ES"/>
        </w:rPr>
        <w:t xml:space="preserve"> en cuanto a la Ley Notarial</w:t>
      </w:r>
      <w:r w:rsidR="00666481">
        <w:rPr>
          <w:rFonts w:ascii="Book Antiqua" w:hAnsi="Book Antiqua"/>
          <w:lang w:val="es-ES"/>
        </w:rPr>
        <w:t xml:space="preserve"> respectaba</w:t>
      </w:r>
      <w:r w:rsidR="00486946" w:rsidRPr="00666481">
        <w:rPr>
          <w:rFonts w:ascii="Book Antiqua" w:hAnsi="Book Antiqua"/>
          <w:lang w:val="es-ES"/>
        </w:rPr>
        <w:t xml:space="preserve">. </w:t>
      </w:r>
    </w:p>
    <w:p w14:paraId="7A21EE65" w14:textId="5B2E0963" w:rsidR="006239E8" w:rsidRPr="00666481" w:rsidRDefault="001D74A8"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t>Así las cosas</w:t>
      </w:r>
      <w:r w:rsidR="008345D0" w:rsidRPr="00666481">
        <w:rPr>
          <w:rFonts w:ascii="Book Antiqua" w:hAnsi="Book Antiqua"/>
          <w:lang w:val="es-ES"/>
        </w:rPr>
        <w:t xml:space="preserve">, el Proyecto </w:t>
      </w:r>
      <w:r w:rsidRPr="00666481">
        <w:rPr>
          <w:rFonts w:ascii="Book Antiqua" w:hAnsi="Book Antiqua"/>
          <w:lang w:val="es-ES"/>
        </w:rPr>
        <w:t>de la Cámara 24</w:t>
      </w:r>
      <w:r w:rsidR="008345D0" w:rsidRPr="00666481">
        <w:rPr>
          <w:rFonts w:ascii="Book Antiqua" w:hAnsi="Book Antiqua"/>
          <w:lang w:val="es-ES"/>
        </w:rPr>
        <w:t xml:space="preserve"> propone corregir estas enmiendas mediante la restauración del texto original del Artículo 11 de la Ley </w:t>
      </w:r>
      <w:r w:rsidRPr="00666481">
        <w:rPr>
          <w:rFonts w:ascii="Book Antiqua" w:hAnsi="Book Antiqua"/>
          <w:lang w:val="es-ES"/>
        </w:rPr>
        <w:t>Notarial</w:t>
      </w:r>
      <w:r w:rsidR="008345D0" w:rsidRPr="00666481">
        <w:rPr>
          <w:rFonts w:ascii="Book Antiqua" w:hAnsi="Book Antiqua"/>
          <w:lang w:val="es-ES"/>
        </w:rPr>
        <w:t>, especificando con mayor claridad la información que debe incluirse en la planilla informativa</w:t>
      </w:r>
      <w:r w:rsidR="00AF1B68">
        <w:rPr>
          <w:rFonts w:ascii="Book Antiqua" w:hAnsi="Book Antiqua"/>
          <w:lang w:val="es-ES"/>
        </w:rPr>
        <w:t xml:space="preserve"> </w:t>
      </w:r>
      <w:r w:rsidR="00AF1B68" w:rsidRPr="00AF1B68">
        <w:rPr>
          <w:rFonts w:ascii="Book Antiqua" w:hAnsi="Book Antiqua"/>
          <w:lang w:val="es-ES"/>
        </w:rPr>
        <w:t>sobre Segregación, Agrupación o</w:t>
      </w:r>
      <w:r w:rsidR="00AF1B68">
        <w:rPr>
          <w:rFonts w:ascii="Book Antiqua" w:hAnsi="Book Antiqua"/>
          <w:lang w:val="es-ES"/>
        </w:rPr>
        <w:t xml:space="preserve"> </w:t>
      </w:r>
      <w:r w:rsidR="00AF1B68" w:rsidRPr="00AF1B68">
        <w:rPr>
          <w:rFonts w:ascii="Book Antiqua" w:hAnsi="Book Antiqua"/>
          <w:lang w:val="es-ES"/>
        </w:rPr>
        <w:t>Traslado de Bienes Inmuebles</w:t>
      </w:r>
      <w:r w:rsidR="008345D0" w:rsidRPr="00666481">
        <w:rPr>
          <w:rFonts w:ascii="Book Antiqua" w:hAnsi="Book Antiqua"/>
          <w:lang w:val="es-ES"/>
        </w:rPr>
        <w:t>.</w:t>
      </w:r>
    </w:p>
    <w:p w14:paraId="1BE66477" w14:textId="48143481" w:rsidR="00B4229E" w:rsidRPr="00666481" w:rsidRDefault="009F524F" w:rsidP="00567D36">
      <w:pPr>
        <w:tabs>
          <w:tab w:val="left" w:pos="-720"/>
        </w:tabs>
        <w:suppressAutoHyphens/>
        <w:spacing w:line="276" w:lineRule="auto"/>
        <w:ind w:firstLine="360"/>
        <w:jc w:val="both"/>
        <w:rPr>
          <w:rFonts w:ascii="Book Antiqua" w:hAnsi="Book Antiqua"/>
          <w:spacing w:val="-3"/>
          <w:lang w:val="es-ES"/>
        </w:rPr>
      </w:pPr>
      <w:r w:rsidRPr="00666481">
        <w:rPr>
          <w:rFonts w:ascii="Book Antiqua" w:hAnsi="Book Antiqua"/>
          <w:lang w:val="es-ES"/>
        </w:rPr>
        <w:tab/>
      </w:r>
      <w:r w:rsidR="009154BD" w:rsidRPr="00666481">
        <w:rPr>
          <w:rFonts w:ascii="Book Antiqua" w:hAnsi="Book Antiqua"/>
          <w:lang w:val="es-ES"/>
        </w:rPr>
        <w:t xml:space="preserve">La </w:t>
      </w:r>
      <w:r w:rsidR="000C5B91" w:rsidRPr="00666481">
        <w:rPr>
          <w:rFonts w:ascii="Book Antiqua" w:hAnsi="Book Antiqua"/>
          <w:spacing w:val="-3"/>
          <w:lang w:val="es-ES"/>
        </w:rPr>
        <w:t>Comisión de lo Jurídico del Senado de Puerto Rico</w:t>
      </w:r>
      <w:r w:rsidR="009154BD" w:rsidRPr="00666481">
        <w:rPr>
          <w:rFonts w:ascii="Book Antiqua" w:hAnsi="Book Antiqua"/>
          <w:spacing w:val="-3"/>
          <w:lang w:val="es-ES"/>
        </w:rPr>
        <w:t xml:space="preserve">, como parte del estudio y evaluación del </w:t>
      </w:r>
      <w:r w:rsidR="001D74A8" w:rsidRPr="00666481">
        <w:rPr>
          <w:rFonts w:ascii="Book Antiqua" w:hAnsi="Book Antiqua"/>
          <w:spacing w:val="-3"/>
          <w:lang w:val="es-ES"/>
        </w:rPr>
        <w:t xml:space="preserve">Proyecto de la Cámara </w:t>
      </w:r>
      <w:r w:rsidR="00CD37FC" w:rsidRPr="00666481">
        <w:rPr>
          <w:rFonts w:ascii="Book Antiqua" w:hAnsi="Book Antiqua"/>
          <w:spacing w:val="-3"/>
          <w:lang w:val="es-ES"/>
        </w:rPr>
        <w:t>24</w:t>
      </w:r>
      <w:r w:rsidR="001D74A8" w:rsidRPr="00666481">
        <w:rPr>
          <w:rFonts w:ascii="Book Antiqua" w:hAnsi="Book Antiqua"/>
          <w:spacing w:val="-3"/>
          <w:lang w:val="es-ES"/>
        </w:rPr>
        <w:t xml:space="preserve">, analizó el Informe </w:t>
      </w:r>
      <w:r w:rsidR="00B4229E" w:rsidRPr="00666481">
        <w:rPr>
          <w:rFonts w:ascii="Book Antiqua" w:hAnsi="Book Antiqua"/>
          <w:spacing w:val="-3"/>
          <w:lang w:val="es-ES"/>
        </w:rPr>
        <w:t>en torno al P. del S. 60</w:t>
      </w:r>
      <w:r w:rsidR="00CD37FC" w:rsidRPr="00666481">
        <w:rPr>
          <w:rFonts w:ascii="Book Antiqua" w:hAnsi="Book Antiqua"/>
          <w:spacing w:val="-3"/>
          <w:lang w:val="es-ES"/>
        </w:rPr>
        <w:t>, cuyo propósito y disposiciones son iguales al P. de la C. 24.</w:t>
      </w:r>
      <w:r w:rsidR="008F301F" w:rsidRPr="00666481">
        <w:rPr>
          <w:rStyle w:val="FootnoteReference"/>
          <w:rFonts w:ascii="Book Antiqua" w:hAnsi="Book Antiqua"/>
          <w:spacing w:val="-3"/>
          <w:lang w:val="es-ES"/>
        </w:rPr>
        <w:footnoteReference w:id="4"/>
      </w:r>
      <w:r w:rsidR="00CD37FC" w:rsidRPr="00666481">
        <w:rPr>
          <w:rFonts w:ascii="Book Antiqua" w:hAnsi="Book Antiqua"/>
          <w:spacing w:val="-3"/>
          <w:lang w:val="es-ES"/>
        </w:rPr>
        <w:t xml:space="preserve"> </w:t>
      </w:r>
      <w:r w:rsidR="008F301F" w:rsidRPr="00666481">
        <w:rPr>
          <w:rFonts w:ascii="Book Antiqua" w:hAnsi="Book Antiqua"/>
          <w:spacing w:val="-3"/>
          <w:lang w:val="es-ES"/>
        </w:rPr>
        <w:t>El Informe</w:t>
      </w:r>
      <w:r w:rsidR="0008769A" w:rsidRPr="00666481">
        <w:rPr>
          <w:rFonts w:ascii="Book Antiqua" w:hAnsi="Book Antiqua"/>
          <w:spacing w:val="-3"/>
          <w:lang w:val="es-ES"/>
        </w:rPr>
        <w:t>, que contiene los comentarios de la Oficina de la Administración de los Tribunales,</w:t>
      </w:r>
      <w:r w:rsidR="008F301F" w:rsidRPr="00666481">
        <w:rPr>
          <w:rFonts w:ascii="Book Antiqua" w:hAnsi="Book Antiqua"/>
          <w:spacing w:val="-3"/>
          <w:lang w:val="es-ES"/>
        </w:rPr>
        <w:t xml:space="preserve"> fue presentado por la </w:t>
      </w:r>
      <w:r w:rsidR="004E4197" w:rsidRPr="00666481">
        <w:rPr>
          <w:rFonts w:ascii="Book Antiqua" w:hAnsi="Book Antiqua"/>
          <w:spacing w:val="-3"/>
          <w:lang w:val="es-ES"/>
        </w:rPr>
        <w:t xml:space="preserve">Comisión de Innovación, Reforma y Nombramientos del Senado, cuyo análisis hacemos formar parte del presente informe. </w:t>
      </w:r>
    </w:p>
    <w:p w14:paraId="7D81C205" w14:textId="22707101" w:rsidR="006D5838" w:rsidRPr="00666481" w:rsidRDefault="00481C39"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 xml:space="preserve"> </w:t>
      </w:r>
      <w:r w:rsidR="0008769A" w:rsidRPr="00666481">
        <w:rPr>
          <w:rFonts w:ascii="Book Antiqua" w:hAnsi="Book Antiqua"/>
          <w:lang w:val="es-ES"/>
        </w:rPr>
        <w:tab/>
        <w:t>Además</w:t>
      </w:r>
      <w:r w:rsidR="004E4197" w:rsidRPr="00666481">
        <w:rPr>
          <w:rFonts w:ascii="Book Antiqua" w:hAnsi="Book Antiqua"/>
          <w:lang w:val="es-ES"/>
        </w:rPr>
        <w:t xml:space="preserve">, esta Comisión de lo Jurídico </w:t>
      </w:r>
      <w:r w:rsidR="009F524F" w:rsidRPr="00666481">
        <w:rPr>
          <w:rFonts w:ascii="Book Antiqua" w:hAnsi="Book Antiqua"/>
          <w:lang w:val="es-ES"/>
        </w:rPr>
        <w:t>recibió</w:t>
      </w:r>
      <w:r w:rsidR="006D5838" w:rsidRPr="00666481">
        <w:rPr>
          <w:rFonts w:ascii="Book Antiqua" w:hAnsi="Book Antiqua"/>
          <w:lang w:val="es-ES"/>
        </w:rPr>
        <w:t xml:space="preserve"> </w:t>
      </w:r>
      <w:r w:rsidR="0008769A" w:rsidRPr="00666481">
        <w:rPr>
          <w:rFonts w:ascii="Book Antiqua" w:hAnsi="Book Antiqua"/>
          <w:lang w:val="es-ES"/>
        </w:rPr>
        <w:t xml:space="preserve">un memorial explicativo de la </w:t>
      </w:r>
      <w:r w:rsidR="0008769A" w:rsidRPr="00666481">
        <w:rPr>
          <w:rFonts w:ascii="Book Antiqua" w:hAnsi="Book Antiqua"/>
          <w:i/>
          <w:iCs/>
          <w:lang w:val="es-ES"/>
        </w:rPr>
        <w:t xml:space="preserve">Puerto Rico </w:t>
      </w:r>
      <w:proofErr w:type="spellStart"/>
      <w:r w:rsidR="0008769A" w:rsidRPr="00666481">
        <w:rPr>
          <w:rFonts w:ascii="Book Antiqua" w:hAnsi="Book Antiqua"/>
          <w:i/>
          <w:iCs/>
          <w:lang w:val="es-ES"/>
        </w:rPr>
        <w:t>Association</w:t>
      </w:r>
      <w:proofErr w:type="spellEnd"/>
      <w:r w:rsidR="0008769A" w:rsidRPr="00666481">
        <w:rPr>
          <w:rFonts w:ascii="Book Antiqua" w:hAnsi="Book Antiqua"/>
          <w:i/>
          <w:iCs/>
          <w:lang w:val="es-ES"/>
        </w:rPr>
        <w:t xml:space="preserve"> </w:t>
      </w:r>
      <w:proofErr w:type="spellStart"/>
      <w:r w:rsidR="0008769A" w:rsidRPr="00666481">
        <w:rPr>
          <w:rFonts w:ascii="Book Antiqua" w:hAnsi="Book Antiqua"/>
          <w:i/>
          <w:iCs/>
          <w:lang w:val="es-ES"/>
        </w:rPr>
        <w:t>of</w:t>
      </w:r>
      <w:proofErr w:type="spellEnd"/>
      <w:r w:rsidR="0008769A" w:rsidRPr="00666481">
        <w:rPr>
          <w:rFonts w:ascii="Book Antiqua" w:hAnsi="Book Antiqua"/>
          <w:i/>
          <w:iCs/>
          <w:lang w:val="es-ES"/>
        </w:rPr>
        <w:t xml:space="preserve"> REALTORS</w:t>
      </w:r>
      <w:r w:rsidR="0008769A" w:rsidRPr="00666481">
        <w:rPr>
          <w:rFonts w:ascii="Book Antiqua" w:hAnsi="Book Antiqua"/>
          <w:lang w:val="es-ES"/>
        </w:rPr>
        <w:t>.</w:t>
      </w:r>
      <w:r w:rsidR="006D5838" w:rsidRPr="00666481">
        <w:rPr>
          <w:rFonts w:ascii="Book Antiqua" w:hAnsi="Book Antiqua"/>
          <w:lang w:val="es-ES"/>
        </w:rPr>
        <w:t xml:space="preserve"> </w:t>
      </w:r>
    </w:p>
    <w:p w14:paraId="645A7A37" w14:textId="77777777" w:rsidR="00A52CD9" w:rsidRPr="00666481" w:rsidRDefault="00A52CD9" w:rsidP="00567D36">
      <w:pPr>
        <w:tabs>
          <w:tab w:val="left" w:pos="-720"/>
        </w:tabs>
        <w:suppressAutoHyphens/>
        <w:spacing w:line="276" w:lineRule="auto"/>
        <w:jc w:val="both"/>
        <w:rPr>
          <w:rFonts w:ascii="Book Antiqua" w:hAnsi="Book Antiqua"/>
          <w:b/>
          <w:bCs/>
          <w:u w:val="single"/>
          <w:lang w:val="es-ES"/>
        </w:rPr>
      </w:pPr>
    </w:p>
    <w:p w14:paraId="471B5547" w14:textId="28E74BD4" w:rsidR="00867243" w:rsidRPr="0054470C" w:rsidRDefault="0054470C" w:rsidP="00567D36">
      <w:pPr>
        <w:tabs>
          <w:tab w:val="left" w:pos="-720"/>
        </w:tabs>
        <w:suppressAutoHyphens/>
        <w:spacing w:line="276" w:lineRule="auto"/>
        <w:jc w:val="center"/>
        <w:rPr>
          <w:rFonts w:ascii="Book Antiqua" w:hAnsi="Book Antiqua"/>
          <w:b/>
          <w:bCs/>
          <w:lang w:val="es-ES"/>
        </w:rPr>
      </w:pPr>
      <w:r w:rsidRPr="0054470C">
        <w:rPr>
          <w:rFonts w:ascii="Book Antiqua" w:hAnsi="Book Antiqua"/>
          <w:b/>
          <w:bCs/>
          <w:lang w:val="es-ES"/>
        </w:rPr>
        <w:t>PUERTO RICO ASSOCIATION OF REALTORS</w:t>
      </w:r>
    </w:p>
    <w:p w14:paraId="133099BC" w14:textId="77777777" w:rsidR="0054470C" w:rsidRPr="0054470C" w:rsidRDefault="0054470C" w:rsidP="00567D36">
      <w:pPr>
        <w:tabs>
          <w:tab w:val="left" w:pos="-720"/>
        </w:tabs>
        <w:suppressAutoHyphens/>
        <w:spacing w:line="276" w:lineRule="auto"/>
        <w:jc w:val="both"/>
        <w:rPr>
          <w:rFonts w:ascii="Book Antiqua" w:hAnsi="Book Antiqua"/>
          <w:lang w:val="es-ES"/>
        </w:rPr>
      </w:pPr>
    </w:p>
    <w:p w14:paraId="59FCBAD8" w14:textId="70AE8E01" w:rsidR="00867243" w:rsidRDefault="00867243" w:rsidP="00567D36">
      <w:pPr>
        <w:tabs>
          <w:tab w:val="left" w:pos="-720"/>
        </w:tabs>
        <w:suppressAutoHyphens/>
        <w:spacing w:line="276" w:lineRule="auto"/>
        <w:jc w:val="both"/>
        <w:rPr>
          <w:rFonts w:ascii="Book Antiqua" w:hAnsi="Book Antiqua"/>
          <w:lang w:val="es-ES"/>
        </w:rPr>
      </w:pPr>
      <w:r w:rsidRPr="0054470C">
        <w:rPr>
          <w:rFonts w:ascii="Book Antiqua" w:hAnsi="Book Antiqua"/>
          <w:lang w:val="es-ES"/>
        </w:rPr>
        <w:tab/>
      </w:r>
      <w:r w:rsidRPr="00666481">
        <w:rPr>
          <w:rFonts w:ascii="Book Antiqua" w:hAnsi="Book Antiqua"/>
          <w:lang w:val="es-ES"/>
        </w:rPr>
        <w:t xml:space="preserve">La </w:t>
      </w:r>
      <w:r w:rsidR="0054470C" w:rsidRPr="00666481">
        <w:rPr>
          <w:rFonts w:ascii="Book Antiqua" w:hAnsi="Book Antiqua"/>
          <w:i/>
          <w:iCs/>
          <w:lang w:val="es-ES"/>
        </w:rPr>
        <w:t xml:space="preserve">Puerto Rico </w:t>
      </w:r>
      <w:proofErr w:type="spellStart"/>
      <w:r w:rsidR="0054470C" w:rsidRPr="00666481">
        <w:rPr>
          <w:rFonts w:ascii="Book Antiqua" w:hAnsi="Book Antiqua"/>
          <w:i/>
          <w:iCs/>
          <w:lang w:val="es-ES"/>
        </w:rPr>
        <w:t>Association</w:t>
      </w:r>
      <w:proofErr w:type="spellEnd"/>
      <w:r w:rsidR="0054470C" w:rsidRPr="00666481">
        <w:rPr>
          <w:rFonts w:ascii="Book Antiqua" w:hAnsi="Book Antiqua"/>
          <w:i/>
          <w:iCs/>
          <w:lang w:val="es-ES"/>
        </w:rPr>
        <w:t xml:space="preserve"> </w:t>
      </w:r>
      <w:proofErr w:type="spellStart"/>
      <w:r w:rsidR="0054470C" w:rsidRPr="00666481">
        <w:rPr>
          <w:rFonts w:ascii="Book Antiqua" w:hAnsi="Book Antiqua"/>
          <w:i/>
          <w:iCs/>
          <w:lang w:val="es-ES"/>
        </w:rPr>
        <w:t>of</w:t>
      </w:r>
      <w:proofErr w:type="spellEnd"/>
      <w:r w:rsidR="0054470C" w:rsidRPr="00666481">
        <w:rPr>
          <w:rFonts w:ascii="Book Antiqua" w:hAnsi="Book Antiqua"/>
          <w:i/>
          <w:iCs/>
          <w:lang w:val="es-ES"/>
        </w:rPr>
        <w:t xml:space="preserve"> REALTORS</w:t>
      </w:r>
      <w:r w:rsidR="0054470C" w:rsidRPr="00666481">
        <w:rPr>
          <w:rFonts w:ascii="Book Antiqua" w:hAnsi="Book Antiqua"/>
          <w:lang w:val="es-ES"/>
        </w:rPr>
        <w:t xml:space="preserve"> </w:t>
      </w:r>
      <w:r w:rsidR="009351B6" w:rsidRPr="00666481">
        <w:rPr>
          <w:rFonts w:ascii="Book Antiqua" w:hAnsi="Book Antiqua"/>
          <w:lang w:val="es-ES"/>
        </w:rPr>
        <w:t xml:space="preserve">expuso </w:t>
      </w:r>
      <w:r w:rsidR="0054470C">
        <w:rPr>
          <w:rFonts w:ascii="Book Antiqua" w:hAnsi="Book Antiqua"/>
          <w:lang w:val="es-ES"/>
        </w:rPr>
        <w:t>su respaldo al P. del C. 24</w:t>
      </w:r>
      <w:r w:rsidR="003A04CD">
        <w:rPr>
          <w:rFonts w:ascii="Book Antiqua" w:hAnsi="Book Antiqua"/>
          <w:lang w:val="es-ES"/>
        </w:rPr>
        <w:t xml:space="preserve">, </w:t>
      </w:r>
      <w:r w:rsidR="003A04CD" w:rsidRPr="003A04CD">
        <w:rPr>
          <w:rFonts w:ascii="Book Antiqua" w:hAnsi="Book Antiqua"/>
          <w:lang w:val="es-ES"/>
        </w:rPr>
        <w:t>puesto que</w:t>
      </w:r>
      <w:r w:rsidR="003A04CD">
        <w:rPr>
          <w:rFonts w:ascii="Book Antiqua" w:hAnsi="Book Antiqua"/>
          <w:lang w:val="es-ES"/>
        </w:rPr>
        <w:t xml:space="preserve"> </w:t>
      </w:r>
      <w:r w:rsidR="003A04CD" w:rsidRPr="003A04CD">
        <w:rPr>
          <w:rFonts w:ascii="Book Antiqua" w:hAnsi="Book Antiqua"/>
          <w:lang w:val="es-ES"/>
        </w:rPr>
        <w:t>propone restituir el lenguaje que estuvo vigente antes de la enmienda adversa que se originó en el</w:t>
      </w:r>
      <w:r w:rsidR="003A04CD">
        <w:rPr>
          <w:rFonts w:ascii="Book Antiqua" w:hAnsi="Book Antiqua"/>
          <w:lang w:val="es-ES"/>
        </w:rPr>
        <w:t xml:space="preserve"> </w:t>
      </w:r>
      <w:r w:rsidR="003A04CD" w:rsidRPr="003A04CD">
        <w:rPr>
          <w:rFonts w:ascii="Book Antiqua" w:hAnsi="Book Antiqua"/>
          <w:lang w:val="es-ES"/>
        </w:rPr>
        <w:t>2022.</w:t>
      </w:r>
      <w:r w:rsidR="00887111">
        <w:rPr>
          <w:rFonts w:ascii="Book Antiqua" w:hAnsi="Book Antiqua"/>
          <w:lang w:val="es-ES"/>
        </w:rPr>
        <w:t xml:space="preserve"> A juicio de esta entidad, </w:t>
      </w:r>
      <w:r w:rsidR="00887111" w:rsidRPr="00887111">
        <w:rPr>
          <w:rFonts w:ascii="Book Antiqua" w:hAnsi="Book Antiqua"/>
          <w:lang w:val="es-ES"/>
        </w:rPr>
        <w:t>no es necesario ni razonable aludir o hacer exigencia de un precio de</w:t>
      </w:r>
      <w:r w:rsidR="00887111">
        <w:rPr>
          <w:rFonts w:ascii="Book Antiqua" w:hAnsi="Book Antiqua"/>
          <w:lang w:val="es-ES"/>
        </w:rPr>
        <w:t xml:space="preserve"> </w:t>
      </w:r>
      <w:r w:rsidR="00887111" w:rsidRPr="00887111">
        <w:rPr>
          <w:rFonts w:ascii="Book Antiqua" w:hAnsi="Book Antiqua"/>
          <w:lang w:val="es-ES"/>
        </w:rPr>
        <w:t xml:space="preserve">tasación o estimado de valor, porque no todas </w:t>
      </w:r>
      <w:r w:rsidR="00887111" w:rsidRPr="00887111">
        <w:rPr>
          <w:rFonts w:ascii="Book Antiqua" w:hAnsi="Book Antiqua"/>
          <w:lang w:val="es-ES"/>
        </w:rPr>
        <w:lastRenderedPageBreak/>
        <w:t>las transacciones están sujetas a financiamientos</w:t>
      </w:r>
      <w:r w:rsidR="00887111">
        <w:rPr>
          <w:rFonts w:ascii="Book Antiqua" w:hAnsi="Book Antiqua"/>
          <w:lang w:val="es-ES"/>
        </w:rPr>
        <w:t xml:space="preserve"> </w:t>
      </w:r>
      <w:r w:rsidR="00887111" w:rsidRPr="00887111">
        <w:rPr>
          <w:rFonts w:ascii="Book Antiqua" w:hAnsi="Book Antiqua"/>
          <w:lang w:val="es-ES"/>
        </w:rPr>
        <w:t>bancarios y, por ende, hay transacciones validas que no tienen que estar sujetas a tasación, porque</w:t>
      </w:r>
      <w:r w:rsidR="00887111">
        <w:rPr>
          <w:rFonts w:ascii="Book Antiqua" w:hAnsi="Book Antiqua"/>
          <w:lang w:val="es-ES"/>
        </w:rPr>
        <w:t xml:space="preserve"> </w:t>
      </w:r>
      <w:r w:rsidR="00887111" w:rsidRPr="00887111">
        <w:rPr>
          <w:rFonts w:ascii="Book Antiqua" w:hAnsi="Book Antiqua"/>
          <w:lang w:val="es-ES"/>
        </w:rPr>
        <w:t>la libre voluntad de las partes puede producir un convenio o acuerdo sobre el valor de la propiedad</w:t>
      </w:r>
      <w:r w:rsidR="00887111">
        <w:rPr>
          <w:rFonts w:ascii="Book Antiqua" w:hAnsi="Book Antiqua"/>
          <w:lang w:val="es-ES"/>
        </w:rPr>
        <w:t xml:space="preserve"> </w:t>
      </w:r>
      <w:r w:rsidR="00887111" w:rsidRPr="00887111">
        <w:rPr>
          <w:rFonts w:ascii="Book Antiqua" w:hAnsi="Book Antiqua"/>
          <w:lang w:val="es-ES"/>
        </w:rPr>
        <w:t>que haga innecesario recurrir a una tasación o estimado de valor.</w:t>
      </w:r>
      <w:r w:rsidR="005E3135">
        <w:rPr>
          <w:rStyle w:val="FootnoteReference"/>
          <w:rFonts w:ascii="Book Antiqua" w:hAnsi="Book Antiqua"/>
          <w:lang w:val="es-ES"/>
        </w:rPr>
        <w:footnoteReference w:id="5"/>
      </w:r>
      <w:r w:rsidR="00887111">
        <w:rPr>
          <w:rFonts w:ascii="Book Antiqua" w:hAnsi="Book Antiqua"/>
          <w:lang w:val="es-ES"/>
        </w:rPr>
        <w:t xml:space="preserve"> Concurrimos con esta apreciación.</w:t>
      </w:r>
    </w:p>
    <w:p w14:paraId="25E7A41C" w14:textId="77777777" w:rsidR="004C4584" w:rsidRDefault="004C4584" w:rsidP="00567D36">
      <w:pPr>
        <w:tabs>
          <w:tab w:val="left" w:pos="-720"/>
        </w:tabs>
        <w:suppressAutoHyphens/>
        <w:spacing w:line="276" w:lineRule="auto"/>
        <w:jc w:val="both"/>
        <w:rPr>
          <w:rFonts w:ascii="Book Antiqua" w:hAnsi="Book Antiqua"/>
          <w:lang w:val="es-ES"/>
        </w:rPr>
      </w:pPr>
    </w:p>
    <w:p w14:paraId="4648C816" w14:textId="77777777" w:rsidR="004C4584" w:rsidRPr="004C4584" w:rsidRDefault="004C4584" w:rsidP="00567D36">
      <w:pPr>
        <w:tabs>
          <w:tab w:val="left" w:pos="-720"/>
        </w:tabs>
        <w:suppressAutoHyphens/>
        <w:spacing w:line="276" w:lineRule="auto"/>
        <w:jc w:val="center"/>
        <w:rPr>
          <w:rFonts w:ascii="Book Antiqua" w:hAnsi="Book Antiqua"/>
          <w:b/>
          <w:bCs/>
          <w:lang w:val="es-ES"/>
        </w:rPr>
      </w:pPr>
      <w:r w:rsidRPr="004C4584">
        <w:rPr>
          <w:rFonts w:ascii="Book Antiqua" w:hAnsi="Book Antiqua"/>
          <w:b/>
          <w:bCs/>
          <w:lang w:val="es-ES"/>
        </w:rPr>
        <w:t>OFICINA DE ADMINISTRACION DE LOS TRIBUNALES</w:t>
      </w:r>
    </w:p>
    <w:p w14:paraId="5B796665" w14:textId="77777777" w:rsidR="00567D36" w:rsidRDefault="004C4584" w:rsidP="00567D36">
      <w:pPr>
        <w:tabs>
          <w:tab w:val="left" w:pos="-720"/>
        </w:tabs>
        <w:suppressAutoHyphens/>
        <w:spacing w:line="276" w:lineRule="auto"/>
        <w:jc w:val="both"/>
        <w:rPr>
          <w:rFonts w:ascii="Book Antiqua" w:hAnsi="Book Antiqua"/>
          <w:lang w:val="es-ES"/>
        </w:rPr>
      </w:pPr>
      <w:r>
        <w:rPr>
          <w:rFonts w:ascii="Book Antiqua" w:hAnsi="Book Antiqua"/>
          <w:lang w:val="es-ES"/>
        </w:rPr>
        <w:tab/>
      </w:r>
    </w:p>
    <w:p w14:paraId="1A39CD6E" w14:textId="5B5A056F" w:rsidR="004C4584" w:rsidRPr="00666481" w:rsidRDefault="00567D36" w:rsidP="00567D36">
      <w:pPr>
        <w:tabs>
          <w:tab w:val="left" w:pos="-720"/>
        </w:tabs>
        <w:suppressAutoHyphens/>
        <w:spacing w:line="276" w:lineRule="auto"/>
        <w:jc w:val="both"/>
        <w:rPr>
          <w:rFonts w:ascii="Book Antiqua" w:hAnsi="Book Antiqua"/>
          <w:lang w:val="es-ES"/>
        </w:rPr>
      </w:pPr>
      <w:r>
        <w:rPr>
          <w:rFonts w:ascii="Book Antiqua" w:hAnsi="Book Antiqua"/>
          <w:lang w:val="es-ES"/>
        </w:rPr>
        <w:tab/>
      </w:r>
      <w:r w:rsidR="004C4584">
        <w:rPr>
          <w:rFonts w:ascii="Book Antiqua" w:hAnsi="Book Antiqua"/>
          <w:lang w:val="es-ES"/>
        </w:rPr>
        <w:t>Conforme al Informe Positivo del P. del S. 60, la</w:t>
      </w:r>
      <w:r w:rsidR="004C4584" w:rsidRPr="004C4584">
        <w:rPr>
          <w:rFonts w:ascii="Book Antiqua" w:hAnsi="Book Antiqua"/>
          <w:lang w:val="es-ES"/>
        </w:rPr>
        <w:t xml:space="preserve"> Oficina de Administración de los Tribunales (OAT) expresó que no tiene objeción </w:t>
      </w:r>
      <w:r w:rsidR="004C4584">
        <w:rPr>
          <w:rFonts w:ascii="Book Antiqua" w:hAnsi="Book Antiqua"/>
          <w:lang w:val="es-ES"/>
        </w:rPr>
        <w:t>a restituir</w:t>
      </w:r>
      <w:r w:rsidR="004C4584" w:rsidRPr="004C4584">
        <w:rPr>
          <w:rFonts w:ascii="Book Antiqua" w:hAnsi="Book Antiqua"/>
          <w:lang w:val="es-ES"/>
        </w:rPr>
        <w:t xml:space="preserve"> el lenguaje del Artículo 11 de la Ley Notarial de Puerto Rico a su versión anterior a la Ley 52-2022. Explicaron que la medida responde a la decisión del Tribunal de Primera Instancia, que declaró inconstitucional y nula la enmienda hecha por la Ley 52-2022 en el caso Asociación de Abogados de Puerto Rico v. Gobierno de Puerto Rico, Civil Núm. SJ20220V05905.</w:t>
      </w:r>
    </w:p>
    <w:p w14:paraId="35931FC5" w14:textId="77777777" w:rsidR="00940E84" w:rsidRPr="00666481" w:rsidRDefault="00940E84" w:rsidP="00567D36">
      <w:pPr>
        <w:tabs>
          <w:tab w:val="left" w:pos="-720"/>
        </w:tabs>
        <w:suppressAutoHyphens/>
        <w:spacing w:line="276" w:lineRule="auto"/>
        <w:jc w:val="both"/>
        <w:rPr>
          <w:rFonts w:ascii="Book Antiqua" w:hAnsi="Book Antiqua"/>
          <w:lang w:val="es-ES"/>
        </w:rPr>
      </w:pPr>
    </w:p>
    <w:p w14:paraId="302CAC3A" w14:textId="141F50AB" w:rsidR="00D13D23" w:rsidRPr="00666481" w:rsidRDefault="0096171F" w:rsidP="00567D36">
      <w:pPr>
        <w:tabs>
          <w:tab w:val="left" w:pos="-720"/>
        </w:tabs>
        <w:suppressAutoHyphens/>
        <w:spacing w:line="276" w:lineRule="auto"/>
        <w:ind w:firstLine="360"/>
        <w:jc w:val="center"/>
        <w:rPr>
          <w:rFonts w:ascii="Book Antiqua" w:hAnsi="Book Antiqua"/>
          <w:b/>
          <w:bCs/>
          <w:lang w:val="es-ES"/>
        </w:rPr>
      </w:pPr>
      <w:r w:rsidRPr="00666481">
        <w:rPr>
          <w:rFonts w:ascii="Book Antiqua" w:hAnsi="Book Antiqua"/>
          <w:b/>
          <w:bCs/>
          <w:lang w:val="es-ES"/>
        </w:rPr>
        <w:t>I</w:t>
      </w:r>
      <w:r w:rsidR="002C402D" w:rsidRPr="00666481">
        <w:rPr>
          <w:rFonts w:ascii="Book Antiqua" w:hAnsi="Book Antiqua"/>
          <w:b/>
          <w:bCs/>
          <w:lang w:val="es-ES"/>
        </w:rPr>
        <w:t>MPACTO FISCAL</w:t>
      </w:r>
      <w:r w:rsidR="00D13D23" w:rsidRPr="00666481">
        <w:rPr>
          <w:rFonts w:ascii="Book Antiqua" w:hAnsi="Book Antiqua"/>
          <w:b/>
          <w:bCs/>
          <w:lang w:val="es-ES"/>
        </w:rPr>
        <w:t xml:space="preserve"> MUNICIPAL </w:t>
      </w:r>
    </w:p>
    <w:p w14:paraId="144378DC" w14:textId="77777777" w:rsidR="000C52A1" w:rsidRPr="00666481" w:rsidRDefault="000C52A1" w:rsidP="00567D36">
      <w:pPr>
        <w:tabs>
          <w:tab w:val="left" w:pos="-720"/>
        </w:tabs>
        <w:suppressAutoHyphens/>
        <w:spacing w:line="276" w:lineRule="auto"/>
        <w:ind w:firstLine="360"/>
        <w:jc w:val="center"/>
        <w:rPr>
          <w:rFonts w:ascii="Book Antiqua" w:hAnsi="Book Antiqua"/>
          <w:b/>
          <w:bCs/>
          <w:lang w:val="es-ES"/>
        </w:rPr>
      </w:pPr>
    </w:p>
    <w:p w14:paraId="3CD7EB56" w14:textId="00F5FD2C" w:rsidR="002C402D" w:rsidRPr="00666481" w:rsidRDefault="004F6E72"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r>
      <w:r w:rsidR="00D13D23" w:rsidRPr="00666481">
        <w:rPr>
          <w:rFonts w:ascii="Book Antiqua" w:hAnsi="Book Antiqua"/>
          <w:lang w:val="es-ES"/>
        </w:rPr>
        <w:t xml:space="preserve">En cumplimiento con el Artículo 1.007 de la Ley Núm. 107–2020, según enmendada, conocida como “Código Municipal de Puerto Rico”, la </w:t>
      </w:r>
      <w:r w:rsidR="00BE6740" w:rsidRPr="00666481">
        <w:rPr>
          <w:rFonts w:ascii="Book Antiqua" w:hAnsi="Book Antiqua"/>
          <w:spacing w:val="-3"/>
          <w:lang w:val="es-ES"/>
        </w:rPr>
        <w:t>Comisión de lo Jurídico del Senado de Puerto Rico</w:t>
      </w:r>
      <w:r w:rsidR="00BE6740" w:rsidRPr="00666481">
        <w:rPr>
          <w:rFonts w:ascii="Book Antiqua" w:hAnsi="Book Antiqua"/>
          <w:lang w:val="es-ES"/>
        </w:rPr>
        <w:t xml:space="preserve"> </w:t>
      </w:r>
      <w:r w:rsidRPr="00666481">
        <w:rPr>
          <w:rFonts w:ascii="Book Antiqua" w:hAnsi="Book Antiqua"/>
          <w:lang w:val="es-ES"/>
        </w:rPr>
        <w:t xml:space="preserve">certifica que el </w:t>
      </w:r>
      <w:r w:rsidR="005E3135">
        <w:rPr>
          <w:rFonts w:ascii="Book Antiqua" w:hAnsi="Book Antiqua"/>
          <w:lang w:val="es-ES"/>
        </w:rPr>
        <w:t>P. de la C. 24</w:t>
      </w:r>
      <w:r w:rsidR="00201567" w:rsidRPr="00666481">
        <w:rPr>
          <w:rFonts w:ascii="Book Antiqua" w:hAnsi="Book Antiqua"/>
          <w:lang w:val="es-ES"/>
        </w:rPr>
        <w:t xml:space="preserve"> </w:t>
      </w:r>
      <w:r w:rsidR="00D13D23" w:rsidRPr="00666481">
        <w:rPr>
          <w:rFonts w:ascii="Book Antiqua" w:hAnsi="Book Antiqua"/>
          <w:lang w:val="es-ES"/>
        </w:rPr>
        <w:t>no impone una obligación económica en el presupuesto</w:t>
      </w:r>
      <w:r w:rsidR="00946BB4" w:rsidRPr="00666481">
        <w:rPr>
          <w:rFonts w:ascii="Book Antiqua" w:hAnsi="Book Antiqua"/>
          <w:lang w:val="es-ES"/>
        </w:rPr>
        <w:t xml:space="preserve"> de los gobiernos municipales. </w:t>
      </w:r>
    </w:p>
    <w:p w14:paraId="426C19E9" w14:textId="77777777" w:rsidR="00946BB4" w:rsidRPr="00666481" w:rsidRDefault="00946BB4" w:rsidP="00567D36">
      <w:pPr>
        <w:tabs>
          <w:tab w:val="left" w:pos="-720"/>
        </w:tabs>
        <w:suppressAutoHyphens/>
        <w:spacing w:line="276" w:lineRule="auto"/>
        <w:ind w:firstLine="360"/>
        <w:jc w:val="both"/>
        <w:rPr>
          <w:rFonts w:ascii="Book Antiqua" w:hAnsi="Book Antiqua"/>
          <w:lang w:val="es-ES"/>
        </w:rPr>
      </w:pPr>
    </w:p>
    <w:p w14:paraId="482AC70D" w14:textId="77777777" w:rsidR="0096171F" w:rsidRPr="00666481" w:rsidRDefault="0096171F" w:rsidP="00567D36">
      <w:pPr>
        <w:tabs>
          <w:tab w:val="left" w:pos="-720"/>
        </w:tabs>
        <w:suppressAutoHyphens/>
        <w:spacing w:line="276" w:lineRule="auto"/>
        <w:ind w:firstLine="360"/>
        <w:jc w:val="center"/>
        <w:rPr>
          <w:rFonts w:ascii="Book Antiqua" w:hAnsi="Book Antiqua"/>
          <w:b/>
          <w:bCs/>
          <w:lang w:val="es-ES"/>
        </w:rPr>
      </w:pPr>
      <w:r w:rsidRPr="00666481">
        <w:rPr>
          <w:rFonts w:ascii="Book Antiqua" w:hAnsi="Book Antiqua"/>
          <w:b/>
          <w:bCs/>
          <w:lang w:val="es-ES"/>
        </w:rPr>
        <w:t>C</w:t>
      </w:r>
      <w:r w:rsidR="002C402D" w:rsidRPr="00666481">
        <w:rPr>
          <w:rFonts w:ascii="Book Antiqua" w:hAnsi="Book Antiqua"/>
          <w:b/>
          <w:bCs/>
          <w:lang w:val="es-ES"/>
        </w:rPr>
        <w:t xml:space="preserve">ONCLUSIÓN </w:t>
      </w:r>
    </w:p>
    <w:p w14:paraId="040801D3" w14:textId="77777777" w:rsidR="000C52A1" w:rsidRPr="00666481" w:rsidRDefault="000C52A1" w:rsidP="00567D36">
      <w:pPr>
        <w:tabs>
          <w:tab w:val="left" w:pos="-720"/>
        </w:tabs>
        <w:suppressAutoHyphens/>
        <w:spacing w:line="276" w:lineRule="auto"/>
        <w:ind w:firstLine="360"/>
        <w:jc w:val="center"/>
        <w:rPr>
          <w:rFonts w:ascii="Book Antiqua" w:hAnsi="Book Antiqua"/>
          <w:b/>
          <w:bCs/>
          <w:lang w:val="es-ES"/>
        </w:rPr>
      </w:pPr>
    </w:p>
    <w:p w14:paraId="2D81B2DA" w14:textId="6411E2FA" w:rsidR="000B071A" w:rsidRPr="000E198F" w:rsidRDefault="00006DDC"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ab/>
        <w:t xml:space="preserve">La </w:t>
      </w:r>
      <w:r w:rsidR="00F86C0C" w:rsidRPr="00666481">
        <w:rPr>
          <w:rFonts w:ascii="Book Antiqua" w:hAnsi="Book Antiqua"/>
          <w:spacing w:val="-3"/>
          <w:lang w:val="es-ES"/>
        </w:rPr>
        <w:t>Comisión de lo Jurídico del Senado de Puerto Rico</w:t>
      </w:r>
      <w:r w:rsidR="006C283C" w:rsidRPr="00666481">
        <w:rPr>
          <w:rFonts w:ascii="Book Antiqua" w:hAnsi="Book Antiqua"/>
          <w:lang w:val="es-ES"/>
        </w:rPr>
        <w:t xml:space="preserve"> </w:t>
      </w:r>
      <w:r w:rsidR="004F6E72" w:rsidRPr="00666481">
        <w:rPr>
          <w:rFonts w:ascii="Book Antiqua" w:hAnsi="Book Antiqua"/>
          <w:lang w:val="es-ES"/>
        </w:rPr>
        <w:t xml:space="preserve">efectuó un análisis minucioso </w:t>
      </w:r>
      <w:r w:rsidR="00201567" w:rsidRPr="00666481">
        <w:rPr>
          <w:rFonts w:ascii="Book Antiqua" w:hAnsi="Book Antiqua"/>
          <w:lang w:val="es-ES"/>
        </w:rPr>
        <w:t xml:space="preserve">del P. </w:t>
      </w:r>
      <w:r w:rsidR="004C4584">
        <w:rPr>
          <w:rFonts w:ascii="Book Antiqua" w:hAnsi="Book Antiqua"/>
          <w:lang w:val="es-ES"/>
        </w:rPr>
        <w:t>de la C. 24,</w:t>
      </w:r>
      <w:r w:rsidR="00B702A0" w:rsidRPr="00666481">
        <w:rPr>
          <w:rFonts w:ascii="Book Antiqua" w:hAnsi="Book Antiqua"/>
          <w:lang w:val="es-ES"/>
        </w:rPr>
        <w:t xml:space="preserve"> según fue referid</w:t>
      </w:r>
      <w:r w:rsidR="00201567" w:rsidRPr="00666481">
        <w:rPr>
          <w:rFonts w:ascii="Book Antiqua" w:hAnsi="Book Antiqua"/>
          <w:lang w:val="es-ES"/>
        </w:rPr>
        <w:t>o</w:t>
      </w:r>
      <w:r w:rsidR="001D12A7" w:rsidRPr="00666481">
        <w:rPr>
          <w:rFonts w:ascii="Book Antiqua" w:hAnsi="Book Antiqua"/>
          <w:lang w:val="es-ES"/>
        </w:rPr>
        <w:t>,</w:t>
      </w:r>
      <w:r w:rsidR="00B702A0" w:rsidRPr="00666481">
        <w:rPr>
          <w:rFonts w:ascii="Book Antiqua" w:hAnsi="Book Antiqua"/>
          <w:lang w:val="es-ES"/>
        </w:rPr>
        <w:t xml:space="preserve"> también analiz</w:t>
      </w:r>
      <w:r w:rsidR="005354C6" w:rsidRPr="00666481">
        <w:rPr>
          <w:rFonts w:ascii="Book Antiqua" w:hAnsi="Book Antiqua"/>
          <w:lang w:val="es-ES"/>
        </w:rPr>
        <w:t>ó</w:t>
      </w:r>
      <w:r w:rsidR="00B702A0" w:rsidRPr="00666481">
        <w:rPr>
          <w:rFonts w:ascii="Book Antiqua" w:hAnsi="Book Antiqua"/>
          <w:lang w:val="es-ES"/>
        </w:rPr>
        <w:t xml:space="preserve"> </w:t>
      </w:r>
      <w:r w:rsidR="004C4584">
        <w:rPr>
          <w:rFonts w:ascii="Book Antiqua" w:hAnsi="Book Antiqua"/>
          <w:lang w:val="es-ES"/>
        </w:rPr>
        <w:t xml:space="preserve">la Ley Notarial de Puerto Rico, la sentencia en el caso </w:t>
      </w:r>
      <w:r w:rsidR="000E198F">
        <w:rPr>
          <w:rFonts w:ascii="Book Antiqua" w:hAnsi="Book Antiqua"/>
          <w:lang w:val="es-ES"/>
        </w:rPr>
        <w:t xml:space="preserve">de </w:t>
      </w:r>
      <w:proofErr w:type="spellStart"/>
      <w:r w:rsidR="000E198F" w:rsidRPr="00567D36">
        <w:rPr>
          <w:rFonts w:ascii="Book Antiqua" w:hAnsi="Book Antiqua"/>
          <w:i/>
          <w:iCs/>
        </w:rPr>
        <w:t>Asociación</w:t>
      </w:r>
      <w:proofErr w:type="spellEnd"/>
      <w:r w:rsidR="000E198F" w:rsidRPr="00567D36">
        <w:rPr>
          <w:rFonts w:ascii="Book Antiqua" w:hAnsi="Book Antiqua"/>
          <w:i/>
          <w:iCs/>
        </w:rPr>
        <w:t xml:space="preserve"> de Abogados de Puerto Rico v. Gobierno de Puerto Rico</w:t>
      </w:r>
      <w:r w:rsidR="000E198F" w:rsidRPr="00687B50">
        <w:rPr>
          <w:rFonts w:ascii="Book Antiqua" w:hAnsi="Book Antiqua"/>
        </w:rPr>
        <w:t xml:space="preserve">, Civil </w:t>
      </w:r>
      <w:proofErr w:type="spellStart"/>
      <w:r w:rsidR="000E198F" w:rsidRPr="00687B50">
        <w:rPr>
          <w:rFonts w:ascii="Book Antiqua" w:hAnsi="Book Antiqua"/>
        </w:rPr>
        <w:t>Núm</w:t>
      </w:r>
      <w:proofErr w:type="spellEnd"/>
      <w:r w:rsidR="000E198F" w:rsidRPr="00687B50">
        <w:rPr>
          <w:rFonts w:ascii="Book Antiqua" w:hAnsi="Book Antiqua"/>
        </w:rPr>
        <w:t xml:space="preserve">. </w:t>
      </w:r>
      <w:r w:rsidR="000E198F" w:rsidRPr="000E198F">
        <w:rPr>
          <w:rFonts w:ascii="Book Antiqua" w:hAnsi="Book Antiqua"/>
          <w:lang w:val="es-ES"/>
        </w:rPr>
        <w:t>SJ2022CV05905 (907), el I</w:t>
      </w:r>
      <w:r w:rsidR="000E198F">
        <w:rPr>
          <w:rFonts w:ascii="Book Antiqua" w:hAnsi="Book Antiqua"/>
          <w:lang w:val="es-ES"/>
        </w:rPr>
        <w:t xml:space="preserve">nforme Positivo del P. del S. 60 (medida equivalente al P. de la C. 24) y el memorial recibido. </w:t>
      </w:r>
    </w:p>
    <w:p w14:paraId="7BDD79F8" w14:textId="583C4530" w:rsidR="00A12823" w:rsidRPr="00666481" w:rsidRDefault="000B071A"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lang w:val="es-ES"/>
        </w:rPr>
        <w:t xml:space="preserve">La </w:t>
      </w:r>
      <w:r w:rsidR="008F717C" w:rsidRPr="00666481">
        <w:rPr>
          <w:rFonts w:ascii="Book Antiqua" w:hAnsi="Book Antiqua"/>
          <w:lang w:val="es-ES"/>
        </w:rPr>
        <w:t xml:space="preserve">Comisión </w:t>
      </w:r>
      <w:r w:rsidRPr="00666481">
        <w:rPr>
          <w:rFonts w:ascii="Book Antiqua" w:hAnsi="Book Antiqua"/>
          <w:spacing w:val="-3"/>
          <w:lang w:val="es-ES"/>
        </w:rPr>
        <w:t xml:space="preserve">de lo Jurídico </w:t>
      </w:r>
      <w:r w:rsidR="00552B8A" w:rsidRPr="00666481">
        <w:rPr>
          <w:rFonts w:ascii="Book Antiqua" w:hAnsi="Book Antiqua"/>
          <w:lang w:val="es-ES"/>
        </w:rPr>
        <w:t>coincide en que</w:t>
      </w:r>
      <w:r w:rsidRPr="00666481">
        <w:rPr>
          <w:rFonts w:ascii="Book Antiqua" w:hAnsi="Book Antiqua"/>
          <w:lang w:val="es-ES"/>
        </w:rPr>
        <w:t xml:space="preserve"> </w:t>
      </w:r>
      <w:r w:rsidR="00567D36">
        <w:rPr>
          <w:rFonts w:ascii="Book Antiqua" w:hAnsi="Book Antiqua"/>
          <w:lang w:val="es-ES"/>
        </w:rPr>
        <w:t>el P. de la C. 24 procura r</w:t>
      </w:r>
      <w:r w:rsidR="00567D36" w:rsidRPr="00567D36">
        <w:rPr>
          <w:rFonts w:ascii="Book Antiqua" w:hAnsi="Book Antiqua"/>
          <w:lang w:val="es-ES"/>
        </w:rPr>
        <w:t>estaurar el régimen normativo original en cuanto a las planillas informativas vinculadas a la segregación, agrupación y traslado de bienes inmuebles</w:t>
      </w:r>
      <w:r w:rsidR="00567D36">
        <w:rPr>
          <w:rFonts w:ascii="Book Antiqua" w:hAnsi="Book Antiqua"/>
          <w:lang w:val="es-ES"/>
        </w:rPr>
        <w:t xml:space="preserve"> en Puerto Rico</w:t>
      </w:r>
      <w:r w:rsidR="00567D36" w:rsidRPr="00567D36">
        <w:rPr>
          <w:rFonts w:ascii="Book Antiqua" w:hAnsi="Book Antiqua"/>
          <w:lang w:val="es-ES"/>
        </w:rPr>
        <w:t>. Con esta medida, se procura garantizar que los notarios puedan cumplir cabalmente con sus responsabilidades conforme a la legislación vigente, sin enfrentar complicaciones derivadas de enmiendas ajenas al ámbito notarial.</w:t>
      </w:r>
    </w:p>
    <w:p w14:paraId="12984714" w14:textId="77777777" w:rsidR="000B071A" w:rsidRPr="00666481" w:rsidRDefault="000B071A" w:rsidP="00567D36">
      <w:pPr>
        <w:tabs>
          <w:tab w:val="left" w:pos="-720"/>
        </w:tabs>
        <w:suppressAutoHyphens/>
        <w:spacing w:line="276" w:lineRule="auto"/>
        <w:ind w:firstLine="360"/>
        <w:jc w:val="both"/>
        <w:rPr>
          <w:rFonts w:ascii="Book Antiqua" w:hAnsi="Book Antiqua"/>
          <w:b/>
          <w:bCs/>
          <w:lang w:val="es-ES"/>
        </w:rPr>
      </w:pPr>
    </w:p>
    <w:p w14:paraId="7885E90D" w14:textId="18E1CD8B" w:rsidR="00DF45DC" w:rsidRPr="00666481" w:rsidRDefault="0096171F" w:rsidP="00567D36">
      <w:pPr>
        <w:tabs>
          <w:tab w:val="left" w:pos="-720"/>
        </w:tabs>
        <w:suppressAutoHyphens/>
        <w:spacing w:line="276" w:lineRule="auto"/>
        <w:ind w:firstLine="360"/>
        <w:jc w:val="both"/>
        <w:rPr>
          <w:rFonts w:ascii="Book Antiqua" w:hAnsi="Book Antiqua"/>
          <w:lang w:val="es-ES"/>
        </w:rPr>
      </w:pPr>
      <w:r w:rsidRPr="00666481">
        <w:rPr>
          <w:rFonts w:ascii="Book Antiqua" w:hAnsi="Book Antiqua"/>
          <w:b/>
          <w:bCs/>
          <w:lang w:val="es-ES"/>
        </w:rPr>
        <w:t>POR TODO LO ANTES EXPUESTO</w:t>
      </w:r>
      <w:r w:rsidRPr="00666481">
        <w:rPr>
          <w:rFonts w:ascii="Book Antiqua" w:hAnsi="Book Antiqua"/>
          <w:lang w:val="es-ES"/>
        </w:rPr>
        <w:t xml:space="preserve">, la </w:t>
      </w:r>
      <w:r w:rsidR="001D12A7" w:rsidRPr="00666481">
        <w:rPr>
          <w:rFonts w:ascii="Book Antiqua" w:hAnsi="Book Antiqua"/>
          <w:spacing w:val="-3"/>
          <w:lang w:val="es-ES"/>
        </w:rPr>
        <w:t>Comisión de lo Jurídico del Senado de Puerto Rico</w:t>
      </w:r>
      <w:r w:rsidR="001D12A7" w:rsidRPr="00666481">
        <w:rPr>
          <w:rFonts w:ascii="Book Antiqua" w:hAnsi="Book Antiqua"/>
          <w:lang w:val="es-ES"/>
        </w:rPr>
        <w:t xml:space="preserve"> </w:t>
      </w:r>
      <w:r w:rsidR="00006DDC" w:rsidRPr="00666481">
        <w:rPr>
          <w:rFonts w:ascii="Book Antiqua" w:hAnsi="Book Antiqua"/>
          <w:lang w:val="es-ES"/>
        </w:rPr>
        <w:t xml:space="preserve">tiene a bien presentar ante este Alto Cuerpo el Informe Positivo sobre el </w:t>
      </w:r>
      <w:r w:rsidR="0077453C">
        <w:rPr>
          <w:rFonts w:ascii="Book Antiqua" w:hAnsi="Book Antiqua"/>
          <w:b/>
          <w:bCs/>
          <w:lang w:val="es-ES"/>
        </w:rPr>
        <w:t>Proyecto de la Cámara 24,</w:t>
      </w:r>
      <w:r w:rsidR="00006DDC" w:rsidRPr="00666481">
        <w:rPr>
          <w:rFonts w:ascii="Book Antiqua" w:hAnsi="Book Antiqua"/>
          <w:lang w:val="es-ES"/>
        </w:rPr>
        <w:t xml:space="preserve"> recomendando su aprobación </w:t>
      </w:r>
      <w:r w:rsidR="0077453C" w:rsidRPr="00C41342">
        <w:rPr>
          <w:rFonts w:ascii="Book Antiqua" w:hAnsi="Book Antiqua"/>
          <w:spacing w:val="-3"/>
          <w:lang w:val="es-ES"/>
        </w:rPr>
        <w:t>con las enmiendas contenidas en el entirillado electrónico que se acompaña</w:t>
      </w:r>
      <w:r w:rsidR="0077453C">
        <w:rPr>
          <w:rFonts w:ascii="Book Antiqua" w:hAnsi="Book Antiqua"/>
          <w:spacing w:val="-3"/>
          <w:lang w:val="es-ES"/>
        </w:rPr>
        <w:t>.</w:t>
      </w:r>
    </w:p>
    <w:p w14:paraId="02F3C812" w14:textId="77777777" w:rsidR="006861CE" w:rsidRPr="00666481" w:rsidRDefault="006861CE" w:rsidP="00567D36">
      <w:pPr>
        <w:tabs>
          <w:tab w:val="left" w:pos="-720"/>
        </w:tabs>
        <w:suppressAutoHyphens/>
        <w:spacing w:line="276" w:lineRule="auto"/>
        <w:rPr>
          <w:rFonts w:ascii="Book Antiqua" w:hAnsi="Book Antiqua"/>
          <w:lang w:val="es-ES"/>
        </w:rPr>
      </w:pPr>
    </w:p>
    <w:p w14:paraId="10325F5D" w14:textId="2225106C" w:rsidR="00006DDC" w:rsidRPr="00666481" w:rsidRDefault="002C402D" w:rsidP="00567D36">
      <w:pPr>
        <w:tabs>
          <w:tab w:val="left" w:pos="-720"/>
        </w:tabs>
        <w:suppressAutoHyphens/>
        <w:spacing w:line="276" w:lineRule="auto"/>
        <w:rPr>
          <w:rFonts w:ascii="Book Antiqua" w:hAnsi="Book Antiqua"/>
          <w:lang w:val="es-ES"/>
        </w:rPr>
      </w:pPr>
      <w:r w:rsidRPr="00666481">
        <w:rPr>
          <w:rFonts w:ascii="Book Antiqua" w:hAnsi="Book Antiqua"/>
          <w:lang w:val="es-ES"/>
        </w:rPr>
        <w:t xml:space="preserve">Respetuosamente sometido, </w:t>
      </w:r>
    </w:p>
    <w:p w14:paraId="2444C5B2" w14:textId="77777777" w:rsidR="00552B8A" w:rsidRPr="00666481" w:rsidRDefault="00552B8A" w:rsidP="00567D36">
      <w:pPr>
        <w:tabs>
          <w:tab w:val="left" w:pos="-720"/>
        </w:tabs>
        <w:suppressAutoHyphens/>
        <w:spacing w:line="276" w:lineRule="auto"/>
        <w:ind w:firstLine="360"/>
        <w:rPr>
          <w:rFonts w:ascii="Book Antiqua" w:hAnsi="Book Antiqua"/>
          <w:lang w:val="es-ES"/>
        </w:rPr>
      </w:pPr>
    </w:p>
    <w:p w14:paraId="0F282600" w14:textId="77777777" w:rsidR="00242E80" w:rsidRPr="00666481" w:rsidRDefault="00242E80" w:rsidP="00567D36">
      <w:pPr>
        <w:tabs>
          <w:tab w:val="left" w:pos="-720"/>
        </w:tabs>
        <w:suppressAutoHyphens/>
        <w:spacing w:line="276" w:lineRule="auto"/>
        <w:rPr>
          <w:rFonts w:ascii="Book Antiqua" w:hAnsi="Book Antiqua"/>
          <w:b/>
          <w:bCs/>
          <w:lang w:val="es-ES"/>
        </w:rPr>
      </w:pPr>
    </w:p>
    <w:p w14:paraId="6AE93B69" w14:textId="6641F2FE" w:rsidR="00AB2E69" w:rsidRPr="00666481" w:rsidRDefault="00D8699D" w:rsidP="00567D36">
      <w:pPr>
        <w:tabs>
          <w:tab w:val="left" w:pos="-720"/>
        </w:tabs>
        <w:suppressAutoHyphens/>
        <w:spacing w:line="276" w:lineRule="auto"/>
        <w:rPr>
          <w:rFonts w:ascii="Book Antiqua" w:hAnsi="Book Antiqua"/>
          <w:b/>
          <w:bCs/>
          <w:lang w:val="es-ES"/>
        </w:rPr>
      </w:pPr>
      <w:proofErr w:type="spellStart"/>
      <w:r w:rsidRPr="00666481">
        <w:rPr>
          <w:rFonts w:ascii="Book Antiqua" w:hAnsi="Book Antiqua"/>
          <w:b/>
          <w:bCs/>
          <w:lang w:val="es-ES"/>
        </w:rPr>
        <w:t>Hon</w:t>
      </w:r>
      <w:proofErr w:type="spellEnd"/>
      <w:r w:rsidRPr="00666481">
        <w:rPr>
          <w:rFonts w:ascii="Book Antiqua" w:hAnsi="Book Antiqua"/>
          <w:b/>
          <w:bCs/>
          <w:lang w:val="es-ES"/>
        </w:rPr>
        <w:t xml:space="preserve">. </w:t>
      </w:r>
      <w:r w:rsidR="001D12A7" w:rsidRPr="00666481">
        <w:rPr>
          <w:rFonts w:ascii="Book Antiqua" w:hAnsi="Book Antiqua"/>
          <w:b/>
          <w:bCs/>
          <w:lang w:val="es-ES"/>
        </w:rPr>
        <w:t>Ángel A. Toledo López</w:t>
      </w:r>
    </w:p>
    <w:p w14:paraId="1665555A" w14:textId="77777777" w:rsidR="004F6E72" w:rsidRPr="00666481" w:rsidRDefault="00AB2E69" w:rsidP="00567D36">
      <w:pPr>
        <w:tabs>
          <w:tab w:val="left" w:pos="-720"/>
        </w:tabs>
        <w:suppressAutoHyphens/>
        <w:spacing w:line="276" w:lineRule="auto"/>
        <w:rPr>
          <w:rFonts w:ascii="Book Antiqua" w:hAnsi="Book Antiqua"/>
          <w:lang w:val="es-ES"/>
        </w:rPr>
      </w:pPr>
      <w:r w:rsidRPr="00666481">
        <w:rPr>
          <w:rFonts w:ascii="Book Antiqua" w:hAnsi="Book Antiqua"/>
          <w:lang w:val="es-ES"/>
        </w:rPr>
        <w:t>Presidente</w:t>
      </w:r>
    </w:p>
    <w:p w14:paraId="3FF3D27A" w14:textId="77777777" w:rsidR="001D12A7" w:rsidRPr="00666481" w:rsidRDefault="001D12A7" w:rsidP="00567D36">
      <w:pPr>
        <w:tabs>
          <w:tab w:val="left" w:pos="-720"/>
        </w:tabs>
        <w:suppressAutoHyphens/>
        <w:spacing w:line="276" w:lineRule="auto"/>
        <w:rPr>
          <w:rFonts w:ascii="Book Antiqua" w:hAnsi="Book Antiqua"/>
          <w:spacing w:val="-3"/>
          <w:lang w:val="es-ES"/>
        </w:rPr>
      </w:pPr>
      <w:r w:rsidRPr="00666481">
        <w:rPr>
          <w:rFonts w:ascii="Book Antiqua" w:hAnsi="Book Antiqua"/>
          <w:spacing w:val="-3"/>
          <w:lang w:val="es-ES"/>
        </w:rPr>
        <w:t xml:space="preserve">Comisión de lo Jurídico </w:t>
      </w:r>
    </w:p>
    <w:p w14:paraId="13BD9EC9" w14:textId="2EC578B6" w:rsidR="000B3411" w:rsidRPr="00567D36" w:rsidRDefault="001D12A7" w:rsidP="00567D36">
      <w:pPr>
        <w:tabs>
          <w:tab w:val="left" w:pos="-720"/>
        </w:tabs>
        <w:suppressAutoHyphens/>
        <w:spacing w:line="276" w:lineRule="auto"/>
        <w:rPr>
          <w:rFonts w:ascii="Book Antiqua" w:hAnsi="Book Antiqua"/>
          <w:spacing w:val="-3"/>
          <w:lang w:val="es-ES"/>
        </w:rPr>
      </w:pPr>
      <w:r w:rsidRPr="00666481">
        <w:rPr>
          <w:rFonts w:ascii="Book Antiqua" w:hAnsi="Book Antiqua"/>
          <w:spacing w:val="-3"/>
          <w:lang w:val="es-ES"/>
        </w:rPr>
        <w:t>Senado de Puerto Rico</w:t>
      </w:r>
    </w:p>
    <w:sectPr w:rsidR="000B3411" w:rsidRPr="00567D36"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A91D" w14:textId="77777777" w:rsidR="00BD3AEA" w:rsidRDefault="00BD3AEA">
      <w:r>
        <w:separator/>
      </w:r>
    </w:p>
  </w:endnote>
  <w:endnote w:type="continuationSeparator" w:id="0">
    <w:p w14:paraId="088A570D" w14:textId="77777777" w:rsidR="00BD3AEA" w:rsidRDefault="00BD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FA945" w14:textId="77777777" w:rsidR="00BD3AEA" w:rsidRDefault="00BD3AEA">
      <w:r>
        <w:separator/>
      </w:r>
    </w:p>
  </w:footnote>
  <w:footnote w:type="continuationSeparator" w:id="0">
    <w:p w14:paraId="45B9A12B" w14:textId="77777777" w:rsidR="00BD3AEA" w:rsidRDefault="00BD3AEA">
      <w:r>
        <w:continuationSeparator/>
      </w:r>
    </w:p>
  </w:footnote>
  <w:footnote w:id="1">
    <w:p w14:paraId="3CD5A1F1" w14:textId="0439650C" w:rsidR="001D74A8" w:rsidRPr="005E3135" w:rsidRDefault="001D74A8" w:rsidP="005E3135">
      <w:pPr>
        <w:pStyle w:val="FootnoteText"/>
        <w:jc w:val="both"/>
        <w:rPr>
          <w:rFonts w:ascii="Book Antiqua" w:hAnsi="Book Antiqua"/>
        </w:rPr>
      </w:pPr>
      <w:r w:rsidRPr="005E3135">
        <w:rPr>
          <w:rStyle w:val="FootnoteReference"/>
          <w:rFonts w:ascii="Book Antiqua" w:hAnsi="Book Antiqua"/>
        </w:rPr>
        <w:footnoteRef/>
      </w:r>
      <w:r w:rsidRPr="005E3135">
        <w:rPr>
          <w:rFonts w:ascii="Book Antiqua" w:hAnsi="Book Antiqua"/>
          <w:lang w:val="es-ES"/>
        </w:rPr>
        <w:t xml:space="preserve"> </w:t>
      </w:r>
      <w:r w:rsidRPr="005E3135">
        <w:rPr>
          <w:rFonts w:ascii="Book Antiqua" w:hAnsi="Book Antiqua"/>
          <w:i/>
          <w:iCs/>
          <w:lang w:val="es-ES"/>
        </w:rPr>
        <w:t>Véase</w:t>
      </w:r>
      <w:r w:rsidRPr="005E3135">
        <w:rPr>
          <w:rFonts w:ascii="Book Antiqua" w:hAnsi="Book Antiqua"/>
          <w:lang w:val="es-ES"/>
        </w:rPr>
        <w:t xml:space="preserve"> Asociación de Abogados de Puerto Rico v. Gobierno de Puerto Rico, Civil Núm. </w:t>
      </w:r>
      <w:r w:rsidRPr="005E3135">
        <w:rPr>
          <w:rFonts w:ascii="Book Antiqua" w:hAnsi="Book Antiqua"/>
        </w:rPr>
        <w:t>SJ2022CV05905 (907).</w:t>
      </w:r>
    </w:p>
  </w:footnote>
  <w:footnote w:id="2">
    <w:p w14:paraId="710FAA09" w14:textId="1D052002" w:rsidR="000348A5" w:rsidRPr="005E3135" w:rsidRDefault="000348A5" w:rsidP="005E3135">
      <w:pPr>
        <w:pStyle w:val="FootnoteText"/>
        <w:jc w:val="both"/>
        <w:rPr>
          <w:rFonts w:ascii="Book Antiqua" w:hAnsi="Book Antiqua"/>
          <w:lang w:val="es-ES"/>
        </w:rPr>
      </w:pPr>
      <w:r w:rsidRPr="005E3135">
        <w:rPr>
          <w:rStyle w:val="FootnoteReference"/>
          <w:rFonts w:ascii="Book Antiqua" w:hAnsi="Book Antiqua"/>
        </w:rPr>
        <w:footnoteRef/>
      </w:r>
      <w:r w:rsidRPr="005E3135">
        <w:rPr>
          <w:rFonts w:ascii="Book Antiqua" w:hAnsi="Book Antiqua"/>
          <w:lang w:val="es-ES"/>
        </w:rPr>
        <w:t xml:space="preserve"> </w:t>
      </w:r>
      <w:r w:rsidRPr="005E3135">
        <w:rPr>
          <w:rFonts w:ascii="Book Antiqua" w:hAnsi="Book Antiqua"/>
          <w:i/>
          <w:iCs/>
          <w:lang w:val="es-ES"/>
        </w:rPr>
        <w:t>Véase</w:t>
      </w:r>
      <w:r w:rsidRPr="005E3135">
        <w:rPr>
          <w:rFonts w:ascii="Book Antiqua" w:hAnsi="Book Antiqua"/>
          <w:lang w:val="es-ES"/>
        </w:rPr>
        <w:t xml:space="preserve"> Departamento de Hacienda, </w:t>
      </w:r>
      <w:r w:rsidRPr="005E3135">
        <w:rPr>
          <w:rFonts w:ascii="Book Antiqua" w:hAnsi="Book Antiqua"/>
          <w:i/>
          <w:iCs/>
          <w:lang w:val="es-ES"/>
        </w:rPr>
        <w:t>Boletín Informativo de Rentas Internas Núm. 22-09</w:t>
      </w:r>
      <w:r w:rsidRPr="005E3135">
        <w:rPr>
          <w:rFonts w:ascii="Book Antiqua" w:hAnsi="Book Antiqua"/>
          <w:lang w:val="es-ES"/>
        </w:rPr>
        <w:t xml:space="preserve"> (29 de julio de 2022).</w:t>
      </w:r>
    </w:p>
  </w:footnote>
  <w:footnote w:id="3">
    <w:p w14:paraId="1FCD6D57" w14:textId="3D05DE9B" w:rsidR="00DC1FD0" w:rsidRPr="005E3135" w:rsidRDefault="00DC1FD0" w:rsidP="005E3135">
      <w:pPr>
        <w:pStyle w:val="FootnoteText"/>
        <w:jc w:val="both"/>
        <w:rPr>
          <w:rFonts w:ascii="Book Antiqua" w:hAnsi="Book Antiqua"/>
          <w:lang w:val="es-ES"/>
        </w:rPr>
      </w:pPr>
      <w:r w:rsidRPr="005E3135">
        <w:rPr>
          <w:rStyle w:val="FootnoteReference"/>
          <w:rFonts w:ascii="Book Antiqua" w:hAnsi="Book Antiqua"/>
        </w:rPr>
        <w:footnoteRef/>
      </w:r>
      <w:r w:rsidRPr="005E3135">
        <w:rPr>
          <w:rFonts w:ascii="Book Antiqua" w:hAnsi="Book Antiqua"/>
          <w:lang w:val="es-ES"/>
        </w:rPr>
        <w:t xml:space="preserve"> </w:t>
      </w:r>
      <w:r w:rsidRPr="005E3135">
        <w:rPr>
          <w:rFonts w:ascii="Book Antiqua" w:hAnsi="Book Antiqua"/>
          <w:i/>
          <w:iCs/>
          <w:lang w:val="es-ES"/>
        </w:rPr>
        <w:t>Véase</w:t>
      </w:r>
      <w:r w:rsidRPr="005E3135">
        <w:rPr>
          <w:rFonts w:ascii="Book Antiqua" w:hAnsi="Book Antiqua"/>
          <w:lang w:val="es-ES"/>
        </w:rPr>
        <w:t xml:space="preserve"> Oficina de Inspección de Notarías, </w:t>
      </w:r>
      <w:r w:rsidRPr="005E3135">
        <w:rPr>
          <w:rFonts w:ascii="Book Antiqua" w:hAnsi="Book Antiqua"/>
          <w:i/>
          <w:iCs/>
          <w:lang w:val="es-ES"/>
        </w:rPr>
        <w:t>Memorando al Notariado Núm. 1, Año Fiscal 2022-2023</w:t>
      </w:r>
      <w:r w:rsidRPr="005E3135">
        <w:rPr>
          <w:rFonts w:ascii="Book Antiqua" w:hAnsi="Book Antiqua"/>
          <w:lang w:val="es-ES"/>
        </w:rPr>
        <w:t xml:space="preserve"> (13 de julio de 2022).</w:t>
      </w:r>
    </w:p>
  </w:footnote>
  <w:footnote w:id="4">
    <w:p w14:paraId="2A90E0EC" w14:textId="47A13999" w:rsidR="008F301F" w:rsidRPr="005E3135" w:rsidRDefault="008F301F" w:rsidP="005E3135">
      <w:pPr>
        <w:pStyle w:val="FootnoteText"/>
        <w:jc w:val="both"/>
        <w:rPr>
          <w:rFonts w:ascii="Book Antiqua" w:hAnsi="Book Antiqua"/>
          <w:lang w:val="es-ES"/>
        </w:rPr>
      </w:pPr>
      <w:r w:rsidRPr="005E3135">
        <w:rPr>
          <w:rStyle w:val="FootnoteReference"/>
          <w:rFonts w:ascii="Book Antiqua" w:hAnsi="Book Antiqua"/>
        </w:rPr>
        <w:footnoteRef/>
      </w:r>
      <w:r w:rsidRPr="005E3135">
        <w:rPr>
          <w:rFonts w:ascii="Book Antiqua" w:hAnsi="Book Antiqua"/>
          <w:lang w:val="es-ES"/>
        </w:rPr>
        <w:t xml:space="preserve"> La única diferencia que encontramos entre ambos proyectos es que el P. del S. 60 exige como requisito “precio de tasación”, mientras que el P. de la C. 24 solo exige “precio de compraventa”.</w:t>
      </w:r>
    </w:p>
  </w:footnote>
  <w:footnote w:id="5">
    <w:p w14:paraId="738AACAE" w14:textId="2CD3A316" w:rsidR="005E3135" w:rsidRPr="005E3135" w:rsidRDefault="005E3135" w:rsidP="005E3135">
      <w:pPr>
        <w:pStyle w:val="FootnoteText"/>
        <w:jc w:val="both"/>
        <w:rPr>
          <w:rFonts w:ascii="Book Antiqua" w:hAnsi="Book Antiqua"/>
          <w:lang w:val="es-ES"/>
        </w:rPr>
      </w:pPr>
      <w:r w:rsidRPr="005E3135">
        <w:rPr>
          <w:rStyle w:val="FootnoteReference"/>
          <w:rFonts w:ascii="Book Antiqua" w:hAnsi="Book Antiqua"/>
        </w:rPr>
        <w:footnoteRef/>
      </w:r>
      <w:r w:rsidRPr="005E3135">
        <w:rPr>
          <w:rFonts w:ascii="Book Antiqua" w:hAnsi="Book Antiqua"/>
          <w:lang w:val="es-ES"/>
        </w:rPr>
        <w:t xml:space="preserve"> La asociación también expresó que el P. del S. 60 aún tiene un error fundamental, al referirse a precio de tasación, cuando debe referirse a precio de compraventa o del negocio jurídico de que se trate.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66C1B16"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1D74A8">
      <w:rPr>
        <w:rFonts w:ascii="Book Antiqua" w:hAnsi="Book Antiqua"/>
        <w:i/>
        <w:iCs/>
        <w:sz w:val="20"/>
        <w:lang w:val="es-PR"/>
      </w:rPr>
      <w:t>P. del C. 24</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3A2BC17"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5E3135">
      <w:rPr>
        <w:rFonts w:ascii="Book Antiqua" w:hAnsi="Book Antiqua"/>
        <w:i/>
        <w:iCs/>
        <w:sz w:val="20"/>
        <w:lang w:val="es-PR"/>
      </w:rPr>
      <w:t>P. de la C. 24</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348A5"/>
    <w:rsid w:val="00043B59"/>
    <w:rsid w:val="00045442"/>
    <w:rsid w:val="00046DD2"/>
    <w:rsid w:val="000533CB"/>
    <w:rsid w:val="0005560C"/>
    <w:rsid w:val="000572EC"/>
    <w:rsid w:val="00066916"/>
    <w:rsid w:val="0008769A"/>
    <w:rsid w:val="000879BC"/>
    <w:rsid w:val="000902F9"/>
    <w:rsid w:val="000945D3"/>
    <w:rsid w:val="000A0CEF"/>
    <w:rsid w:val="000A135C"/>
    <w:rsid w:val="000B071A"/>
    <w:rsid w:val="000B3411"/>
    <w:rsid w:val="000B39C5"/>
    <w:rsid w:val="000C18B9"/>
    <w:rsid w:val="000C52A1"/>
    <w:rsid w:val="000C5B91"/>
    <w:rsid w:val="000D3899"/>
    <w:rsid w:val="000E0D6C"/>
    <w:rsid w:val="000E198F"/>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4A8"/>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209A"/>
    <w:rsid w:val="003465C8"/>
    <w:rsid w:val="00352C78"/>
    <w:rsid w:val="00381F18"/>
    <w:rsid w:val="0038390D"/>
    <w:rsid w:val="003857EC"/>
    <w:rsid w:val="00386D32"/>
    <w:rsid w:val="0039037B"/>
    <w:rsid w:val="003906D8"/>
    <w:rsid w:val="00393CA6"/>
    <w:rsid w:val="003A04CD"/>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6946"/>
    <w:rsid w:val="00487AC3"/>
    <w:rsid w:val="004918F1"/>
    <w:rsid w:val="004A05FC"/>
    <w:rsid w:val="004A0FD4"/>
    <w:rsid w:val="004A18C6"/>
    <w:rsid w:val="004B0082"/>
    <w:rsid w:val="004C370E"/>
    <w:rsid w:val="004C4584"/>
    <w:rsid w:val="004D2BC7"/>
    <w:rsid w:val="004D4E14"/>
    <w:rsid w:val="004E4197"/>
    <w:rsid w:val="004E7F65"/>
    <w:rsid w:val="004F6E72"/>
    <w:rsid w:val="004F7173"/>
    <w:rsid w:val="0051050B"/>
    <w:rsid w:val="00530395"/>
    <w:rsid w:val="005354C6"/>
    <w:rsid w:val="00540B6A"/>
    <w:rsid w:val="00540DDE"/>
    <w:rsid w:val="00541FE3"/>
    <w:rsid w:val="0054470C"/>
    <w:rsid w:val="005478C9"/>
    <w:rsid w:val="0054798E"/>
    <w:rsid w:val="00550023"/>
    <w:rsid w:val="00550412"/>
    <w:rsid w:val="00552B8A"/>
    <w:rsid w:val="00555018"/>
    <w:rsid w:val="00567D36"/>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3135"/>
    <w:rsid w:val="005E7E85"/>
    <w:rsid w:val="006005EF"/>
    <w:rsid w:val="0061550A"/>
    <w:rsid w:val="00615AB1"/>
    <w:rsid w:val="00615E64"/>
    <w:rsid w:val="00622333"/>
    <w:rsid w:val="006239E8"/>
    <w:rsid w:val="00650D8E"/>
    <w:rsid w:val="0066129F"/>
    <w:rsid w:val="00662809"/>
    <w:rsid w:val="00666481"/>
    <w:rsid w:val="006807C0"/>
    <w:rsid w:val="006861CE"/>
    <w:rsid w:val="006A24A9"/>
    <w:rsid w:val="006B3D07"/>
    <w:rsid w:val="006B6346"/>
    <w:rsid w:val="006B7E26"/>
    <w:rsid w:val="006C283C"/>
    <w:rsid w:val="006D01F6"/>
    <w:rsid w:val="006D49D8"/>
    <w:rsid w:val="006D5838"/>
    <w:rsid w:val="006D6359"/>
    <w:rsid w:val="006D7A35"/>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7453C"/>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345D0"/>
    <w:rsid w:val="00855CD6"/>
    <w:rsid w:val="0086515A"/>
    <w:rsid w:val="00865634"/>
    <w:rsid w:val="00867243"/>
    <w:rsid w:val="00887111"/>
    <w:rsid w:val="008A154B"/>
    <w:rsid w:val="008A40E0"/>
    <w:rsid w:val="008C18B2"/>
    <w:rsid w:val="008C331F"/>
    <w:rsid w:val="008C39D5"/>
    <w:rsid w:val="008E051A"/>
    <w:rsid w:val="008F301F"/>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1B68"/>
    <w:rsid w:val="00AF56F5"/>
    <w:rsid w:val="00B03E1C"/>
    <w:rsid w:val="00B14832"/>
    <w:rsid w:val="00B216D4"/>
    <w:rsid w:val="00B24B05"/>
    <w:rsid w:val="00B25721"/>
    <w:rsid w:val="00B316DC"/>
    <w:rsid w:val="00B32086"/>
    <w:rsid w:val="00B36F9D"/>
    <w:rsid w:val="00B37EF9"/>
    <w:rsid w:val="00B4229E"/>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6C71"/>
    <w:rsid w:val="00BC7625"/>
    <w:rsid w:val="00BD3AEA"/>
    <w:rsid w:val="00BD3BEF"/>
    <w:rsid w:val="00BE1535"/>
    <w:rsid w:val="00BE6740"/>
    <w:rsid w:val="00BF358A"/>
    <w:rsid w:val="00C0210B"/>
    <w:rsid w:val="00C20997"/>
    <w:rsid w:val="00C21A5A"/>
    <w:rsid w:val="00C22AFC"/>
    <w:rsid w:val="00C32ECE"/>
    <w:rsid w:val="00C41342"/>
    <w:rsid w:val="00C41CC9"/>
    <w:rsid w:val="00C4275E"/>
    <w:rsid w:val="00C6071A"/>
    <w:rsid w:val="00C65A5F"/>
    <w:rsid w:val="00C7303D"/>
    <w:rsid w:val="00C760D6"/>
    <w:rsid w:val="00C869B3"/>
    <w:rsid w:val="00C9772C"/>
    <w:rsid w:val="00CA1098"/>
    <w:rsid w:val="00CA5E1E"/>
    <w:rsid w:val="00CA6DDD"/>
    <w:rsid w:val="00CB5806"/>
    <w:rsid w:val="00CC4859"/>
    <w:rsid w:val="00CD37FC"/>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1FD0"/>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930DD"/>
    <w:rsid w:val="00E94583"/>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03587">
      <w:bodyDiv w:val="1"/>
      <w:marLeft w:val="0"/>
      <w:marRight w:val="0"/>
      <w:marTop w:val="0"/>
      <w:marBottom w:val="0"/>
      <w:divBdr>
        <w:top w:val="none" w:sz="0" w:space="0" w:color="auto"/>
        <w:left w:val="none" w:sz="0" w:space="0" w:color="auto"/>
        <w:bottom w:val="none" w:sz="0" w:space="0" w:color="auto"/>
        <w:right w:val="none" w:sz="0" w:space="0" w:color="auto"/>
      </w:divBdr>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4SQX5P7U7WPY-958212181-817397</_dlc_DocId>
    <_dlc_DocIdUrl xmlns="c890fddd-4e87-4e08-8b51-545f2a3f7b06">
      <Url>https://senpr.sharepoint.com/sites/obralegislativa/_layouts/15/DocIdRedir.aspx?ID=4SQX5P7U7WPY-958212181-817397</Url>
      <Description>4SQX5P7U7WPY-958212181-817397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9BD7E1E-303C-4F6D-B24F-82CEA1ACECB6}"/>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4C435807-A2D8-4FD2-904F-DA7F8E3C34F6}"/>
</file>

<file path=docProps/app.xml><?xml version="1.0" encoding="utf-8"?>
<Properties xmlns="http://schemas.openxmlformats.org/officeDocument/2006/extended-properties" xmlns:vt="http://schemas.openxmlformats.org/officeDocument/2006/docPropsVTypes">
  <Template>Medida-V2009</Template>
  <TotalTime>4</TotalTime>
  <Pages>4</Pages>
  <Words>995</Words>
  <Characters>5298</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2025-08-14T22:05:00Z</dcterms:created>
  <dcterms:modified xsi:type="dcterms:W3CDTF">2025-08-14T22:05:00Z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b6f69d9b-e54f-4cff-97a9-ecbb29b09adf</vt:lpwstr>
  </property>
  <property fmtid="{D5CDD505-2E9C-101B-9397-08002B2CF9AE}" pid="4" name="MediaServiceImageTags">
    <vt:lpwstr/>
  </property>
</Properties>
</file>