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04229" w14:textId="77777777" w:rsidR="007535BB" w:rsidRPr="00CB702C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pacing w:val="12"/>
          <w:sz w:val="28"/>
          <w:szCs w:val="28"/>
          <w:lang w:val="es-PR"/>
        </w:rPr>
      </w:pPr>
      <w:bookmarkStart w:id="0" w:name="_Hlk183042642"/>
      <w:bookmarkStart w:id="1" w:name="_Hlk183037667"/>
      <w:bookmarkStart w:id="2" w:name="_Hlk183038391"/>
      <w:r w:rsidRPr="00CB702C">
        <w:rPr>
          <w:rFonts w:ascii="Book Antiqua" w:hAnsi="Book Antiqua"/>
          <w:spacing w:val="12"/>
          <w:sz w:val="28"/>
          <w:szCs w:val="28"/>
          <w:lang w:val="es-PR"/>
        </w:rPr>
        <w:t>GOBIERNO DE PUERTO RICO</w:t>
      </w:r>
    </w:p>
    <w:p w14:paraId="75F6D776" w14:textId="77777777" w:rsidR="007535BB" w:rsidRPr="00EF1E2F" w:rsidRDefault="007535BB" w:rsidP="007535BB">
      <w:pPr>
        <w:jc w:val="center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EF1E2F" w14:paraId="199134C9" w14:textId="77777777" w:rsidTr="00D95836">
        <w:trPr>
          <w:trHeight w:val="900"/>
        </w:trPr>
        <w:tc>
          <w:tcPr>
            <w:tcW w:w="3170" w:type="dxa"/>
          </w:tcPr>
          <w:p w14:paraId="19B4CF64" w14:textId="77777777" w:rsidR="007535BB" w:rsidRPr="00EF1E2F" w:rsidRDefault="007535BB" w:rsidP="00D95836">
            <w:pPr>
              <w:rPr>
                <w:rFonts w:ascii="Book Antiqua" w:hAnsi="Book Antiqua"/>
                <w:lang w:val="es-PR"/>
              </w:rPr>
            </w:pPr>
            <w:r w:rsidRPr="00EF1E2F">
              <w:rPr>
                <w:rFonts w:ascii="Book Antiqua" w:hAnsi="Book Antiqua"/>
                <w:lang w:val="es-PR"/>
              </w:rPr>
              <w:t>20</w:t>
            </w:r>
            <w:r w:rsidRPr="00EF1E2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EF1E2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4884FD2E" w14:textId="77777777" w:rsidR="007535BB" w:rsidRPr="00EF1E2F" w:rsidRDefault="007535BB" w:rsidP="00D95836">
            <w:pPr>
              <w:rPr>
                <w:rFonts w:ascii="Book Antiqua" w:hAnsi="Book Antiqua"/>
                <w:sz w:val="36"/>
                <w:lang w:val="es-PR"/>
              </w:rPr>
            </w:pPr>
            <w:r w:rsidRPr="00EF1E2F">
              <w:rPr>
                <w:rFonts w:ascii="Book Antiqua" w:hAnsi="Book Antiqua"/>
                <w:lang w:val="es-PR"/>
              </w:rPr>
              <w:t xml:space="preserve">         </w:t>
            </w:r>
            <w:r w:rsidRPr="00EF1E2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30F19CFC" w14:textId="77777777" w:rsidR="007535BB" w:rsidRPr="00EF1E2F" w:rsidRDefault="007535BB" w:rsidP="00D95836">
            <w:pPr>
              <w:jc w:val="center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40205021" w14:textId="77777777" w:rsidR="007535BB" w:rsidRPr="00EF1E2F" w:rsidRDefault="007535BB" w:rsidP="00D95836">
            <w:pPr>
              <w:rPr>
                <w:rFonts w:ascii="Book Antiqua" w:hAnsi="Book Antiqua"/>
                <w:lang w:val="es-PR"/>
              </w:rPr>
            </w:pPr>
            <w:r w:rsidRPr="00EF1E2F">
              <w:rPr>
                <w:rFonts w:ascii="Book Antiqua" w:hAnsi="Book Antiqua"/>
                <w:lang w:val="es-PR"/>
              </w:rPr>
              <w:tab/>
            </w:r>
            <w:r w:rsidR="00E17E3B" w:rsidRPr="00EF1E2F">
              <w:rPr>
                <w:rFonts w:ascii="Book Antiqua" w:hAnsi="Book Antiqua"/>
                <w:lang w:val="es-PR"/>
              </w:rPr>
              <w:t>2</w:t>
            </w:r>
            <w:r w:rsidR="00E17E3B" w:rsidRPr="00EF1E2F">
              <w:rPr>
                <w:rFonts w:ascii="Book Antiqua" w:hAnsi="Book Antiqua"/>
                <w:vertAlign w:val="superscript"/>
                <w:lang w:val="es-PR"/>
              </w:rPr>
              <w:t>d</w:t>
            </w:r>
            <w:r w:rsidRPr="00EF1E2F">
              <w:rPr>
                <w:rFonts w:ascii="Book Antiqua" w:hAnsi="Book Antiqua"/>
                <w:vertAlign w:val="superscript"/>
                <w:lang w:val="es-PR"/>
              </w:rPr>
              <w:t>a.</w:t>
            </w:r>
            <w:r w:rsidRPr="00EF1E2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32AEE100" w14:textId="77777777" w:rsidR="007535BB" w:rsidRPr="00EF1E2F" w:rsidRDefault="007535BB" w:rsidP="00D95836">
            <w:pPr>
              <w:rPr>
                <w:rFonts w:ascii="Book Antiqua" w:hAnsi="Book Antiqua"/>
                <w:lang w:val="es-PR"/>
              </w:rPr>
            </w:pPr>
            <w:r w:rsidRPr="00EF1E2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79FA7CC3" w14:textId="77777777" w:rsidR="007535BB" w:rsidRPr="00EF1E2F" w:rsidRDefault="007535BB" w:rsidP="00D95836">
            <w:pPr>
              <w:jc w:val="center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bookmarkEnd w:id="1"/>
    <w:p w14:paraId="72A2C4E1" w14:textId="77777777" w:rsidR="007535BB" w:rsidRPr="00CB702C" w:rsidRDefault="00B83B76" w:rsidP="0027212A">
      <w:pPr>
        <w:spacing w:line="360" w:lineRule="auto"/>
        <w:jc w:val="center"/>
        <w:rPr>
          <w:rFonts w:ascii="Book Antiqua" w:hAnsi="Book Antiqua"/>
          <w:b/>
          <w:spacing w:val="12"/>
          <w:sz w:val="36"/>
          <w:lang w:val="es-PR"/>
        </w:rPr>
      </w:pPr>
      <w:r w:rsidRPr="00CB702C">
        <w:rPr>
          <w:rFonts w:ascii="Book Antiqua" w:hAnsi="Book Antiqua"/>
          <w:b/>
          <w:spacing w:val="12"/>
          <w:sz w:val="36"/>
          <w:lang w:val="es-PR"/>
        </w:rPr>
        <w:t>CÁMARA DE REPRESENTANTES</w:t>
      </w:r>
    </w:p>
    <w:p w14:paraId="6967DEFA" w14:textId="16DBA9BE" w:rsidR="007535BB" w:rsidRPr="00EF1E2F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EF1E2F">
        <w:rPr>
          <w:rFonts w:ascii="Book Antiqua" w:hAnsi="Book Antiqua"/>
          <w:b/>
          <w:sz w:val="52"/>
          <w:lang w:val="es-PR"/>
        </w:rPr>
        <w:t xml:space="preserve">P. del S. </w:t>
      </w:r>
      <w:r w:rsidR="008C724A">
        <w:rPr>
          <w:rFonts w:ascii="Book Antiqua" w:hAnsi="Book Antiqua"/>
          <w:b/>
          <w:sz w:val="52"/>
          <w:lang w:val="es-PR"/>
        </w:rPr>
        <w:t>96</w:t>
      </w:r>
    </w:p>
    <w:p w14:paraId="50E204BF" w14:textId="77777777" w:rsidR="007535BB" w:rsidRPr="008C724A" w:rsidRDefault="007535BB" w:rsidP="0027212A">
      <w:pPr>
        <w:spacing w:line="360" w:lineRule="auto"/>
        <w:jc w:val="center"/>
        <w:rPr>
          <w:rFonts w:ascii="Book Antiqua" w:hAnsi="Book Antiqua"/>
          <w:spacing w:val="12"/>
          <w:lang w:val="es-PR"/>
        </w:rPr>
      </w:pPr>
      <w:r w:rsidRPr="00EF1E2F">
        <w:rPr>
          <w:rFonts w:ascii="Book Antiqua" w:hAnsi="Book Antiqua"/>
          <w:b/>
          <w:bCs/>
          <w:lang w:val="es-PR"/>
        </w:rPr>
        <w:t xml:space="preserve"> </w:t>
      </w:r>
      <w:bookmarkStart w:id="3" w:name="_Hlk183037684"/>
      <w:r w:rsidR="001B5218" w:rsidRPr="008C724A">
        <w:rPr>
          <w:rFonts w:ascii="Book Antiqua" w:hAnsi="Book Antiqua"/>
          <w:spacing w:val="12"/>
          <w:sz w:val="28"/>
          <w:szCs w:val="22"/>
          <w:lang w:val="es-PR"/>
        </w:rPr>
        <w:t xml:space="preserve">INFORME POSITIVO </w:t>
      </w:r>
    </w:p>
    <w:p w14:paraId="09DCEAC2" w14:textId="33180031" w:rsidR="001B5218" w:rsidRPr="00EF1E2F" w:rsidRDefault="00DF6F21" w:rsidP="0027212A">
      <w:pPr>
        <w:spacing w:line="360" w:lineRule="auto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4</w:t>
      </w:r>
      <w:r w:rsidR="00334EE0">
        <w:rPr>
          <w:rFonts w:ascii="Book Antiqua" w:hAnsi="Book Antiqua"/>
          <w:lang w:val="es-PR"/>
        </w:rPr>
        <w:t xml:space="preserve"> </w:t>
      </w:r>
      <w:r w:rsidR="006239E8" w:rsidRPr="00EF1E2F">
        <w:rPr>
          <w:rFonts w:ascii="Book Antiqua" w:hAnsi="Book Antiqua"/>
          <w:lang w:val="es-PR"/>
        </w:rPr>
        <w:t xml:space="preserve">de </w:t>
      </w:r>
      <w:r w:rsidR="008C724A">
        <w:rPr>
          <w:rFonts w:ascii="Book Antiqua" w:hAnsi="Book Antiqua"/>
          <w:lang w:val="es-PR"/>
        </w:rPr>
        <w:t>nov</w:t>
      </w:r>
      <w:r w:rsidR="00B83B76" w:rsidRPr="00EF1E2F">
        <w:rPr>
          <w:rFonts w:ascii="Book Antiqua" w:hAnsi="Book Antiqua"/>
          <w:lang w:val="es-PR"/>
        </w:rPr>
        <w:t>iembre</w:t>
      </w:r>
      <w:r w:rsidR="006239E8" w:rsidRPr="00EF1E2F">
        <w:rPr>
          <w:rFonts w:ascii="Book Antiqua" w:hAnsi="Book Antiqua"/>
          <w:lang w:val="es-PR"/>
        </w:rPr>
        <w:t xml:space="preserve"> </w:t>
      </w:r>
      <w:r w:rsidR="00D13D23" w:rsidRPr="00EF1E2F">
        <w:rPr>
          <w:rFonts w:ascii="Book Antiqua" w:hAnsi="Book Antiqua"/>
          <w:lang w:val="es-PR"/>
        </w:rPr>
        <w:t>de 2025</w:t>
      </w:r>
    </w:p>
    <w:bookmarkEnd w:id="2"/>
    <w:bookmarkEnd w:id="3"/>
    <w:p w14:paraId="7B26C002" w14:textId="0D2FF049" w:rsidR="005B2884" w:rsidRPr="008C724A" w:rsidRDefault="00B83B76" w:rsidP="00B14CC4">
      <w:pPr>
        <w:tabs>
          <w:tab w:val="left" w:pos="-720"/>
        </w:tabs>
        <w:suppressAutoHyphens/>
        <w:spacing w:before="240" w:after="120" w:line="276" w:lineRule="auto"/>
        <w:rPr>
          <w:rFonts w:ascii="Book Antiqua" w:hAnsi="Book Antiqua"/>
          <w:bCs/>
          <w:spacing w:val="12"/>
          <w:szCs w:val="24"/>
          <w:lang w:val="es-PR"/>
        </w:rPr>
      </w:pPr>
      <w:r w:rsidRPr="008C724A">
        <w:rPr>
          <w:rFonts w:ascii="Book Antiqua" w:hAnsi="Book Antiqua"/>
          <w:bCs/>
          <w:spacing w:val="12"/>
          <w:szCs w:val="24"/>
          <w:lang w:val="es-PR"/>
        </w:rPr>
        <w:t>A LA CÁMARA DE REPRESENTANTES DE PUERTO RICO</w:t>
      </w:r>
    </w:p>
    <w:p w14:paraId="18A0FB06" w14:textId="71E4D0DE" w:rsidR="005B2884" w:rsidRPr="00EF1E2F" w:rsidRDefault="00CB00D7" w:rsidP="00506D29">
      <w:pPr>
        <w:suppressAutoHyphens/>
        <w:spacing w:after="240" w:line="298" w:lineRule="auto"/>
        <w:ind w:firstLine="720"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>P</w:t>
      </w:r>
      <w:r w:rsidR="001B5218" w:rsidRPr="00EF1E2F">
        <w:rPr>
          <w:rFonts w:ascii="Book Antiqua" w:hAnsi="Book Antiqua"/>
          <w:spacing w:val="-3"/>
          <w:lang w:val="es-PR"/>
        </w:rPr>
        <w:t>revio estudio y consideración</w:t>
      </w:r>
      <w:r w:rsidR="009F427F" w:rsidRPr="00EF1E2F">
        <w:rPr>
          <w:rFonts w:ascii="Book Antiqua" w:hAnsi="Book Antiqua"/>
          <w:spacing w:val="-3"/>
          <w:lang w:val="es-PR"/>
        </w:rPr>
        <w:t xml:space="preserve"> del </w:t>
      </w:r>
      <w:r w:rsidR="001D39F9" w:rsidRPr="00C76363">
        <w:rPr>
          <w:rFonts w:ascii="Book Antiqua" w:hAnsi="Book Antiqua"/>
          <w:spacing w:val="-3"/>
          <w:lang w:val="es-PR"/>
        </w:rPr>
        <w:t xml:space="preserve">Proyecto del Senado </w:t>
      </w:r>
      <w:r w:rsidR="008C724A">
        <w:rPr>
          <w:rFonts w:ascii="Book Antiqua" w:hAnsi="Book Antiqua"/>
          <w:spacing w:val="-3"/>
          <w:lang w:val="es-PR"/>
        </w:rPr>
        <w:t>96 (P. del S. 96)</w:t>
      </w:r>
      <w:r w:rsidR="001B5218" w:rsidRPr="00EF1E2F">
        <w:rPr>
          <w:rFonts w:ascii="Book Antiqua" w:hAnsi="Book Antiqua"/>
          <w:spacing w:val="-3"/>
          <w:lang w:val="es-PR"/>
        </w:rPr>
        <w:t xml:space="preserve">, </w:t>
      </w:r>
      <w:r w:rsidR="00506D29">
        <w:rPr>
          <w:rFonts w:ascii="Book Antiqua" w:hAnsi="Book Antiqua"/>
          <w:spacing w:val="-3"/>
          <w:lang w:val="es-PR"/>
        </w:rPr>
        <w:t>l</w:t>
      </w:r>
      <w:r>
        <w:rPr>
          <w:rFonts w:ascii="Book Antiqua" w:hAnsi="Book Antiqua"/>
          <w:spacing w:val="-3"/>
          <w:lang w:val="es-PR"/>
        </w:rPr>
        <w:t xml:space="preserve">a </w:t>
      </w:r>
      <w:r w:rsidRPr="00EF1E2F">
        <w:rPr>
          <w:rFonts w:ascii="Book Antiqua" w:hAnsi="Book Antiqua"/>
          <w:spacing w:val="-3"/>
          <w:lang w:val="es-PR"/>
        </w:rPr>
        <w:t>Comisión de lo Jurídico</w:t>
      </w:r>
      <w:r w:rsidR="00506D29">
        <w:rPr>
          <w:rFonts w:ascii="Book Antiqua" w:hAnsi="Book Antiqua"/>
          <w:spacing w:val="-3"/>
          <w:lang w:val="es-PR"/>
        </w:rPr>
        <w:t xml:space="preserve"> de la Cámara de Representantes </w:t>
      </w:r>
      <w:r w:rsidR="009F427F" w:rsidRPr="00EF1E2F">
        <w:rPr>
          <w:rFonts w:ascii="Book Antiqua" w:hAnsi="Book Antiqua"/>
          <w:spacing w:val="-3"/>
          <w:lang w:val="es-PR"/>
        </w:rPr>
        <w:t>recomienda su</w:t>
      </w:r>
      <w:r w:rsidR="008E051A" w:rsidRPr="00EF1E2F">
        <w:rPr>
          <w:rFonts w:ascii="Book Antiqua" w:hAnsi="Book Antiqua"/>
          <w:spacing w:val="-3"/>
          <w:lang w:val="es-PR"/>
        </w:rPr>
        <w:t xml:space="preserve"> </w:t>
      </w:r>
      <w:r w:rsidR="001B5218" w:rsidRPr="0027119D">
        <w:rPr>
          <w:rFonts w:ascii="Book Antiqua" w:hAnsi="Book Antiqua"/>
          <w:spacing w:val="-3"/>
          <w:lang w:val="es-PR"/>
        </w:rPr>
        <w:t>aprobación,</w:t>
      </w:r>
      <w:r w:rsidR="001B5218" w:rsidRPr="00EF1E2F">
        <w:rPr>
          <w:rFonts w:ascii="Book Antiqua" w:hAnsi="Book Antiqua"/>
          <w:spacing w:val="-3"/>
          <w:lang w:val="es-PR"/>
        </w:rPr>
        <w:t xml:space="preserve"> con las enmiendas en el </w:t>
      </w:r>
      <w:proofErr w:type="spellStart"/>
      <w:r w:rsidR="001B5218" w:rsidRPr="00EF1E2F">
        <w:rPr>
          <w:rFonts w:ascii="Book Antiqua" w:hAnsi="Book Antiqua"/>
          <w:spacing w:val="-3"/>
          <w:lang w:val="es-PR"/>
        </w:rPr>
        <w:t>entirillado</w:t>
      </w:r>
      <w:proofErr w:type="spellEnd"/>
      <w:r w:rsidR="001B5218" w:rsidRPr="00EF1E2F">
        <w:rPr>
          <w:rFonts w:ascii="Book Antiqua" w:hAnsi="Book Antiqua"/>
          <w:spacing w:val="-3"/>
          <w:lang w:val="es-PR"/>
        </w:rPr>
        <w:t xml:space="preserve"> electrónico que se acompaña</w:t>
      </w:r>
      <w:r w:rsidR="002C402D" w:rsidRPr="00EF1E2F">
        <w:rPr>
          <w:rFonts w:ascii="Book Antiqua" w:hAnsi="Book Antiqua"/>
          <w:spacing w:val="-3"/>
          <w:lang w:val="es-PR"/>
        </w:rPr>
        <w:t xml:space="preserve">. </w:t>
      </w:r>
    </w:p>
    <w:p w14:paraId="6AA88DDF" w14:textId="77777777" w:rsidR="0024131E" w:rsidRPr="00BC33A0" w:rsidRDefault="001B5218" w:rsidP="00B14CC4">
      <w:pPr>
        <w:tabs>
          <w:tab w:val="left" w:pos="-720"/>
        </w:tabs>
        <w:suppressAutoHyphens/>
        <w:spacing w:after="120" w:line="276" w:lineRule="auto"/>
        <w:jc w:val="center"/>
        <w:rPr>
          <w:rFonts w:ascii="Book Antiqua" w:hAnsi="Book Antiqua"/>
          <w:spacing w:val="12"/>
          <w:szCs w:val="24"/>
          <w:lang w:val="es-PR"/>
        </w:rPr>
      </w:pPr>
      <w:r w:rsidRPr="00BC33A0">
        <w:rPr>
          <w:rFonts w:ascii="Book Antiqua" w:hAnsi="Book Antiqua"/>
          <w:spacing w:val="12"/>
          <w:szCs w:val="24"/>
          <w:lang w:val="es-PR"/>
        </w:rPr>
        <w:t xml:space="preserve">ALCANCE DE LA MEDIDA </w:t>
      </w:r>
    </w:p>
    <w:p w14:paraId="52C87C96" w14:textId="371A5034" w:rsidR="000F4343" w:rsidRDefault="00707805" w:rsidP="00FD775A">
      <w:pPr>
        <w:tabs>
          <w:tab w:val="left" w:pos="-720"/>
        </w:tabs>
        <w:suppressAutoHyphens/>
        <w:spacing w:after="240" w:line="298" w:lineRule="auto"/>
        <w:jc w:val="both"/>
        <w:rPr>
          <w:rFonts w:ascii="Book Antiqua" w:hAnsi="Book Antiqua"/>
          <w:color w:val="000000"/>
          <w:lang w:val="es-PR"/>
        </w:rPr>
      </w:pPr>
      <w:r w:rsidRPr="00EF1E2F">
        <w:rPr>
          <w:rFonts w:ascii="Book Antiqua" w:hAnsi="Book Antiqua"/>
          <w:lang w:val="es-PR"/>
        </w:rPr>
        <w:tab/>
      </w:r>
      <w:r w:rsidR="001B5218" w:rsidRPr="00EF1E2F">
        <w:rPr>
          <w:rFonts w:ascii="Book Antiqua" w:hAnsi="Book Antiqua"/>
          <w:lang w:val="es-PR"/>
        </w:rPr>
        <w:t xml:space="preserve">El </w:t>
      </w:r>
      <w:r w:rsidR="009F427F" w:rsidRPr="00EF1E2F">
        <w:rPr>
          <w:rFonts w:ascii="Book Antiqua" w:hAnsi="Book Antiqua"/>
          <w:lang w:val="es-PR"/>
        </w:rPr>
        <w:t xml:space="preserve">P. del S. </w:t>
      </w:r>
      <w:r w:rsidR="00BC33A0">
        <w:rPr>
          <w:rFonts w:ascii="Book Antiqua" w:hAnsi="Book Antiqua"/>
          <w:lang w:val="es-PR"/>
        </w:rPr>
        <w:t>96—</w:t>
      </w:r>
      <w:r w:rsidR="001B5218" w:rsidRPr="00EF1E2F">
        <w:rPr>
          <w:rFonts w:ascii="Book Antiqua" w:hAnsi="Book Antiqua"/>
          <w:lang w:val="es-PR"/>
        </w:rPr>
        <w:t xml:space="preserve">según </w:t>
      </w:r>
      <w:r w:rsidR="00DB2971" w:rsidRPr="00EF1E2F">
        <w:rPr>
          <w:rFonts w:ascii="Book Antiqua" w:hAnsi="Book Antiqua"/>
          <w:lang w:val="es-PR"/>
        </w:rPr>
        <w:t>aprobado por el Senado de Puerto Rico</w:t>
      </w:r>
      <w:r w:rsidR="00444913">
        <w:rPr>
          <w:rFonts w:ascii="Book Antiqua" w:hAnsi="Book Antiqua"/>
          <w:lang w:val="es-PR"/>
        </w:rPr>
        <w:t>—</w:t>
      </w:r>
      <w:bookmarkStart w:id="4" w:name="_Hlk530469162"/>
      <w:bookmarkStart w:id="5" w:name="_Hlk209124866"/>
      <w:r w:rsidR="00FF159E">
        <w:rPr>
          <w:rFonts w:ascii="Book Antiqua" w:hAnsi="Book Antiqua"/>
          <w:lang w:val="es-PR"/>
        </w:rPr>
        <w:t xml:space="preserve">busca </w:t>
      </w:r>
      <w:r w:rsidR="00EF1E2F" w:rsidRPr="00EF1E2F">
        <w:rPr>
          <w:rFonts w:ascii="Book Antiqua" w:hAnsi="Book Antiqua"/>
          <w:color w:val="000000"/>
          <w:lang w:val="es-PR"/>
        </w:rPr>
        <w:t xml:space="preserve">enmendar </w:t>
      </w:r>
      <w:bookmarkEnd w:id="4"/>
      <w:r w:rsidR="0039767E" w:rsidRPr="0039767E">
        <w:rPr>
          <w:rFonts w:ascii="Book Antiqua" w:hAnsi="Book Antiqua"/>
          <w:color w:val="000000"/>
          <w:lang w:val="es-PR"/>
        </w:rPr>
        <w:t>la Sección 9-A</w:t>
      </w:r>
      <w:r w:rsidR="00632416">
        <w:rPr>
          <w:rFonts w:ascii="Book Antiqua" w:hAnsi="Book Antiqua"/>
          <w:color w:val="000000"/>
          <w:lang w:val="es-PR"/>
        </w:rPr>
        <w:t xml:space="preserve"> (</w:t>
      </w:r>
      <w:r w:rsidR="00C211C9">
        <w:rPr>
          <w:rFonts w:ascii="Book Antiqua" w:hAnsi="Book Antiqua"/>
          <w:color w:val="000000"/>
          <w:lang w:val="es-PR"/>
        </w:rPr>
        <w:t>a</w:t>
      </w:r>
      <w:r w:rsidR="00632416">
        <w:rPr>
          <w:rFonts w:ascii="Book Antiqua" w:hAnsi="Book Antiqua"/>
          <w:color w:val="000000"/>
          <w:lang w:val="es-PR"/>
        </w:rPr>
        <w:t>)</w:t>
      </w:r>
      <w:r w:rsidR="0039767E" w:rsidRPr="0039767E">
        <w:rPr>
          <w:rFonts w:ascii="Book Antiqua" w:hAnsi="Book Antiqua"/>
          <w:color w:val="000000"/>
          <w:lang w:val="es-PR"/>
        </w:rPr>
        <w:t xml:space="preserve"> de la Ley Núm. 221 de 15 de mayo de 1948, según enmendada,</w:t>
      </w:r>
      <w:r w:rsidR="000F4343">
        <w:rPr>
          <w:rStyle w:val="FootnoteReference"/>
          <w:rFonts w:ascii="Book Antiqua" w:hAnsi="Book Antiqua"/>
          <w:color w:val="000000"/>
          <w:lang w:val="es-PR"/>
        </w:rPr>
        <w:footnoteReference w:id="1"/>
      </w:r>
      <w:r w:rsidR="0039767E" w:rsidRPr="0039767E">
        <w:rPr>
          <w:rFonts w:ascii="Book Antiqua" w:hAnsi="Book Antiqua"/>
          <w:color w:val="000000"/>
          <w:lang w:val="es-PR"/>
        </w:rPr>
        <w:t xml:space="preserve"> </w:t>
      </w:r>
      <w:r w:rsidR="00280951">
        <w:rPr>
          <w:rFonts w:ascii="Book Antiqua" w:hAnsi="Book Antiqua"/>
          <w:color w:val="000000"/>
          <w:lang w:val="es-PR"/>
        </w:rPr>
        <w:t xml:space="preserve">para </w:t>
      </w:r>
      <w:r w:rsidR="0039767E" w:rsidRPr="0039767E">
        <w:rPr>
          <w:rFonts w:ascii="Book Antiqua" w:hAnsi="Book Antiqua"/>
          <w:color w:val="000000"/>
          <w:lang w:val="es-PR"/>
        </w:rPr>
        <w:t>atemperar sus disposiciones y delitos al sistema de penas establecido en la Ley</w:t>
      </w:r>
      <w:r w:rsidR="00280951">
        <w:rPr>
          <w:rFonts w:ascii="Book Antiqua" w:hAnsi="Book Antiqua"/>
          <w:color w:val="000000"/>
          <w:lang w:val="es-PR"/>
        </w:rPr>
        <w:t xml:space="preserve"> Núm.</w:t>
      </w:r>
      <w:r w:rsidR="0039767E" w:rsidRPr="0039767E">
        <w:rPr>
          <w:rFonts w:ascii="Book Antiqua" w:hAnsi="Book Antiqua"/>
          <w:color w:val="000000"/>
          <w:lang w:val="es-PR"/>
        </w:rPr>
        <w:t xml:space="preserve"> 146-2012, según enmendada</w:t>
      </w:r>
      <w:r w:rsidR="00280951">
        <w:rPr>
          <w:rFonts w:ascii="Book Antiqua" w:hAnsi="Book Antiqua"/>
          <w:color w:val="000000"/>
          <w:lang w:val="es-PR"/>
        </w:rPr>
        <w:t>.</w:t>
      </w:r>
      <w:r w:rsidR="00280951">
        <w:rPr>
          <w:rStyle w:val="FootnoteReference"/>
          <w:rFonts w:ascii="Book Antiqua" w:hAnsi="Book Antiqua"/>
          <w:color w:val="000000"/>
          <w:lang w:val="es-PR"/>
        </w:rPr>
        <w:footnoteReference w:id="2"/>
      </w:r>
      <w:r w:rsidR="0039767E" w:rsidRPr="0039767E">
        <w:rPr>
          <w:rFonts w:ascii="Book Antiqua" w:hAnsi="Book Antiqua"/>
          <w:color w:val="000000"/>
          <w:lang w:val="es-PR"/>
        </w:rPr>
        <w:t xml:space="preserve"> </w:t>
      </w:r>
    </w:p>
    <w:bookmarkEnd w:id="5"/>
    <w:p w14:paraId="710CB24F" w14:textId="529554F6" w:rsidR="000C52A1" w:rsidRPr="00B14958" w:rsidRDefault="009F427F" w:rsidP="00B14958">
      <w:pPr>
        <w:tabs>
          <w:tab w:val="left" w:pos="-720"/>
        </w:tabs>
        <w:suppressAutoHyphens/>
        <w:spacing w:after="120" w:line="298" w:lineRule="auto"/>
        <w:jc w:val="center"/>
        <w:rPr>
          <w:rFonts w:ascii="Book Antiqua" w:hAnsi="Book Antiqua"/>
          <w:spacing w:val="12"/>
          <w:lang w:val="es-PR"/>
        </w:rPr>
      </w:pPr>
      <w:r w:rsidRPr="00B14958">
        <w:rPr>
          <w:rFonts w:ascii="Book Antiqua" w:hAnsi="Book Antiqua"/>
          <w:spacing w:val="12"/>
          <w:lang w:val="es-PR"/>
        </w:rPr>
        <w:t>ANÁLISIS DE LA MEDIDA</w:t>
      </w:r>
    </w:p>
    <w:p w14:paraId="66945C8F" w14:textId="616E208E" w:rsidR="00B46D69" w:rsidRDefault="00B46D69" w:rsidP="00FD775A">
      <w:pPr>
        <w:spacing w:after="240" w:line="29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Con la aprobación de la Ley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Núm.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146-2012, se adoptó en nuestra jurisdicción un nuevo Código Penal, el cual reformuló el ordenamiento jurídico y modificó las penas aplicables a cada delito.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ste </w:t>
      </w:r>
      <w:r w:rsidR="00FD775A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ódigo establece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que los delitos graves contemplados en las leyes penales especiales bajo el Código Penal de 2004 seguirán vigentes hasta que dichas leyes sean enmendadas y atemperadas al nuevo sistema de sentencias fijas establecido en el Código Penal </w:t>
      </w:r>
      <w:r w:rsidR="00AC433A" w:rsidRPr="00666142">
        <w:rPr>
          <w:rFonts w:ascii="Book Antiqua" w:eastAsia="Book Antiqua" w:hAnsi="Book Antiqua" w:cs="Book Antiqua"/>
          <w:color w:val="000000" w:themeColor="text1"/>
          <w:lang w:val="es-PR"/>
        </w:rPr>
        <w:t>de Puerto Rico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3A79CEB" w14:textId="22096639" w:rsidR="00B46D69" w:rsidRDefault="008C6F54" w:rsidP="0098005C">
      <w:pPr>
        <w:tabs>
          <w:tab w:val="left" w:pos="-720"/>
        </w:tabs>
        <w:suppressAutoHyphens/>
        <w:spacing w:line="298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ab/>
      </w:r>
      <w:r w:rsidR="00B46D69" w:rsidRPr="00666142">
        <w:rPr>
          <w:rFonts w:ascii="Book Antiqua" w:eastAsia="Book Antiqua" w:hAnsi="Book Antiqua" w:cs="Book Antiqua"/>
          <w:color w:val="000000" w:themeColor="text1"/>
          <w:lang w:val="es-PR"/>
        </w:rPr>
        <w:t>Armonizar las penas contempladas en las leyes penales especiales con las disposiciones del Código Penal de Puerto Rico es esencial</w:t>
      </w:r>
      <w:r w:rsidR="00B46D69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B46D69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46D69"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 w:rsidR="00B46D69" w:rsidRPr="00666142">
        <w:rPr>
          <w:rFonts w:ascii="Book Antiqua" w:eastAsia="Book Antiqua" w:hAnsi="Book Antiqua" w:cs="Book Antiqua"/>
          <w:color w:val="000000" w:themeColor="text1"/>
          <w:lang w:val="es-PR"/>
        </w:rPr>
        <w:t>arantiza que el sistema de justicia se mantenga coherente y alineado con el sistema de sentencias fijas establecido en la legislación vigente. La revisión y actualización de las leyes penales especiales evitará decisiones inconsistentes en la aplicación e imposición de penas y asegurará que el sistema penal sea justo y equitativo</w:t>
      </w:r>
      <w:r w:rsidR="00B46D69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4A5B2A9F" w14:textId="2B2B3645" w:rsidR="008C6F54" w:rsidRDefault="00F01516" w:rsidP="00B46D69">
      <w:pPr>
        <w:tabs>
          <w:tab w:val="left" w:pos="-720"/>
        </w:tabs>
        <w:suppressAutoHyphens/>
        <w:spacing w:after="120" w:line="298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01516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Pr="00BA512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Ley d</w:t>
      </w:r>
      <w:r w:rsidR="00BA5129" w:rsidRPr="00BA512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 juegos de azar</w:t>
      </w:r>
      <w:r w:rsidRPr="00F01516">
        <w:rPr>
          <w:rFonts w:ascii="Book Antiqua" w:eastAsia="Book Antiqua" w:hAnsi="Book Antiqua" w:cs="Book Antiqua"/>
          <w:color w:val="000000" w:themeColor="text1"/>
          <w:lang w:val="es-PR"/>
        </w:rPr>
        <w:t xml:space="preserve"> aún no ha sido atemperada </w:t>
      </w:r>
      <w:r w:rsidR="00BA5129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Pr="00F01516">
        <w:rPr>
          <w:rFonts w:ascii="Book Antiqua" w:eastAsia="Book Antiqua" w:hAnsi="Book Antiqua" w:cs="Book Antiqua"/>
          <w:color w:val="000000" w:themeColor="text1"/>
          <w:lang w:val="es-PR"/>
        </w:rPr>
        <w:t xml:space="preserve">l nuevo sistema de penas establecido en el Código Penal </w:t>
      </w:r>
      <w:r w:rsidR="00E94254" w:rsidRPr="00666142">
        <w:rPr>
          <w:rFonts w:ascii="Book Antiqua" w:eastAsia="Book Antiqua" w:hAnsi="Book Antiqua" w:cs="Book Antiqua"/>
          <w:color w:val="000000" w:themeColor="text1"/>
          <w:lang w:val="es-PR"/>
        </w:rPr>
        <w:t>de Puerto Rico</w:t>
      </w:r>
      <w:r w:rsidRPr="00F01516">
        <w:rPr>
          <w:rFonts w:ascii="Book Antiqua" w:eastAsia="Book Antiqua" w:hAnsi="Book Antiqua" w:cs="Book Antiqua"/>
          <w:color w:val="000000" w:themeColor="text1"/>
          <w:lang w:val="es-PR"/>
        </w:rPr>
        <w:t xml:space="preserve">. Esta omisión impide cumplir adecuadamente con el objetivo de rehabilitación y reintegración social que </w:t>
      </w:r>
      <w:r w:rsidR="0098005C">
        <w:rPr>
          <w:rFonts w:ascii="Book Antiqua" w:eastAsia="Book Antiqua" w:hAnsi="Book Antiqua" w:cs="Book Antiqua"/>
          <w:color w:val="000000" w:themeColor="text1"/>
          <w:lang w:val="es-PR"/>
        </w:rPr>
        <w:t>tal</w:t>
      </w:r>
      <w:r w:rsidRPr="00F0151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8005C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Pr="00F01516">
        <w:rPr>
          <w:rFonts w:ascii="Book Antiqua" w:eastAsia="Book Antiqua" w:hAnsi="Book Antiqua" w:cs="Book Antiqua"/>
          <w:color w:val="000000" w:themeColor="text1"/>
          <w:lang w:val="es-PR"/>
        </w:rPr>
        <w:t>ódigo promueve a través de un sistema de sentencias fijas.</w:t>
      </w:r>
    </w:p>
    <w:p w14:paraId="109B71AD" w14:textId="466F8065" w:rsidR="00D14A98" w:rsidRDefault="00D14A98" w:rsidP="004B6D87">
      <w:pPr>
        <w:spacing w:after="240" w:line="29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Comisión de lo Jurídico del Senado atendió el 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96, el cual fue aprobado con enmiendas. </w:t>
      </w:r>
      <w:r w:rsidR="00C94554">
        <w:rPr>
          <w:rFonts w:ascii="Book Antiqua" w:eastAsia="Book Antiqua" w:hAnsi="Book Antiqua" w:cs="Book Antiqua"/>
          <w:color w:val="000000" w:themeColor="text1"/>
          <w:lang w:val="es-PR"/>
        </w:rPr>
        <w:t>Se p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rocede a resumir la</w:t>
      </w:r>
      <w:r w:rsidR="009F433D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ponencia</w:t>
      </w:r>
      <w:r w:rsidR="009F433D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que</w:t>
      </w:r>
      <w:r w:rsidR="009F433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76FE7">
        <w:rPr>
          <w:rFonts w:ascii="Book Antiqua" w:eastAsia="Book Antiqua" w:hAnsi="Book Antiqua" w:cs="Book Antiqua"/>
          <w:color w:val="000000" w:themeColor="text1"/>
          <w:lang w:val="es-PR"/>
        </w:rPr>
        <w:t>nuestra</w:t>
      </w:r>
      <w:r w:rsidR="009F433D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</w:t>
      </w:r>
      <w:r w:rsidR="0075560D">
        <w:rPr>
          <w:rFonts w:ascii="Book Antiqua" w:eastAsia="Book Antiqua" w:hAnsi="Book Antiqua" w:cs="Book Antiqua"/>
          <w:color w:val="000000" w:themeColor="text1"/>
          <w:lang w:val="es-PR"/>
        </w:rPr>
        <w:t>soli</w:t>
      </w:r>
      <w:r w:rsidR="009F433D">
        <w:rPr>
          <w:rFonts w:ascii="Book Antiqua" w:eastAsia="Book Antiqua" w:hAnsi="Book Antiqua" w:cs="Book Antiqua"/>
          <w:color w:val="000000" w:themeColor="text1"/>
          <w:lang w:val="es-PR"/>
        </w:rPr>
        <w:t>citó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C8E60AF" w14:textId="19940789" w:rsidR="001D30BA" w:rsidRDefault="005712F8" w:rsidP="004B6D87">
      <w:pPr>
        <w:spacing w:after="240" w:line="29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Comisión de Juegos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(CJPR)</w:t>
      </w:r>
      <w:r w:rsidR="0049776A">
        <w:rPr>
          <w:rFonts w:ascii="Book Antiqua" w:eastAsia="Book Antiqua" w:hAnsi="Book Antiqua" w:cs="Book Antiqua"/>
          <w:color w:val="000000" w:themeColor="text1"/>
          <w:lang w:val="es-PR"/>
        </w:rPr>
        <w:t xml:space="preserve">, esta medida </w:t>
      </w:r>
      <w:r w:rsidR="00300433">
        <w:rPr>
          <w:rFonts w:ascii="Book Antiqua" w:eastAsia="Book Antiqua" w:hAnsi="Book Antiqua" w:cs="Book Antiqua"/>
          <w:color w:val="000000" w:themeColor="text1"/>
          <w:lang w:val="es-PR"/>
        </w:rPr>
        <w:t xml:space="preserve">técnica </w:t>
      </w:r>
      <w:r w:rsidR="0049776A">
        <w:rPr>
          <w:rFonts w:ascii="Book Antiqua" w:eastAsia="Book Antiqua" w:hAnsi="Book Antiqua" w:cs="Book Antiqua"/>
          <w:color w:val="000000" w:themeColor="text1"/>
          <w:lang w:val="es-PR"/>
        </w:rPr>
        <w:t xml:space="preserve">sustituye </w:t>
      </w:r>
      <w:r w:rsidR="00300433">
        <w:rPr>
          <w:rFonts w:ascii="Book Antiqua" w:eastAsia="Book Antiqua" w:hAnsi="Book Antiqua" w:cs="Book Antiqua"/>
          <w:color w:val="000000" w:themeColor="text1"/>
          <w:lang w:val="es-PR"/>
        </w:rPr>
        <w:t xml:space="preserve">la referencia al delito grave de cuarto grado </w:t>
      </w:r>
      <w:r w:rsidR="00576521">
        <w:rPr>
          <w:rFonts w:ascii="Book Antiqua" w:eastAsia="Book Antiqua" w:hAnsi="Book Antiqua" w:cs="Book Antiqua"/>
          <w:color w:val="000000" w:themeColor="text1"/>
          <w:lang w:val="es-PR"/>
        </w:rPr>
        <w:t>en la s</w:t>
      </w:r>
      <w:r w:rsidR="00576521" w:rsidRPr="0039767E">
        <w:rPr>
          <w:rFonts w:ascii="Book Antiqua" w:hAnsi="Book Antiqua"/>
          <w:color w:val="000000"/>
          <w:lang w:val="es-PR"/>
        </w:rPr>
        <w:t xml:space="preserve">ección 9-A </w:t>
      </w:r>
      <w:r w:rsidR="00C211C9">
        <w:rPr>
          <w:rFonts w:ascii="Book Antiqua" w:hAnsi="Book Antiqua"/>
          <w:color w:val="000000"/>
          <w:lang w:val="es-PR"/>
        </w:rPr>
        <w:t xml:space="preserve">(a) </w:t>
      </w:r>
      <w:r w:rsidR="00576521" w:rsidRPr="0039767E">
        <w:rPr>
          <w:rFonts w:ascii="Book Antiqua" w:hAnsi="Book Antiqua"/>
          <w:color w:val="000000"/>
          <w:lang w:val="es-PR"/>
        </w:rPr>
        <w:t xml:space="preserve">de la </w:t>
      </w:r>
      <w:r w:rsidR="00576521" w:rsidRPr="00576521">
        <w:rPr>
          <w:rFonts w:ascii="Book Antiqua" w:hAnsi="Book Antiqua"/>
          <w:i/>
          <w:iCs/>
          <w:color w:val="000000"/>
          <w:lang w:val="es-PR"/>
        </w:rPr>
        <w:t>Ley de juegos de azar</w:t>
      </w:r>
      <w:r w:rsidR="00475111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el delito grave con pena fija de tres años</w:t>
      </w:r>
      <w:r w:rsidR="00A60AE5">
        <w:rPr>
          <w:rFonts w:ascii="Book Antiqua" w:eastAsia="Book Antiqua" w:hAnsi="Book Antiqua" w:cs="Book Antiqua"/>
          <w:color w:val="000000" w:themeColor="text1"/>
          <w:lang w:val="es-PR"/>
        </w:rPr>
        <w:t xml:space="preserve">. Así, lo propuesto en esta medida </w:t>
      </w:r>
      <w:r w:rsidR="002C6695">
        <w:rPr>
          <w:rFonts w:ascii="Book Antiqua" w:eastAsia="Book Antiqua" w:hAnsi="Book Antiqua" w:cs="Book Antiqua"/>
          <w:color w:val="000000" w:themeColor="text1"/>
          <w:lang w:val="es-PR"/>
        </w:rPr>
        <w:t xml:space="preserve">describe </w:t>
      </w:r>
      <w:r w:rsidR="008C5481">
        <w:rPr>
          <w:rFonts w:ascii="Book Antiqua" w:eastAsia="Book Antiqua" w:hAnsi="Book Antiqua" w:cs="Book Antiqua"/>
          <w:color w:val="000000" w:themeColor="text1"/>
          <w:lang w:val="es-PR"/>
        </w:rPr>
        <w:t xml:space="preserve">el mismo término fijo del artículo 307 </w:t>
      </w:r>
      <w:r w:rsidR="00354550">
        <w:rPr>
          <w:rFonts w:ascii="Book Antiqua" w:eastAsia="Book Antiqua" w:hAnsi="Book Antiqua" w:cs="Book Antiqua"/>
          <w:color w:val="000000" w:themeColor="text1"/>
          <w:lang w:val="es-PR"/>
        </w:rPr>
        <w:t xml:space="preserve">(e) </w:t>
      </w:r>
      <w:r w:rsidR="008C5481">
        <w:rPr>
          <w:rFonts w:ascii="Book Antiqua" w:eastAsia="Book Antiqua" w:hAnsi="Book Antiqua" w:cs="Book Antiqua"/>
          <w:color w:val="000000" w:themeColor="text1"/>
          <w:lang w:val="es-PR"/>
        </w:rPr>
        <w:t xml:space="preserve">del </w:t>
      </w:r>
      <w:r w:rsidR="004B6D87">
        <w:rPr>
          <w:rFonts w:ascii="Book Antiqua" w:eastAsia="Book Antiqua" w:hAnsi="Book Antiqua" w:cs="Book Antiqua"/>
          <w:color w:val="000000" w:themeColor="text1"/>
          <w:lang w:val="es-PR"/>
        </w:rPr>
        <w:t>Código Penal de Puerto Rico</w:t>
      </w:r>
      <w:r w:rsidR="00354550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B6D87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354550">
        <w:rPr>
          <w:rFonts w:ascii="Book Antiqua" w:eastAsia="Book Antiqua" w:hAnsi="Book Antiqua" w:cs="Book Antiqua"/>
          <w:color w:val="000000" w:themeColor="text1"/>
          <w:lang w:val="es-PR"/>
        </w:rPr>
        <w:t xml:space="preserve"> Esto,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B6D87">
        <w:rPr>
          <w:rFonts w:ascii="Book Antiqua" w:eastAsia="Book Antiqua" w:hAnsi="Book Antiqua" w:cs="Book Antiqua"/>
          <w:color w:val="000000" w:themeColor="text1"/>
          <w:lang w:val="es-PR"/>
        </w:rPr>
        <w:t xml:space="preserve">sin alterar la severidad de la pena </w:t>
      </w:r>
      <w:r w:rsidR="00E17234">
        <w:rPr>
          <w:rFonts w:ascii="Book Antiqua" w:eastAsia="Book Antiqua" w:hAnsi="Book Antiqua" w:cs="Book Antiqua"/>
          <w:color w:val="000000" w:themeColor="text1"/>
          <w:lang w:val="es-PR"/>
        </w:rPr>
        <w:t>actual</w:t>
      </w:r>
      <w:r w:rsidR="00354550">
        <w:rPr>
          <w:rFonts w:ascii="Book Antiqua" w:eastAsia="Book Antiqua" w:hAnsi="Book Antiqua" w:cs="Book Antiqua"/>
          <w:color w:val="000000" w:themeColor="text1"/>
          <w:lang w:val="es-PR"/>
        </w:rPr>
        <w:t xml:space="preserve">, y sin </w:t>
      </w:r>
      <w:r w:rsidR="00E17234">
        <w:rPr>
          <w:rFonts w:ascii="Book Antiqua" w:eastAsia="Book Antiqua" w:hAnsi="Book Antiqua" w:cs="Book Antiqua"/>
          <w:color w:val="000000" w:themeColor="text1"/>
          <w:lang w:val="es-PR"/>
        </w:rPr>
        <w:t>introduc</w:t>
      </w:r>
      <w:r w:rsidR="00354550">
        <w:rPr>
          <w:rFonts w:ascii="Book Antiqua" w:eastAsia="Book Antiqua" w:hAnsi="Book Antiqua" w:cs="Book Antiqua"/>
          <w:color w:val="000000" w:themeColor="text1"/>
          <w:lang w:val="es-PR"/>
        </w:rPr>
        <w:t>ir</w:t>
      </w:r>
      <w:r w:rsidR="00E17234">
        <w:rPr>
          <w:rFonts w:ascii="Book Antiqua" w:eastAsia="Book Antiqua" w:hAnsi="Book Antiqua" w:cs="Book Antiqua"/>
          <w:color w:val="000000" w:themeColor="text1"/>
          <w:lang w:val="es-PR"/>
        </w:rPr>
        <w:t xml:space="preserve"> variaciones en </w:t>
      </w:r>
      <w:r w:rsidR="00354550">
        <w:rPr>
          <w:rFonts w:ascii="Book Antiqua" w:eastAsia="Book Antiqua" w:hAnsi="Book Antiqua" w:cs="Book Antiqua"/>
          <w:color w:val="000000" w:themeColor="text1"/>
          <w:lang w:val="es-PR"/>
        </w:rPr>
        <w:t>los elementos penales.</w:t>
      </w:r>
      <w:r w:rsidR="00484B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D30BA">
        <w:rPr>
          <w:rFonts w:ascii="Book Antiqua" w:eastAsia="Book Antiqua" w:hAnsi="Book Antiqua" w:cs="Book Antiqua"/>
          <w:color w:val="000000" w:themeColor="text1"/>
          <w:lang w:val="es-PR"/>
        </w:rPr>
        <w:t xml:space="preserve">La CJPR entiende que </w:t>
      </w:r>
      <w:r w:rsidR="009204F9">
        <w:rPr>
          <w:rFonts w:ascii="Book Antiqua" w:eastAsia="Book Antiqua" w:hAnsi="Book Antiqua" w:cs="Book Antiqua"/>
          <w:color w:val="000000" w:themeColor="text1"/>
          <w:lang w:val="es-PR"/>
        </w:rPr>
        <w:t>la medida no conlleva impacto fiscal ni operacional</w:t>
      </w:r>
      <w:r w:rsidR="00426A39">
        <w:rPr>
          <w:rFonts w:ascii="Book Antiqua" w:eastAsia="Book Antiqua" w:hAnsi="Book Antiqua" w:cs="Book Antiqua"/>
          <w:color w:val="000000" w:themeColor="text1"/>
          <w:lang w:val="es-PR"/>
        </w:rPr>
        <w:t>, por lo que</w:t>
      </w:r>
      <w:r w:rsidR="00BB5EB4">
        <w:rPr>
          <w:rFonts w:ascii="Book Antiqua" w:eastAsia="Book Antiqua" w:hAnsi="Book Antiqua" w:cs="Book Antiqua"/>
          <w:color w:val="000000" w:themeColor="text1"/>
          <w:lang w:val="es-PR"/>
        </w:rPr>
        <w:t xml:space="preserve"> endosó </w:t>
      </w:r>
      <w:r w:rsidR="00426A39">
        <w:rPr>
          <w:rFonts w:ascii="Book Antiqua" w:eastAsia="Book Antiqua" w:hAnsi="Book Antiqua" w:cs="Book Antiqua"/>
          <w:color w:val="000000" w:themeColor="text1"/>
          <w:lang w:val="es-PR"/>
        </w:rPr>
        <w:t>el P. de la S. 96.</w:t>
      </w:r>
    </w:p>
    <w:p w14:paraId="304D9965" w14:textId="3AF8AE11" w:rsidR="00FB7C8D" w:rsidRDefault="007038CC" w:rsidP="00FB7C8D">
      <w:pPr>
        <w:spacing w:line="298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su parte, la </w:t>
      </w:r>
      <w:r w:rsidRPr="000F791D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Asociación de Hoteles y Turismo de Puerto Rico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(Asociación)</w:t>
      </w:r>
      <w:r w:rsidR="00F15BF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35BF4">
        <w:rPr>
          <w:rFonts w:ascii="Book Antiqua" w:eastAsia="Book Antiqua" w:hAnsi="Book Antiqua" w:cs="Book Antiqua"/>
          <w:color w:val="000000" w:themeColor="text1"/>
          <w:lang w:val="es-PR"/>
        </w:rPr>
        <w:t xml:space="preserve">explicó </w:t>
      </w:r>
      <w:r w:rsidR="008448C7">
        <w:rPr>
          <w:rFonts w:ascii="Book Antiqua" w:eastAsia="Book Antiqua" w:hAnsi="Book Antiqua" w:cs="Book Antiqua"/>
          <w:color w:val="000000" w:themeColor="text1"/>
          <w:lang w:val="es-PR"/>
        </w:rPr>
        <w:t xml:space="preserve">que </w:t>
      </w:r>
      <w:r w:rsidR="00235BF4"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1141C5">
        <w:rPr>
          <w:rFonts w:ascii="Book Antiqua" w:eastAsia="Book Antiqua" w:hAnsi="Book Antiqua" w:cs="Book Antiqua"/>
          <w:color w:val="000000" w:themeColor="text1"/>
          <w:lang w:val="es-PR"/>
        </w:rPr>
        <w:t xml:space="preserve"> s</w:t>
      </w:r>
      <w:r w:rsidR="001141C5" w:rsidRPr="0039767E">
        <w:rPr>
          <w:rFonts w:ascii="Book Antiqua" w:hAnsi="Book Antiqua"/>
          <w:color w:val="000000"/>
          <w:lang w:val="es-PR"/>
        </w:rPr>
        <w:t xml:space="preserve">ección 9-A de la </w:t>
      </w:r>
      <w:r w:rsidR="001141C5" w:rsidRPr="00576521">
        <w:rPr>
          <w:rFonts w:ascii="Book Antiqua" w:hAnsi="Book Antiqua"/>
          <w:i/>
          <w:iCs/>
          <w:color w:val="000000"/>
          <w:lang w:val="es-PR"/>
        </w:rPr>
        <w:t>Ley de juegos de azar</w:t>
      </w:r>
      <w:r w:rsidR="001141C5">
        <w:rPr>
          <w:rFonts w:ascii="Book Antiqua" w:hAnsi="Book Antiqua"/>
          <w:i/>
          <w:iCs/>
          <w:color w:val="000000"/>
          <w:lang w:val="es-PR"/>
        </w:rPr>
        <w:t xml:space="preserve"> </w:t>
      </w:r>
      <w:r w:rsidR="004F088D">
        <w:rPr>
          <w:rFonts w:ascii="Book Antiqua" w:hAnsi="Book Antiqua"/>
          <w:color w:val="000000"/>
          <w:lang w:val="es-PR"/>
        </w:rPr>
        <w:t xml:space="preserve">establece penalidades para las personas </w:t>
      </w:r>
      <w:r w:rsidR="001C7E63">
        <w:rPr>
          <w:rFonts w:ascii="Book Antiqua" w:hAnsi="Book Antiqua"/>
          <w:color w:val="000000"/>
          <w:lang w:val="es-PR"/>
        </w:rPr>
        <w:t xml:space="preserve">que incurren en ciertas conductas </w:t>
      </w:r>
      <w:r w:rsidR="00126E26">
        <w:rPr>
          <w:rFonts w:ascii="Book Antiqua" w:hAnsi="Book Antiqua"/>
          <w:color w:val="000000"/>
          <w:lang w:val="es-PR"/>
        </w:rPr>
        <w:t>fraudulentas</w:t>
      </w:r>
      <w:r w:rsidR="00FB7C8D">
        <w:rPr>
          <w:rFonts w:ascii="Book Antiqua" w:hAnsi="Book Antiqua"/>
          <w:color w:val="000000"/>
          <w:lang w:val="es-PR"/>
        </w:rPr>
        <w:t>. Esto,</w:t>
      </w:r>
      <w:r w:rsidR="00126E26">
        <w:rPr>
          <w:rFonts w:ascii="Book Antiqua" w:hAnsi="Book Antiqua"/>
          <w:color w:val="000000"/>
          <w:lang w:val="es-PR"/>
        </w:rPr>
        <w:t xml:space="preserve"> para beneficiarse indebidamente en los casinos de Puerto Rico.</w:t>
      </w:r>
      <w:r w:rsidR="00FB7C8D">
        <w:rPr>
          <w:rFonts w:ascii="Book Antiqua" w:hAnsi="Book Antiqua"/>
          <w:color w:val="000000"/>
          <w:lang w:val="es-PR"/>
        </w:rPr>
        <w:t xml:space="preserve"> </w:t>
      </w:r>
    </w:p>
    <w:p w14:paraId="46C4A4ED" w14:textId="0CA520A5" w:rsidR="00A96978" w:rsidRDefault="00FB7C8D" w:rsidP="004B6D87">
      <w:pPr>
        <w:spacing w:after="240" w:line="298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>La</w:t>
      </w:r>
      <w:r w:rsidR="00126E26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Asociación recomendó que se añada una agravante</w:t>
      </w:r>
      <w:r w:rsidR="008448C7">
        <w:rPr>
          <w:rFonts w:ascii="Book Antiqua" w:hAnsi="Book Antiqua"/>
          <w:color w:val="000000"/>
          <w:lang w:val="es-PR"/>
        </w:rPr>
        <w:t xml:space="preserve"> en el caso que</w:t>
      </w:r>
      <w:r>
        <w:rPr>
          <w:rFonts w:ascii="Book Antiqua" w:hAnsi="Book Antiqua"/>
          <w:color w:val="000000"/>
          <w:lang w:val="es-PR"/>
        </w:rPr>
        <w:t xml:space="preserve"> </w:t>
      </w:r>
      <w:r w:rsidR="003C4399">
        <w:rPr>
          <w:rFonts w:ascii="Book Antiqua" w:hAnsi="Book Antiqua"/>
          <w:color w:val="000000"/>
          <w:lang w:val="es-PR"/>
        </w:rPr>
        <w:t xml:space="preserve">la persona que incurre en la conducta fraudulenta </w:t>
      </w:r>
      <w:r w:rsidR="006339F8">
        <w:rPr>
          <w:rFonts w:ascii="Book Antiqua" w:hAnsi="Book Antiqua"/>
          <w:color w:val="000000"/>
          <w:lang w:val="es-PR"/>
        </w:rPr>
        <w:t xml:space="preserve">que prohíbe la referida disposición estatutaria </w:t>
      </w:r>
      <w:r w:rsidR="000D4DDE">
        <w:rPr>
          <w:rFonts w:ascii="Book Antiqua" w:hAnsi="Book Antiqua"/>
          <w:color w:val="000000"/>
          <w:lang w:val="es-PR"/>
        </w:rPr>
        <w:t xml:space="preserve">es licenciada por </w:t>
      </w:r>
      <w:r w:rsidR="006339F8">
        <w:rPr>
          <w:rFonts w:ascii="Book Antiqua" w:hAnsi="Book Antiqua"/>
          <w:color w:val="000000"/>
          <w:lang w:val="es-PR"/>
        </w:rPr>
        <w:t>la CJPR.</w:t>
      </w:r>
      <w:r w:rsidR="000D4DDE">
        <w:rPr>
          <w:rFonts w:ascii="Book Antiqua" w:hAnsi="Book Antiqua"/>
          <w:color w:val="000000"/>
          <w:lang w:val="es-PR"/>
        </w:rPr>
        <w:t xml:space="preserve"> </w:t>
      </w:r>
      <w:r w:rsidR="00BD1ED5">
        <w:rPr>
          <w:rFonts w:ascii="Book Antiqua" w:hAnsi="Book Antiqua"/>
          <w:color w:val="000000"/>
          <w:lang w:val="es-PR"/>
        </w:rPr>
        <w:t>Para l</w:t>
      </w:r>
      <w:r w:rsidR="000D4DDE">
        <w:rPr>
          <w:rFonts w:ascii="Book Antiqua" w:hAnsi="Book Antiqua"/>
          <w:color w:val="000000"/>
          <w:lang w:val="es-PR"/>
        </w:rPr>
        <w:t>a Asociación</w:t>
      </w:r>
      <w:r w:rsidR="00BD1ED5">
        <w:rPr>
          <w:rFonts w:ascii="Book Antiqua" w:hAnsi="Book Antiqua"/>
          <w:color w:val="000000"/>
          <w:lang w:val="es-PR"/>
        </w:rPr>
        <w:t>,</w:t>
      </w:r>
      <w:r w:rsidR="000D4DDE">
        <w:rPr>
          <w:rFonts w:ascii="Book Antiqua" w:hAnsi="Book Antiqua"/>
          <w:color w:val="000000"/>
          <w:lang w:val="es-PR"/>
        </w:rPr>
        <w:t xml:space="preserve"> tales empleados licencia</w:t>
      </w:r>
      <w:r w:rsidR="00A51222">
        <w:rPr>
          <w:rFonts w:ascii="Book Antiqua" w:hAnsi="Book Antiqua"/>
          <w:color w:val="000000"/>
          <w:lang w:val="es-PR"/>
        </w:rPr>
        <w:t>dos deben tener un disuasivo mayor para evitar conductas fraudulentas que traicionen la confianza de la</w:t>
      </w:r>
      <w:r w:rsidR="00655DE8">
        <w:rPr>
          <w:rFonts w:ascii="Book Antiqua" w:hAnsi="Book Antiqua"/>
          <w:color w:val="000000"/>
          <w:lang w:val="es-PR"/>
        </w:rPr>
        <w:t xml:space="preserve"> CJPR y de la industria de juegos.</w:t>
      </w:r>
      <w:r w:rsidR="00A96978">
        <w:rPr>
          <w:rFonts w:ascii="Book Antiqua" w:hAnsi="Book Antiqua"/>
          <w:color w:val="000000"/>
          <w:lang w:val="es-PR"/>
        </w:rPr>
        <w:t xml:space="preserve"> </w:t>
      </w:r>
    </w:p>
    <w:p w14:paraId="6D4BAF32" w14:textId="0FE0FD78" w:rsidR="00976FE7" w:rsidRDefault="00A96978" w:rsidP="00BB64AF">
      <w:pPr>
        <w:spacing w:after="240" w:line="298" w:lineRule="auto"/>
        <w:ind w:firstLine="720"/>
        <w:jc w:val="both"/>
        <w:rPr>
          <w:rFonts w:ascii="Book Antiqua" w:hAnsi="Book Antiqua"/>
          <w:b/>
          <w:bCs/>
          <w:spacing w:val="12"/>
          <w:lang w:val="es-PR"/>
        </w:rPr>
      </w:pPr>
      <w:r>
        <w:rPr>
          <w:rFonts w:ascii="Book Antiqua" w:hAnsi="Book Antiqua"/>
          <w:color w:val="000000"/>
          <w:lang w:val="es-PR"/>
        </w:rPr>
        <w:lastRenderedPageBreak/>
        <w:t xml:space="preserve">Sobre el particular, </w:t>
      </w:r>
      <w:r w:rsidR="009E30EC">
        <w:rPr>
          <w:rFonts w:ascii="Book Antiqua" w:hAnsi="Book Antiqua"/>
          <w:color w:val="000000"/>
          <w:lang w:val="es-PR"/>
        </w:rPr>
        <w:t xml:space="preserve">esta comisión entiende que la pena grave y menos grave que contempla </w:t>
      </w:r>
      <w:r w:rsidR="009E30EC" w:rsidRPr="009E30EC">
        <w:rPr>
          <w:rFonts w:ascii="Book Antiqua" w:hAnsi="Book Antiqua"/>
          <w:color w:val="000000"/>
          <w:lang w:val="es-PR"/>
        </w:rPr>
        <w:t xml:space="preserve">la sección 9-A de la </w:t>
      </w:r>
      <w:r w:rsidR="009E30EC" w:rsidRPr="009E30EC">
        <w:rPr>
          <w:rFonts w:ascii="Book Antiqua" w:hAnsi="Book Antiqua"/>
          <w:i/>
          <w:iCs/>
          <w:color w:val="000000"/>
          <w:lang w:val="es-PR"/>
        </w:rPr>
        <w:t>Ley de juegos de azar</w:t>
      </w:r>
      <w:r w:rsidR="00BA5DE7">
        <w:rPr>
          <w:rFonts w:ascii="Book Antiqua" w:hAnsi="Book Antiqua"/>
          <w:i/>
          <w:iCs/>
          <w:color w:val="000000"/>
          <w:lang w:val="es-PR"/>
        </w:rPr>
        <w:t xml:space="preserve"> </w:t>
      </w:r>
      <w:r w:rsidR="00BA5DE7">
        <w:rPr>
          <w:rFonts w:ascii="Book Antiqua" w:hAnsi="Book Antiqua"/>
          <w:color w:val="000000"/>
          <w:lang w:val="es-PR"/>
        </w:rPr>
        <w:t>es suficiente disuasivo para penalizar las conductas fraudulentas prohibidas en</w:t>
      </w:r>
      <w:r w:rsidR="00A42376">
        <w:rPr>
          <w:rFonts w:ascii="Book Antiqua" w:hAnsi="Book Antiqua"/>
          <w:color w:val="000000"/>
          <w:lang w:val="es-PR"/>
        </w:rPr>
        <w:t xml:space="preserve"> la disposición estatutaria objeto de esta medida.</w:t>
      </w:r>
      <w:r w:rsidR="00A42376">
        <w:rPr>
          <w:rStyle w:val="FootnoteReference"/>
          <w:rFonts w:ascii="Book Antiqua" w:hAnsi="Book Antiqua"/>
          <w:color w:val="000000"/>
          <w:lang w:val="es-PR"/>
        </w:rPr>
        <w:footnoteReference w:id="4"/>
      </w:r>
      <w:r w:rsidR="00A42376">
        <w:rPr>
          <w:rFonts w:ascii="Book Antiqua" w:hAnsi="Book Antiqua"/>
          <w:color w:val="000000"/>
          <w:lang w:val="es-PR"/>
        </w:rPr>
        <w:t xml:space="preserve"> </w:t>
      </w:r>
      <w:r w:rsidR="00720F67">
        <w:rPr>
          <w:rFonts w:ascii="Book Antiqua" w:hAnsi="Book Antiqua"/>
          <w:color w:val="000000"/>
          <w:lang w:val="es-PR"/>
        </w:rPr>
        <w:t xml:space="preserve">Además, la </w:t>
      </w:r>
      <w:r w:rsidR="00720F67" w:rsidRPr="009E30EC">
        <w:rPr>
          <w:rFonts w:ascii="Book Antiqua" w:hAnsi="Book Antiqua"/>
          <w:color w:val="000000"/>
          <w:lang w:val="es-PR"/>
        </w:rPr>
        <w:t>sección 9-A</w:t>
      </w:r>
      <w:r w:rsidR="00720F67">
        <w:rPr>
          <w:rFonts w:ascii="Book Antiqua" w:hAnsi="Book Antiqua"/>
          <w:color w:val="000000"/>
          <w:lang w:val="es-PR"/>
        </w:rPr>
        <w:t xml:space="preserve"> (c) </w:t>
      </w:r>
      <w:r w:rsidR="00F37C0E">
        <w:rPr>
          <w:rFonts w:ascii="Book Antiqua" w:hAnsi="Book Antiqua"/>
          <w:color w:val="000000"/>
          <w:lang w:val="es-PR"/>
        </w:rPr>
        <w:t xml:space="preserve">establece que quien incurra en la conducta descrita en los </w:t>
      </w:r>
      <w:r w:rsidR="00C12FCE">
        <w:rPr>
          <w:rFonts w:ascii="Book Antiqua" w:hAnsi="Book Antiqua"/>
          <w:color w:val="000000"/>
          <w:lang w:val="es-PR"/>
        </w:rPr>
        <w:t>incisos (a) y (b)</w:t>
      </w:r>
      <w:r w:rsidR="00023560">
        <w:rPr>
          <w:rFonts w:ascii="Book Antiqua" w:hAnsi="Book Antiqua"/>
          <w:color w:val="000000"/>
          <w:lang w:val="es-PR"/>
        </w:rPr>
        <w:t>,</w:t>
      </w:r>
      <w:r w:rsidR="00C12FCE">
        <w:rPr>
          <w:rFonts w:ascii="Book Antiqua" w:hAnsi="Book Antiqua"/>
          <w:color w:val="000000"/>
          <w:lang w:val="es-PR"/>
        </w:rPr>
        <w:t xml:space="preserve"> </w:t>
      </w:r>
      <w:r w:rsidR="00023560" w:rsidRPr="00023560">
        <w:rPr>
          <w:rFonts w:ascii="Book Antiqua" w:hAnsi="Book Antiqua"/>
          <w:color w:val="000000"/>
          <w:lang w:val="es-PR"/>
        </w:rPr>
        <w:t>o resultare</w:t>
      </w:r>
      <w:r w:rsidR="00023560">
        <w:rPr>
          <w:rFonts w:ascii="Book Antiqua" w:hAnsi="Book Antiqua"/>
          <w:color w:val="000000"/>
          <w:lang w:val="es-PR"/>
        </w:rPr>
        <w:t xml:space="preserve"> </w:t>
      </w:r>
      <w:r w:rsidR="00023560" w:rsidRPr="00023560">
        <w:rPr>
          <w:rFonts w:ascii="Book Antiqua" w:hAnsi="Book Antiqua"/>
          <w:color w:val="000000"/>
          <w:lang w:val="es-PR"/>
        </w:rPr>
        <w:t>convicta de cualquier otro delito grave o menos grave</w:t>
      </w:r>
      <w:r w:rsidR="00023560">
        <w:rPr>
          <w:rFonts w:ascii="Book Antiqua" w:hAnsi="Book Antiqua"/>
          <w:color w:val="000000"/>
          <w:lang w:val="es-PR"/>
        </w:rPr>
        <w:t xml:space="preserve"> </w:t>
      </w:r>
      <w:r w:rsidR="00C12FCE" w:rsidRPr="00C12FCE">
        <w:rPr>
          <w:rFonts w:ascii="Book Antiqua" w:hAnsi="Book Antiqua"/>
          <w:color w:val="000000"/>
          <w:lang w:val="es-PR"/>
        </w:rPr>
        <w:t xml:space="preserve">que envuelva depravación moral, </w:t>
      </w:r>
      <w:r w:rsidR="00023560">
        <w:rPr>
          <w:rFonts w:ascii="Book Antiqua" w:hAnsi="Book Antiqua"/>
          <w:color w:val="000000"/>
          <w:lang w:val="es-PR"/>
        </w:rPr>
        <w:t xml:space="preserve">se le </w:t>
      </w:r>
      <w:r w:rsidR="00C12FCE" w:rsidRPr="00C12FCE">
        <w:rPr>
          <w:rFonts w:ascii="Book Antiqua" w:hAnsi="Book Antiqua"/>
          <w:color w:val="000000"/>
          <w:lang w:val="es-PR"/>
        </w:rPr>
        <w:t xml:space="preserve">revocará su licencia </w:t>
      </w:r>
      <w:r w:rsidR="00212110">
        <w:rPr>
          <w:rFonts w:ascii="Book Antiqua" w:hAnsi="Book Antiqua"/>
          <w:color w:val="000000"/>
          <w:lang w:val="es-PR"/>
        </w:rPr>
        <w:t xml:space="preserve">de la CJPR </w:t>
      </w:r>
      <w:r w:rsidR="00C12FCE" w:rsidRPr="00C12FCE">
        <w:rPr>
          <w:rFonts w:ascii="Book Antiqua" w:hAnsi="Book Antiqua"/>
          <w:color w:val="000000"/>
          <w:lang w:val="es-PR"/>
        </w:rPr>
        <w:t xml:space="preserve">o no será elegible para licencia </w:t>
      </w:r>
      <w:r w:rsidR="001418D6">
        <w:rPr>
          <w:rFonts w:ascii="Book Antiqua" w:hAnsi="Book Antiqua"/>
          <w:color w:val="000000"/>
          <w:lang w:val="es-PR"/>
        </w:rPr>
        <w:t xml:space="preserve">alguna </w:t>
      </w:r>
      <w:r w:rsidR="00C12FCE" w:rsidRPr="00C12FCE">
        <w:rPr>
          <w:rFonts w:ascii="Book Antiqua" w:hAnsi="Book Antiqua"/>
          <w:color w:val="000000"/>
          <w:lang w:val="es-PR"/>
        </w:rPr>
        <w:t>de</w:t>
      </w:r>
      <w:r w:rsidR="00212110">
        <w:rPr>
          <w:rFonts w:ascii="Book Antiqua" w:hAnsi="Book Antiqua"/>
          <w:color w:val="000000"/>
          <w:lang w:val="es-PR"/>
        </w:rPr>
        <w:t xml:space="preserve"> la CJPR</w:t>
      </w:r>
      <w:r w:rsidR="00C12FCE" w:rsidRPr="00C12FCE">
        <w:rPr>
          <w:rFonts w:ascii="Book Antiqua" w:hAnsi="Book Antiqua"/>
          <w:color w:val="000000"/>
          <w:lang w:val="es-PR"/>
        </w:rPr>
        <w:t>.</w:t>
      </w:r>
      <w:r w:rsidR="001418D6">
        <w:rPr>
          <w:rFonts w:ascii="Book Antiqua" w:hAnsi="Book Antiqua"/>
          <w:color w:val="000000"/>
          <w:lang w:val="es-PR"/>
        </w:rPr>
        <w:t xml:space="preserve"> También, la</w:t>
      </w:r>
      <w:r w:rsidR="000F1C26">
        <w:rPr>
          <w:rFonts w:ascii="Book Antiqua" w:hAnsi="Book Antiqua"/>
          <w:color w:val="000000"/>
          <w:lang w:val="es-PR"/>
        </w:rPr>
        <w:t xml:space="preserve"> CJPR cuenta con la reglamentación necesaria para penalizar administrativamente a los empleados</w:t>
      </w:r>
      <w:r w:rsidR="00DF064B">
        <w:rPr>
          <w:rFonts w:ascii="Book Antiqua" w:hAnsi="Book Antiqua"/>
          <w:color w:val="000000"/>
          <w:lang w:val="es-PR"/>
        </w:rPr>
        <w:t xml:space="preserve"> que incumplan con la </w:t>
      </w:r>
      <w:r w:rsidR="00DF064B" w:rsidRPr="009E30EC">
        <w:rPr>
          <w:rFonts w:ascii="Book Antiqua" w:hAnsi="Book Antiqua"/>
          <w:color w:val="000000"/>
          <w:lang w:val="es-PR"/>
        </w:rPr>
        <w:t>sección 9-A</w:t>
      </w:r>
      <w:r w:rsidR="00DF064B">
        <w:rPr>
          <w:rFonts w:ascii="Book Antiqua" w:hAnsi="Book Antiqua"/>
          <w:color w:val="000000"/>
          <w:lang w:val="es-PR"/>
        </w:rPr>
        <w:t>.</w:t>
      </w:r>
      <w:r w:rsidR="00EF3675">
        <w:rPr>
          <w:rStyle w:val="FootnoteReference"/>
          <w:rFonts w:ascii="Book Antiqua" w:hAnsi="Book Antiqua"/>
          <w:color w:val="000000"/>
          <w:lang w:val="es-PR"/>
        </w:rPr>
        <w:footnoteReference w:id="5"/>
      </w:r>
      <w:r w:rsidR="00DF064B">
        <w:rPr>
          <w:rFonts w:ascii="Book Antiqua" w:hAnsi="Book Antiqua"/>
          <w:color w:val="000000"/>
          <w:lang w:val="es-PR"/>
        </w:rPr>
        <w:t xml:space="preserve"> </w:t>
      </w:r>
    </w:p>
    <w:p w14:paraId="5DD14D43" w14:textId="38F01468" w:rsidR="0096171F" w:rsidRPr="0087289B" w:rsidRDefault="0096171F" w:rsidP="00623F92">
      <w:pPr>
        <w:tabs>
          <w:tab w:val="left" w:pos="-720"/>
        </w:tabs>
        <w:suppressAutoHyphens/>
        <w:spacing w:after="120" w:line="276" w:lineRule="auto"/>
        <w:ind w:firstLine="360"/>
        <w:jc w:val="center"/>
        <w:rPr>
          <w:rFonts w:ascii="Book Antiqua" w:hAnsi="Book Antiqua"/>
          <w:spacing w:val="12"/>
          <w:lang w:val="es-PR"/>
        </w:rPr>
      </w:pPr>
      <w:r w:rsidRPr="0087289B">
        <w:rPr>
          <w:rFonts w:ascii="Book Antiqua" w:hAnsi="Book Antiqua"/>
          <w:spacing w:val="12"/>
          <w:lang w:val="es-PR"/>
        </w:rPr>
        <w:t>C</w:t>
      </w:r>
      <w:r w:rsidR="002C402D" w:rsidRPr="0087289B">
        <w:rPr>
          <w:rFonts w:ascii="Book Antiqua" w:hAnsi="Book Antiqua"/>
          <w:spacing w:val="12"/>
          <w:lang w:val="es-PR"/>
        </w:rPr>
        <w:t xml:space="preserve">ONCLUSIÓN </w:t>
      </w:r>
    </w:p>
    <w:p w14:paraId="7BAA1106" w14:textId="1E4A1C3E" w:rsidR="00DF45DC" w:rsidRPr="00EF1E2F" w:rsidRDefault="00017AB8" w:rsidP="00020D20">
      <w:pPr>
        <w:tabs>
          <w:tab w:val="left" w:pos="-720"/>
        </w:tabs>
        <w:suppressAutoHyphens/>
        <w:spacing w:after="360" w:line="298" w:lineRule="auto"/>
        <w:jc w:val="both"/>
        <w:rPr>
          <w:rFonts w:ascii="Book Antiqua" w:hAnsi="Book Antiqua"/>
          <w:lang w:val="es-PR"/>
        </w:rPr>
      </w:pPr>
      <w:r w:rsidRPr="00EF1E2F">
        <w:rPr>
          <w:rFonts w:ascii="Book Antiqua" w:hAnsi="Book Antiqua"/>
          <w:b/>
          <w:bCs/>
          <w:lang w:val="es-PR"/>
        </w:rPr>
        <w:tab/>
      </w:r>
      <w:r w:rsidR="00C506A9" w:rsidRPr="00C506A9">
        <w:rPr>
          <w:rFonts w:ascii="Book Antiqua" w:hAnsi="Book Antiqua"/>
          <w:lang w:val="es-PR"/>
        </w:rPr>
        <w:t xml:space="preserve">En </w:t>
      </w:r>
      <w:r w:rsidR="0072047A">
        <w:rPr>
          <w:rFonts w:ascii="Book Antiqua" w:hAnsi="Book Antiqua"/>
          <w:lang w:val="es-PR"/>
        </w:rPr>
        <w:t>fin</w:t>
      </w:r>
      <w:r w:rsidR="00C506A9" w:rsidRPr="00C506A9">
        <w:rPr>
          <w:rFonts w:ascii="Book Antiqua" w:hAnsi="Book Antiqua"/>
          <w:lang w:val="es-PR"/>
        </w:rPr>
        <w:t>,</w:t>
      </w:r>
      <w:r w:rsidR="00C506A9">
        <w:rPr>
          <w:rFonts w:ascii="Book Antiqua" w:hAnsi="Book Antiqua"/>
          <w:b/>
          <w:bCs/>
          <w:lang w:val="es-PR"/>
        </w:rPr>
        <w:t xml:space="preserve"> </w:t>
      </w:r>
      <w:r w:rsidR="00C506A9" w:rsidRPr="00C506A9">
        <w:rPr>
          <w:rFonts w:ascii="Book Antiqua" w:hAnsi="Book Antiqua"/>
          <w:lang w:val="es-PR"/>
        </w:rPr>
        <w:t>esta comisión</w:t>
      </w:r>
      <w:r w:rsidR="00C506A9">
        <w:rPr>
          <w:rFonts w:ascii="Book Antiqua" w:hAnsi="Book Antiqua"/>
          <w:b/>
          <w:bCs/>
          <w:lang w:val="es-PR"/>
        </w:rPr>
        <w:t xml:space="preserve"> </w:t>
      </w:r>
      <w:r w:rsidR="00C86F23">
        <w:rPr>
          <w:rFonts w:ascii="Book Antiqua" w:hAnsi="Book Antiqua"/>
          <w:lang w:val="es-PR"/>
        </w:rPr>
        <w:t xml:space="preserve">recomienda </w:t>
      </w:r>
      <w:r w:rsidR="001C5E99">
        <w:rPr>
          <w:rFonts w:ascii="Book Antiqua" w:hAnsi="Book Antiqua"/>
          <w:lang w:val="es-PR"/>
        </w:rPr>
        <w:t xml:space="preserve">el P. del S. </w:t>
      </w:r>
      <w:r w:rsidR="00C86F23">
        <w:rPr>
          <w:rFonts w:ascii="Book Antiqua" w:hAnsi="Book Antiqua"/>
          <w:lang w:val="es-PR"/>
        </w:rPr>
        <w:t>96</w:t>
      </w:r>
      <w:r w:rsidR="00006DDC" w:rsidRPr="00EF1E2F">
        <w:rPr>
          <w:rFonts w:ascii="Book Antiqua" w:hAnsi="Book Antiqua"/>
          <w:lang w:val="es-PR"/>
        </w:rPr>
        <w:t xml:space="preserve"> con las enmiendas en el </w:t>
      </w:r>
      <w:proofErr w:type="spellStart"/>
      <w:r w:rsidR="00006DDC" w:rsidRPr="00EF1E2F">
        <w:rPr>
          <w:rFonts w:ascii="Book Antiqua" w:hAnsi="Book Antiqua"/>
          <w:lang w:val="es-PR"/>
        </w:rPr>
        <w:t>entirillado</w:t>
      </w:r>
      <w:proofErr w:type="spellEnd"/>
      <w:r w:rsidR="00006DDC" w:rsidRPr="00EF1E2F">
        <w:rPr>
          <w:rFonts w:ascii="Book Antiqua" w:hAnsi="Book Antiqua"/>
          <w:lang w:val="es-PR"/>
        </w:rPr>
        <w:t xml:space="preserve"> electrónico que se acompaña. </w:t>
      </w:r>
    </w:p>
    <w:p w14:paraId="55BF4401" w14:textId="47D9F873" w:rsidR="00006DDC" w:rsidRPr="00EF1E2F" w:rsidRDefault="002C40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  <w:r w:rsidRPr="00EF1E2F">
        <w:rPr>
          <w:rFonts w:ascii="Book Antiqua" w:hAnsi="Book Antiqua"/>
          <w:lang w:val="es-PR"/>
        </w:rPr>
        <w:t xml:space="preserve">Respetuosamente </w:t>
      </w:r>
      <w:r w:rsidR="00F649DC">
        <w:rPr>
          <w:rFonts w:ascii="Book Antiqua" w:hAnsi="Book Antiqua"/>
          <w:lang w:val="es-PR"/>
        </w:rPr>
        <w:t>presenta</w:t>
      </w:r>
      <w:r w:rsidRPr="00EF1E2F">
        <w:rPr>
          <w:rFonts w:ascii="Book Antiqua" w:hAnsi="Book Antiqua"/>
          <w:lang w:val="es-PR"/>
        </w:rPr>
        <w:t xml:space="preserve">do, </w:t>
      </w:r>
    </w:p>
    <w:p w14:paraId="25A0C537" w14:textId="77777777" w:rsidR="00552B8A" w:rsidRPr="00EF1E2F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PR"/>
        </w:rPr>
      </w:pPr>
    </w:p>
    <w:p w14:paraId="23BA8335" w14:textId="77777777" w:rsidR="00242E80" w:rsidRPr="00EF1E2F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</w:p>
    <w:p w14:paraId="454852E2" w14:textId="77777777" w:rsidR="00AB2E69" w:rsidRPr="00CB702C" w:rsidRDefault="00D53E55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smallCaps/>
          <w:lang w:val="es-PR"/>
        </w:rPr>
      </w:pPr>
      <w:r w:rsidRPr="00CB702C">
        <w:rPr>
          <w:rFonts w:ascii="Book Antiqua" w:hAnsi="Book Antiqua"/>
          <w:b/>
          <w:bCs/>
          <w:smallCaps/>
          <w:lang w:val="es-PR"/>
        </w:rPr>
        <w:t>José J. Pérez Cordero</w:t>
      </w:r>
    </w:p>
    <w:p w14:paraId="02A07EA6" w14:textId="77777777" w:rsidR="004F6E72" w:rsidRPr="00EF1E2F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 w:rsidRPr="00EF1E2F">
        <w:rPr>
          <w:rFonts w:ascii="Book Antiqua" w:hAnsi="Book Antiqua"/>
          <w:lang w:val="es-PR"/>
        </w:rPr>
        <w:t>Presidente</w:t>
      </w:r>
    </w:p>
    <w:p w14:paraId="622751E9" w14:textId="77777777" w:rsidR="000B3411" w:rsidRPr="00EF1E2F" w:rsidRDefault="001D12A7" w:rsidP="00D53E55">
      <w:pPr>
        <w:tabs>
          <w:tab w:val="left" w:pos="-720"/>
        </w:tabs>
        <w:suppressAutoHyphens/>
        <w:rPr>
          <w:rFonts w:ascii="Book Antiqua" w:hAnsi="Book Antiqua"/>
          <w:spacing w:val="-3"/>
          <w:lang w:val="es-PR"/>
        </w:rPr>
      </w:pPr>
      <w:r w:rsidRPr="00EF1E2F">
        <w:rPr>
          <w:rFonts w:ascii="Book Antiqua" w:hAnsi="Book Antiqua"/>
          <w:spacing w:val="-3"/>
          <w:lang w:val="es-PR"/>
        </w:rPr>
        <w:t>Comisión de lo Jurídico</w:t>
      </w:r>
    </w:p>
    <w:sectPr w:rsidR="000B3411" w:rsidRPr="00EF1E2F" w:rsidSect="00C760D6">
      <w:headerReference w:type="even" r:id="rId12"/>
      <w:headerReference w:type="default" r:id="rId13"/>
      <w:footerReference w:type="even" r:id="rId14"/>
      <w:headerReference w:type="first" r:id="rId15"/>
      <w:footerReference w:type="first" r:id="rId16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E69AD" w14:textId="77777777" w:rsidR="00044177" w:rsidRDefault="00044177">
      <w:r>
        <w:separator/>
      </w:r>
    </w:p>
  </w:endnote>
  <w:endnote w:type="continuationSeparator" w:id="0">
    <w:p w14:paraId="0BA6143C" w14:textId="77777777" w:rsidR="00044177" w:rsidRDefault="0004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E89F9" w14:textId="77777777" w:rsidR="00A11ED0" w:rsidRDefault="00A11ED0">
    <w:pPr>
      <w:pStyle w:val="Footer"/>
      <w:jc w:val="center"/>
    </w:pPr>
  </w:p>
  <w:p w14:paraId="6FEFE0D5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42DA0" w14:textId="77777777" w:rsidR="00A11ED0" w:rsidRDefault="00A11ED0">
    <w:pPr>
      <w:pStyle w:val="Footer"/>
      <w:jc w:val="center"/>
    </w:pPr>
  </w:p>
  <w:p w14:paraId="2B27203A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23AC9" w14:textId="77777777" w:rsidR="00044177" w:rsidRDefault="00044177">
      <w:r>
        <w:separator/>
      </w:r>
    </w:p>
  </w:footnote>
  <w:footnote w:type="continuationSeparator" w:id="0">
    <w:p w14:paraId="529B868D" w14:textId="77777777" w:rsidR="00044177" w:rsidRDefault="00044177">
      <w:r>
        <w:continuationSeparator/>
      </w:r>
    </w:p>
  </w:footnote>
  <w:footnote w:id="1">
    <w:p w14:paraId="0547C64C" w14:textId="5BA0B5E5" w:rsidR="000F4343" w:rsidRPr="000E2648" w:rsidRDefault="000F4343" w:rsidP="00FD775A">
      <w:pPr>
        <w:pStyle w:val="FootnoteText"/>
        <w:spacing w:after="120"/>
        <w:rPr>
          <w:rFonts w:ascii="Book Antiqua" w:hAnsi="Book Antiqua"/>
          <w:lang w:val="es-PR"/>
        </w:rPr>
      </w:pPr>
      <w:r w:rsidRPr="000E2648">
        <w:rPr>
          <w:rStyle w:val="FootnoteReference"/>
          <w:rFonts w:ascii="Book Antiqua" w:hAnsi="Book Antiqua"/>
        </w:rPr>
        <w:footnoteRef/>
      </w:r>
      <w:r w:rsidRPr="000E2648">
        <w:rPr>
          <w:rFonts w:ascii="Book Antiqua" w:hAnsi="Book Antiqua"/>
          <w:lang w:val="es-PR"/>
        </w:rPr>
        <w:t xml:space="preserve"> Conocida como </w:t>
      </w:r>
      <w:r w:rsidRPr="000E2648">
        <w:rPr>
          <w:rFonts w:ascii="Book Antiqua" w:hAnsi="Book Antiqua"/>
          <w:i/>
          <w:iCs/>
          <w:lang w:val="es-PR"/>
        </w:rPr>
        <w:t>Ley de juegos de azar y autorización de máquinas tragamonedas en los casinos</w:t>
      </w:r>
      <w:r w:rsidRPr="000E2648">
        <w:rPr>
          <w:rFonts w:ascii="Book Antiqua" w:hAnsi="Book Antiqua"/>
          <w:lang w:val="es-PR"/>
        </w:rPr>
        <w:t>.</w:t>
      </w:r>
    </w:p>
  </w:footnote>
  <w:footnote w:id="2">
    <w:p w14:paraId="642E4429" w14:textId="7B3004E3" w:rsidR="00280951" w:rsidRPr="000E2648" w:rsidRDefault="00280951">
      <w:pPr>
        <w:pStyle w:val="FootnoteText"/>
        <w:rPr>
          <w:rFonts w:ascii="Book Antiqua" w:hAnsi="Book Antiqua"/>
          <w:lang w:val="es-PR"/>
        </w:rPr>
      </w:pPr>
      <w:r w:rsidRPr="000E2648">
        <w:rPr>
          <w:rStyle w:val="FootnoteReference"/>
          <w:rFonts w:ascii="Book Antiqua" w:hAnsi="Book Antiqua"/>
        </w:rPr>
        <w:footnoteRef/>
      </w:r>
      <w:r w:rsidRPr="000E2648">
        <w:rPr>
          <w:rFonts w:ascii="Book Antiqua" w:hAnsi="Book Antiqua"/>
          <w:lang w:val="es-PR"/>
        </w:rPr>
        <w:t xml:space="preserve"> Conocida como </w:t>
      </w:r>
      <w:r w:rsidRPr="000E2648">
        <w:rPr>
          <w:rFonts w:ascii="Book Antiqua" w:hAnsi="Book Antiqua"/>
          <w:i/>
          <w:iCs/>
          <w:lang w:val="es-PR"/>
        </w:rPr>
        <w:t>Código Penal de Puerto Rico.</w:t>
      </w:r>
    </w:p>
  </w:footnote>
  <w:footnote w:id="3">
    <w:p w14:paraId="3C1839B9" w14:textId="64407E59" w:rsidR="004B6D87" w:rsidRPr="005F0F1E" w:rsidRDefault="004B6D87" w:rsidP="009407FA">
      <w:pPr>
        <w:pStyle w:val="FootnoteText"/>
        <w:rPr>
          <w:rFonts w:ascii="Book Antiqua" w:hAnsi="Book Antiqua"/>
          <w:lang w:val="es-PR"/>
        </w:rPr>
      </w:pPr>
      <w:r w:rsidRPr="005F0F1E">
        <w:rPr>
          <w:rStyle w:val="FootnoteReference"/>
          <w:rFonts w:ascii="Book Antiqua" w:hAnsi="Book Antiqua"/>
        </w:rPr>
        <w:footnoteRef/>
      </w:r>
      <w:r w:rsidRPr="005F0F1E">
        <w:rPr>
          <w:rFonts w:ascii="Book Antiqua" w:hAnsi="Book Antiqua"/>
          <w:lang w:val="es-PR"/>
        </w:rPr>
        <w:t xml:space="preserve"> </w:t>
      </w:r>
      <w:r w:rsidR="009407FA" w:rsidRPr="005F0F1E">
        <w:rPr>
          <w:rFonts w:ascii="Book Antiqua" w:hAnsi="Book Antiqua"/>
          <w:lang w:val="es-PR"/>
        </w:rPr>
        <w:t xml:space="preserve">Cláusula de transición para la fijación de penas en las leyes penales especiales. </w:t>
      </w:r>
    </w:p>
  </w:footnote>
  <w:footnote w:id="4">
    <w:p w14:paraId="1A919B22" w14:textId="1385655C" w:rsidR="00A42376" w:rsidRPr="005F0F1E" w:rsidRDefault="00A42376" w:rsidP="0072047A">
      <w:pPr>
        <w:pStyle w:val="FootnoteText"/>
        <w:spacing w:after="120"/>
        <w:rPr>
          <w:rFonts w:ascii="Book Antiqua" w:hAnsi="Book Antiqua"/>
          <w:lang w:val="es-PR"/>
        </w:rPr>
      </w:pPr>
      <w:r w:rsidRPr="005F0F1E">
        <w:rPr>
          <w:rStyle w:val="FootnoteReference"/>
          <w:rFonts w:ascii="Book Antiqua" w:hAnsi="Book Antiqua"/>
        </w:rPr>
        <w:footnoteRef/>
      </w:r>
      <w:r w:rsidRPr="005F0F1E">
        <w:rPr>
          <w:rFonts w:ascii="Book Antiqua" w:hAnsi="Book Antiqua"/>
          <w:lang w:val="es-PR"/>
        </w:rPr>
        <w:t xml:space="preserve"> </w:t>
      </w:r>
      <w:r w:rsidR="007C08CD">
        <w:rPr>
          <w:rFonts w:ascii="Book Antiqua" w:hAnsi="Book Antiqua"/>
          <w:lang w:val="es-PR"/>
        </w:rPr>
        <w:t>En cuanto</w:t>
      </w:r>
      <w:r w:rsidR="00837E8E" w:rsidRPr="005F0F1E">
        <w:rPr>
          <w:rFonts w:ascii="Book Antiqua" w:hAnsi="Book Antiqua"/>
          <w:lang w:val="es-PR"/>
        </w:rPr>
        <w:t xml:space="preserve"> el delito menos grave, v</w:t>
      </w:r>
      <w:r w:rsidR="00D03F3A" w:rsidRPr="005F0F1E">
        <w:rPr>
          <w:rFonts w:ascii="Book Antiqua" w:hAnsi="Book Antiqua"/>
          <w:lang w:val="es-PR"/>
        </w:rPr>
        <w:t xml:space="preserve">éase sección 9-A (b) de la </w:t>
      </w:r>
      <w:r w:rsidR="00D03F3A" w:rsidRPr="005F0F1E">
        <w:rPr>
          <w:rFonts w:ascii="Book Antiqua" w:hAnsi="Book Antiqua"/>
          <w:i/>
          <w:iCs/>
          <w:lang w:val="es-PR"/>
        </w:rPr>
        <w:t xml:space="preserve">Ley de juegos de azar </w:t>
      </w:r>
      <w:r w:rsidR="00D03F3A" w:rsidRPr="005F0F1E">
        <w:rPr>
          <w:rFonts w:ascii="Book Antiqua" w:hAnsi="Book Antiqua"/>
          <w:lang w:val="es-PR"/>
        </w:rPr>
        <w:t>(</w:t>
      </w:r>
      <w:r w:rsidR="00632416" w:rsidRPr="005F0F1E">
        <w:rPr>
          <w:rFonts w:ascii="Book Antiqua" w:hAnsi="Book Antiqua"/>
          <w:lang w:val="es-PR"/>
        </w:rPr>
        <w:t>Toda persona que obstruya la radicación de la denuncia de cualquiera de los delitos antes mencionados, incurrirá en un delito menos grave.)</w:t>
      </w:r>
    </w:p>
  </w:footnote>
  <w:footnote w:id="5">
    <w:p w14:paraId="45688C28" w14:textId="27F1C964" w:rsidR="00EF3675" w:rsidRPr="00EF3675" w:rsidRDefault="00EF3675">
      <w:pPr>
        <w:pStyle w:val="FootnoteText"/>
        <w:rPr>
          <w:lang w:val="es-PR"/>
        </w:rPr>
      </w:pPr>
      <w:r w:rsidRPr="005F0F1E">
        <w:rPr>
          <w:rStyle w:val="FootnoteReference"/>
          <w:rFonts w:ascii="Book Antiqua" w:hAnsi="Book Antiqua"/>
        </w:rPr>
        <w:footnoteRef/>
      </w:r>
      <w:r w:rsidRPr="005F0F1E">
        <w:rPr>
          <w:rFonts w:ascii="Book Antiqua" w:hAnsi="Book Antiqua"/>
          <w:lang w:val="es-PR"/>
        </w:rPr>
        <w:t xml:space="preserve"> En el </w:t>
      </w:r>
      <w:proofErr w:type="spellStart"/>
      <w:r w:rsidRPr="005F0F1E">
        <w:rPr>
          <w:rFonts w:ascii="Book Antiqua" w:hAnsi="Book Antiqua"/>
          <w:lang w:val="es-PR"/>
        </w:rPr>
        <w:t>entirillado</w:t>
      </w:r>
      <w:proofErr w:type="spellEnd"/>
      <w:r w:rsidRPr="005F0F1E">
        <w:rPr>
          <w:rFonts w:ascii="Book Antiqua" w:hAnsi="Book Antiqua"/>
          <w:lang w:val="es-PR"/>
        </w:rPr>
        <w:t xml:space="preserve">, se </w:t>
      </w:r>
      <w:r w:rsidR="00C52A62" w:rsidRPr="005F0F1E">
        <w:rPr>
          <w:rFonts w:ascii="Book Antiqua" w:hAnsi="Book Antiqua"/>
          <w:lang w:val="es-PR"/>
        </w:rPr>
        <w:t xml:space="preserve">incluyeron enmiendas para que la sección 9-A (c) haga referencia </w:t>
      </w:r>
      <w:r w:rsidR="009E5AD5" w:rsidRPr="005F0F1E">
        <w:rPr>
          <w:rFonts w:ascii="Book Antiqua" w:hAnsi="Book Antiqua"/>
          <w:lang w:val="es-PR"/>
        </w:rPr>
        <w:t>directa a la CJPR</w:t>
      </w:r>
      <w:r w:rsidR="0034014D" w:rsidRPr="005F0F1E">
        <w:rPr>
          <w:rFonts w:ascii="Book Antiqua" w:hAnsi="Book Antiqua"/>
          <w:lang w:val="es-PR"/>
        </w:rPr>
        <w:t>,</w:t>
      </w:r>
      <w:r w:rsidR="009E5AD5" w:rsidRPr="005F0F1E">
        <w:rPr>
          <w:rFonts w:ascii="Book Antiqua" w:hAnsi="Book Antiqua"/>
          <w:lang w:val="es-PR"/>
        </w:rPr>
        <w:t xml:space="preserve"> y </w:t>
      </w:r>
      <w:r w:rsidR="00BA0955" w:rsidRPr="005F0F1E">
        <w:rPr>
          <w:rFonts w:ascii="Book Antiqua" w:hAnsi="Book Antiqua"/>
          <w:lang w:val="es-PR"/>
        </w:rPr>
        <w:t xml:space="preserve">a </w:t>
      </w:r>
      <w:r w:rsidR="009E5AD5" w:rsidRPr="005F0F1E">
        <w:rPr>
          <w:rFonts w:ascii="Book Antiqua" w:hAnsi="Book Antiqua"/>
          <w:lang w:val="es-PR"/>
        </w:rPr>
        <w:t xml:space="preserve">las licencias que </w:t>
      </w:r>
      <w:r w:rsidR="0034014D" w:rsidRPr="005F0F1E">
        <w:rPr>
          <w:rFonts w:ascii="Book Antiqua" w:hAnsi="Book Antiqua"/>
          <w:lang w:val="es-PR"/>
        </w:rPr>
        <w:t>la CJPR</w:t>
      </w:r>
      <w:r w:rsidR="009E5AD5" w:rsidRPr="005F0F1E">
        <w:rPr>
          <w:rFonts w:ascii="Book Antiqua" w:hAnsi="Book Antiqua"/>
          <w:lang w:val="es-PR"/>
        </w:rPr>
        <w:t xml:space="preserve"> puede expedi</w:t>
      </w:r>
      <w:r w:rsidR="00AC470A" w:rsidRPr="005F0F1E">
        <w:rPr>
          <w:rFonts w:ascii="Book Antiqua" w:hAnsi="Book Antiqua"/>
          <w:lang w:val="es-PR"/>
        </w:rPr>
        <w:t>r—</w:t>
      </w:r>
      <w:r w:rsidR="00BA0955" w:rsidRPr="005F0F1E">
        <w:rPr>
          <w:rFonts w:ascii="Book Antiqua" w:hAnsi="Book Antiqua"/>
          <w:lang w:val="es-PR"/>
        </w:rPr>
        <w:t xml:space="preserve">y </w:t>
      </w:r>
      <w:r w:rsidR="00AC470A" w:rsidRPr="005F0F1E">
        <w:rPr>
          <w:rFonts w:ascii="Book Antiqua" w:hAnsi="Book Antiqua"/>
          <w:lang w:val="es-PR"/>
        </w:rPr>
        <w:t>no solo</w:t>
      </w:r>
      <w:r w:rsidR="00BA0955" w:rsidRPr="005F0F1E">
        <w:rPr>
          <w:rFonts w:ascii="Book Antiqua" w:hAnsi="Book Antiqua"/>
          <w:lang w:val="es-PR"/>
        </w:rPr>
        <w:t xml:space="preserve"> a las licencias</w:t>
      </w:r>
      <w:r w:rsidR="00501B57" w:rsidRPr="005F0F1E">
        <w:rPr>
          <w:rFonts w:ascii="Book Antiqua" w:hAnsi="Book Antiqua"/>
          <w:lang w:val="es-PR"/>
        </w:rPr>
        <w:t xml:space="preserve"> que</w:t>
      </w:r>
      <w:r w:rsidR="00BA0955" w:rsidRPr="005F0F1E">
        <w:rPr>
          <w:rFonts w:ascii="Book Antiqua" w:hAnsi="Book Antiqua"/>
          <w:lang w:val="es-PR"/>
        </w:rPr>
        <w:t xml:space="preserve"> </w:t>
      </w:r>
      <w:r w:rsidR="00501B57" w:rsidRPr="005F0F1E">
        <w:rPr>
          <w:rFonts w:ascii="Book Antiqua" w:hAnsi="Book Antiqua"/>
          <w:lang w:val="es-PR"/>
        </w:rPr>
        <w:t>expide</w:t>
      </w:r>
      <w:r w:rsidR="00AC470A" w:rsidRPr="005F0F1E">
        <w:rPr>
          <w:rFonts w:ascii="Book Antiqua" w:hAnsi="Book Antiqua"/>
          <w:lang w:val="es-PR"/>
        </w:rPr>
        <w:t xml:space="preserve"> el Negociado</w:t>
      </w:r>
      <w:r w:rsidR="00501B57" w:rsidRPr="005F0F1E">
        <w:rPr>
          <w:rFonts w:ascii="Book Antiqua" w:hAnsi="Book Antiqua"/>
          <w:lang w:val="es-PR"/>
        </w:rPr>
        <w:t xml:space="preserve"> de Juegos de Azar de la CJPR.</w:t>
      </w:r>
      <w:r w:rsidR="00AC470A">
        <w:rPr>
          <w:rFonts w:ascii="Book Antiqua" w:hAnsi="Book Antiqua"/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8139E" w14:textId="77777777" w:rsidR="00053E21" w:rsidRDefault="00053E21" w:rsidP="00B83B76">
    <w:pPr>
      <w:pStyle w:val="Header"/>
      <w:rPr>
        <w:sz w:val="20"/>
        <w:lang w:val="es-PR"/>
      </w:rPr>
    </w:pPr>
    <w:bookmarkStart w:id="6" w:name="_Hlk194440197"/>
    <w:r>
      <w:rPr>
        <w:sz w:val="20"/>
        <w:lang w:val="es-PR"/>
      </w:rPr>
      <w:t>Cámara de Representantes de Puerto Rico</w:t>
    </w:r>
  </w:p>
  <w:p w14:paraId="2DB58D1C" w14:textId="77777777" w:rsidR="007B4C52" w:rsidRDefault="00393CA6" w:rsidP="00B83B76">
    <w:pPr>
      <w:pStyle w:val="Header"/>
      <w:rPr>
        <w:sz w:val="20"/>
        <w:lang w:val="es-PR"/>
      </w:rPr>
    </w:pPr>
    <w:r>
      <w:rPr>
        <w:sz w:val="20"/>
        <w:lang w:val="es-PR"/>
      </w:rPr>
      <w:t>Comisión de lo Jurídico</w:t>
    </w:r>
  </w:p>
  <w:p w14:paraId="28F34204" w14:textId="01120137" w:rsidR="00053E21" w:rsidRDefault="00053E21" w:rsidP="00053E21">
    <w:pPr>
      <w:pStyle w:val="Header"/>
      <w:rPr>
        <w:sz w:val="20"/>
        <w:lang w:val="es-PR"/>
      </w:rPr>
    </w:pPr>
    <w:r>
      <w:rPr>
        <w:sz w:val="20"/>
        <w:lang w:val="es-PR"/>
      </w:rPr>
      <w:t xml:space="preserve">Informe Positivo sobre el P. del S. </w:t>
    </w:r>
    <w:r w:rsidR="008C6F54">
      <w:rPr>
        <w:sz w:val="20"/>
        <w:lang w:val="es-PR"/>
      </w:rPr>
      <w:t>96</w:t>
    </w:r>
  </w:p>
  <w:p w14:paraId="17385AF0" w14:textId="77777777" w:rsidR="00242E80" w:rsidRDefault="00242E80" w:rsidP="00B83B76">
    <w:pPr>
      <w:pStyle w:val="Header"/>
      <w:rPr>
        <w:b/>
        <w:bCs/>
        <w:sz w:val="20"/>
        <w:lang w:val="es-PR"/>
      </w:rPr>
    </w:pPr>
    <w:r>
      <w:rPr>
        <w:b/>
        <w:bCs/>
        <w:sz w:val="20"/>
        <w:lang w:val="es-PR"/>
      </w:rPr>
      <w:t xml:space="preserve">Página </w:t>
    </w:r>
    <w:r>
      <w:rPr>
        <w:b/>
        <w:bCs/>
        <w:sz w:val="20"/>
        <w:lang w:val="es-PR"/>
      </w:rPr>
      <w:fldChar w:fldCharType="begin"/>
    </w:r>
    <w:r>
      <w:rPr>
        <w:b/>
        <w:bCs/>
        <w:sz w:val="20"/>
        <w:lang w:val="es-PR"/>
      </w:rPr>
      <w:instrText xml:space="preserve"> PAGE   \* MERGEFORMAT </w:instrText>
    </w:r>
    <w:r>
      <w:rPr>
        <w:b/>
        <w:bCs/>
        <w:sz w:val="20"/>
        <w:lang w:val="es-PR"/>
      </w:rPr>
      <w:fldChar w:fldCharType="separate"/>
    </w:r>
    <w:r>
      <w:rPr>
        <w:b/>
        <w:bCs/>
        <w:noProof/>
        <w:sz w:val="20"/>
        <w:lang w:val="es-PR"/>
      </w:rPr>
      <w:t>1</w:t>
    </w:r>
    <w:r>
      <w:rPr>
        <w:b/>
        <w:bCs/>
        <w:noProof/>
        <w:sz w:val="20"/>
        <w:lang w:val="es-PR"/>
      </w:rPr>
      <w:fldChar w:fldCharType="end"/>
    </w:r>
  </w:p>
  <w:bookmarkEnd w:id="6"/>
  <w:p w14:paraId="6805679A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23463" w14:textId="77777777" w:rsidR="00112094" w:rsidRDefault="00112094" w:rsidP="00112094">
    <w:pPr>
      <w:pStyle w:val="Header"/>
      <w:rPr>
        <w:sz w:val="20"/>
        <w:lang w:val="es-PR"/>
      </w:rPr>
    </w:pPr>
    <w:r>
      <w:rPr>
        <w:sz w:val="20"/>
        <w:lang w:val="es-PR"/>
      </w:rPr>
      <w:t>Cámara de Representantes de Puerto Rico</w:t>
    </w:r>
  </w:p>
  <w:p w14:paraId="48509886" w14:textId="77777777" w:rsidR="00112094" w:rsidRDefault="00112094" w:rsidP="00112094">
    <w:pPr>
      <w:pStyle w:val="Header"/>
      <w:rPr>
        <w:sz w:val="20"/>
        <w:lang w:val="es-PR"/>
      </w:rPr>
    </w:pPr>
    <w:r>
      <w:rPr>
        <w:sz w:val="20"/>
        <w:lang w:val="es-PR"/>
      </w:rPr>
      <w:t>Comisión de lo Jurídico</w:t>
    </w:r>
  </w:p>
  <w:p w14:paraId="56F82F5C" w14:textId="3449C3F3" w:rsidR="00112094" w:rsidRDefault="00112094" w:rsidP="00112094">
    <w:pPr>
      <w:pStyle w:val="Header"/>
      <w:rPr>
        <w:sz w:val="20"/>
        <w:lang w:val="es-PR"/>
      </w:rPr>
    </w:pPr>
    <w:r>
      <w:rPr>
        <w:sz w:val="20"/>
        <w:lang w:val="es-PR"/>
      </w:rPr>
      <w:t xml:space="preserve">Informe Positivo sobre el P. del S. </w:t>
    </w:r>
    <w:r w:rsidR="0049207A">
      <w:rPr>
        <w:sz w:val="20"/>
        <w:lang w:val="es-PR"/>
      </w:rPr>
      <w:t>96</w:t>
    </w:r>
  </w:p>
  <w:p w14:paraId="0A3DBEBB" w14:textId="77777777" w:rsidR="00112094" w:rsidRDefault="00112094" w:rsidP="00112094">
    <w:pPr>
      <w:pStyle w:val="Header"/>
      <w:rPr>
        <w:b/>
        <w:bCs/>
        <w:sz w:val="20"/>
        <w:lang w:val="es-PR"/>
      </w:rPr>
    </w:pPr>
    <w:r>
      <w:rPr>
        <w:b/>
        <w:bCs/>
        <w:sz w:val="20"/>
        <w:lang w:val="es-PR"/>
      </w:rPr>
      <w:t xml:space="preserve">Página </w:t>
    </w:r>
    <w:r>
      <w:rPr>
        <w:b/>
        <w:bCs/>
        <w:sz w:val="20"/>
        <w:lang w:val="es-PR"/>
      </w:rPr>
      <w:fldChar w:fldCharType="begin"/>
    </w:r>
    <w:r>
      <w:rPr>
        <w:b/>
        <w:bCs/>
        <w:sz w:val="20"/>
        <w:lang w:val="es-PR"/>
      </w:rPr>
      <w:instrText xml:space="preserve"> PAGE   \* MERGEFORMAT </w:instrText>
    </w:r>
    <w:r>
      <w:rPr>
        <w:b/>
        <w:bCs/>
        <w:sz w:val="20"/>
        <w:lang w:val="es-PR"/>
      </w:rPr>
      <w:fldChar w:fldCharType="separate"/>
    </w:r>
    <w:r>
      <w:rPr>
        <w:b/>
        <w:bCs/>
        <w:sz w:val="20"/>
        <w:lang w:val="es-PR"/>
      </w:rPr>
      <w:t>4</w:t>
    </w:r>
    <w:r>
      <w:rPr>
        <w:b/>
        <w:bCs/>
        <w:noProof/>
        <w:sz w:val="20"/>
        <w:lang w:val="es-PR"/>
      </w:rPr>
      <w:fldChar w:fldCharType="end"/>
    </w:r>
  </w:p>
  <w:p w14:paraId="7DCACB65" w14:textId="77777777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0B6B9" w14:textId="77777777" w:rsidR="00C760D6" w:rsidRDefault="00C760D6" w:rsidP="00C760D6">
    <w:pPr>
      <w:pStyle w:val="Header"/>
    </w:pPr>
  </w:p>
  <w:p w14:paraId="47EEB0D2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908060">
    <w:abstractNumId w:val="0"/>
  </w:num>
  <w:num w:numId="2" w16cid:durableId="2032872988">
    <w:abstractNumId w:val="2"/>
  </w:num>
  <w:num w:numId="3" w16cid:durableId="856577175">
    <w:abstractNumId w:val="3"/>
  </w:num>
  <w:num w:numId="4" w16cid:durableId="2137141903">
    <w:abstractNumId w:val="1"/>
  </w:num>
  <w:num w:numId="5" w16cid:durableId="1395425213">
    <w:abstractNumId w:val="4"/>
  </w:num>
  <w:num w:numId="6" w16cid:durableId="10005407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0F2C"/>
    <w:rsid w:val="00006DDC"/>
    <w:rsid w:val="00011E09"/>
    <w:rsid w:val="00016AE0"/>
    <w:rsid w:val="00016D64"/>
    <w:rsid w:val="00017AB8"/>
    <w:rsid w:val="00020D20"/>
    <w:rsid w:val="000230E7"/>
    <w:rsid w:val="00023560"/>
    <w:rsid w:val="00043B59"/>
    <w:rsid w:val="00044177"/>
    <w:rsid w:val="00045442"/>
    <w:rsid w:val="00046DD2"/>
    <w:rsid w:val="0005330C"/>
    <w:rsid w:val="000533CB"/>
    <w:rsid w:val="00053E21"/>
    <w:rsid w:val="0005560C"/>
    <w:rsid w:val="00055B15"/>
    <w:rsid w:val="00066916"/>
    <w:rsid w:val="00085D0F"/>
    <w:rsid w:val="000879BC"/>
    <w:rsid w:val="00087C7E"/>
    <w:rsid w:val="000902F9"/>
    <w:rsid w:val="000945D3"/>
    <w:rsid w:val="000A0CEF"/>
    <w:rsid w:val="000A135C"/>
    <w:rsid w:val="000B071A"/>
    <w:rsid w:val="000B3411"/>
    <w:rsid w:val="000B39C5"/>
    <w:rsid w:val="000C18B9"/>
    <w:rsid w:val="000C52A1"/>
    <w:rsid w:val="000C5B91"/>
    <w:rsid w:val="000D360A"/>
    <w:rsid w:val="000D3899"/>
    <w:rsid w:val="000D4DDE"/>
    <w:rsid w:val="000E0D6C"/>
    <w:rsid w:val="000E1568"/>
    <w:rsid w:val="000E2648"/>
    <w:rsid w:val="000E3313"/>
    <w:rsid w:val="000E4A6D"/>
    <w:rsid w:val="000E6B35"/>
    <w:rsid w:val="000F13E0"/>
    <w:rsid w:val="000F1C26"/>
    <w:rsid w:val="000F4343"/>
    <w:rsid w:val="000F7663"/>
    <w:rsid w:val="0010073E"/>
    <w:rsid w:val="0010248E"/>
    <w:rsid w:val="00104CF6"/>
    <w:rsid w:val="001065C8"/>
    <w:rsid w:val="001067AC"/>
    <w:rsid w:val="00107712"/>
    <w:rsid w:val="00111E71"/>
    <w:rsid w:val="00112094"/>
    <w:rsid w:val="001141C5"/>
    <w:rsid w:val="00114A6B"/>
    <w:rsid w:val="00114F93"/>
    <w:rsid w:val="00126E26"/>
    <w:rsid w:val="001312DC"/>
    <w:rsid w:val="00141868"/>
    <w:rsid w:val="001418D6"/>
    <w:rsid w:val="001425D1"/>
    <w:rsid w:val="00143E81"/>
    <w:rsid w:val="00146F23"/>
    <w:rsid w:val="00152956"/>
    <w:rsid w:val="00152AEE"/>
    <w:rsid w:val="00153909"/>
    <w:rsid w:val="00157BC8"/>
    <w:rsid w:val="00172EE0"/>
    <w:rsid w:val="00182F02"/>
    <w:rsid w:val="00186AB6"/>
    <w:rsid w:val="001A4A02"/>
    <w:rsid w:val="001A7434"/>
    <w:rsid w:val="001B5218"/>
    <w:rsid w:val="001B77D6"/>
    <w:rsid w:val="001B7B77"/>
    <w:rsid w:val="001C0F9B"/>
    <w:rsid w:val="001C2FA8"/>
    <w:rsid w:val="001C31BA"/>
    <w:rsid w:val="001C5DEB"/>
    <w:rsid w:val="001C5E99"/>
    <w:rsid w:val="001C5EFC"/>
    <w:rsid w:val="001C74F7"/>
    <w:rsid w:val="001C7E63"/>
    <w:rsid w:val="001D12A7"/>
    <w:rsid w:val="001D30BA"/>
    <w:rsid w:val="001D39F9"/>
    <w:rsid w:val="001D3C1D"/>
    <w:rsid w:val="001D4B57"/>
    <w:rsid w:val="001D697D"/>
    <w:rsid w:val="001D70F5"/>
    <w:rsid w:val="001D79E5"/>
    <w:rsid w:val="001E78B4"/>
    <w:rsid w:val="001F7ABB"/>
    <w:rsid w:val="00200B6F"/>
    <w:rsid w:val="00201567"/>
    <w:rsid w:val="00201B8C"/>
    <w:rsid w:val="00202E03"/>
    <w:rsid w:val="00212110"/>
    <w:rsid w:val="00213CAD"/>
    <w:rsid w:val="002214F8"/>
    <w:rsid w:val="002263E1"/>
    <w:rsid w:val="0022642B"/>
    <w:rsid w:val="0022645A"/>
    <w:rsid w:val="00235BF4"/>
    <w:rsid w:val="0024131E"/>
    <w:rsid w:val="00242E80"/>
    <w:rsid w:val="00243FD8"/>
    <w:rsid w:val="0024587F"/>
    <w:rsid w:val="00246C97"/>
    <w:rsid w:val="0025270C"/>
    <w:rsid w:val="00252CCB"/>
    <w:rsid w:val="00254B92"/>
    <w:rsid w:val="002551AE"/>
    <w:rsid w:val="00261C2B"/>
    <w:rsid w:val="002632CC"/>
    <w:rsid w:val="002663EA"/>
    <w:rsid w:val="00266EEC"/>
    <w:rsid w:val="002671BE"/>
    <w:rsid w:val="0027119D"/>
    <w:rsid w:val="0027212A"/>
    <w:rsid w:val="0027266F"/>
    <w:rsid w:val="002768D5"/>
    <w:rsid w:val="00276A1B"/>
    <w:rsid w:val="002779B7"/>
    <w:rsid w:val="00280951"/>
    <w:rsid w:val="002A0CBF"/>
    <w:rsid w:val="002A6666"/>
    <w:rsid w:val="002B0B9E"/>
    <w:rsid w:val="002B62DE"/>
    <w:rsid w:val="002C18ED"/>
    <w:rsid w:val="002C2E8D"/>
    <w:rsid w:val="002C402D"/>
    <w:rsid w:val="002C6695"/>
    <w:rsid w:val="002C7AB4"/>
    <w:rsid w:val="002D185B"/>
    <w:rsid w:val="002D4AC8"/>
    <w:rsid w:val="002E3F48"/>
    <w:rsid w:val="002E4A52"/>
    <w:rsid w:val="002E66F9"/>
    <w:rsid w:val="002E6DE0"/>
    <w:rsid w:val="002F0440"/>
    <w:rsid w:val="002F79D4"/>
    <w:rsid w:val="00300433"/>
    <w:rsid w:val="00303FA5"/>
    <w:rsid w:val="003059D5"/>
    <w:rsid w:val="00311782"/>
    <w:rsid w:val="00316786"/>
    <w:rsid w:val="003239C5"/>
    <w:rsid w:val="00330372"/>
    <w:rsid w:val="003304A1"/>
    <w:rsid w:val="003328BC"/>
    <w:rsid w:val="00333617"/>
    <w:rsid w:val="00334935"/>
    <w:rsid w:val="00334EE0"/>
    <w:rsid w:val="00337BB7"/>
    <w:rsid w:val="0034014D"/>
    <w:rsid w:val="0034055D"/>
    <w:rsid w:val="003465C8"/>
    <w:rsid w:val="00352C78"/>
    <w:rsid w:val="00354550"/>
    <w:rsid w:val="00355EF2"/>
    <w:rsid w:val="003573FA"/>
    <w:rsid w:val="00381F18"/>
    <w:rsid w:val="0038390D"/>
    <w:rsid w:val="003857EC"/>
    <w:rsid w:val="00386D32"/>
    <w:rsid w:val="0038746D"/>
    <w:rsid w:val="0039037B"/>
    <w:rsid w:val="003906D8"/>
    <w:rsid w:val="00393CA6"/>
    <w:rsid w:val="00395A2C"/>
    <w:rsid w:val="0039767E"/>
    <w:rsid w:val="003A201A"/>
    <w:rsid w:val="003B0348"/>
    <w:rsid w:val="003C4399"/>
    <w:rsid w:val="003D2BF0"/>
    <w:rsid w:val="003D4260"/>
    <w:rsid w:val="003D61A8"/>
    <w:rsid w:val="003D7045"/>
    <w:rsid w:val="003F1278"/>
    <w:rsid w:val="00402413"/>
    <w:rsid w:val="004076B9"/>
    <w:rsid w:val="00412A61"/>
    <w:rsid w:val="004227D1"/>
    <w:rsid w:val="00424144"/>
    <w:rsid w:val="00424248"/>
    <w:rsid w:val="00426A39"/>
    <w:rsid w:val="004278D1"/>
    <w:rsid w:val="004408DF"/>
    <w:rsid w:val="004440CB"/>
    <w:rsid w:val="00444913"/>
    <w:rsid w:val="00444FD2"/>
    <w:rsid w:val="00445E69"/>
    <w:rsid w:val="00460A6C"/>
    <w:rsid w:val="004621D1"/>
    <w:rsid w:val="004713D2"/>
    <w:rsid w:val="00475111"/>
    <w:rsid w:val="004756FF"/>
    <w:rsid w:val="00475846"/>
    <w:rsid w:val="00477BDE"/>
    <w:rsid w:val="004817F3"/>
    <w:rsid w:val="00481C39"/>
    <w:rsid w:val="00482117"/>
    <w:rsid w:val="00484BE6"/>
    <w:rsid w:val="00487AC3"/>
    <w:rsid w:val="004918F1"/>
    <w:rsid w:val="0049207A"/>
    <w:rsid w:val="0049776A"/>
    <w:rsid w:val="004A05FC"/>
    <w:rsid w:val="004A0FD4"/>
    <w:rsid w:val="004A18C6"/>
    <w:rsid w:val="004B0082"/>
    <w:rsid w:val="004B6D87"/>
    <w:rsid w:val="004C370E"/>
    <w:rsid w:val="004D2BC7"/>
    <w:rsid w:val="004D4E14"/>
    <w:rsid w:val="004D5D78"/>
    <w:rsid w:val="004E7F65"/>
    <w:rsid w:val="004F088D"/>
    <w:rsid w:val="004F6E72"/>
    <w:rsid w:val="004F7173"/>
    <w:rsid w:val="00501B57"/>
    <w:rsid w:val="00503607"/>
    <w:rsid w:val="00506D29"/>
    <w:rsid w:val="0051050B"/>
    <w:rsid w:val="005237C3"/>
    <w:rsid w:val="00530395"/>
    <w:rsid w:val="005340E6"/>
    <w:rsid w:val="005354C6"/>
    <w:rsid w:val="00535C6B"/>
    <w:rsid w:val="00540B6A"/>
    <w:rsid w:val="00540DDE"/>
    <w:rsid w:val="00541FE3"/>
    <w:rsid w:val="005478C9"/>
    <w:rsid w:val="00550023"/>
    <w:rsid w:val="00550412"/>
    <w:rsid w:val="00552B8A"/>
    <w:rsid w:val="00555018"/>
    <w:rsid w:val="00556C4A"/>
    <w:rsid w:val="005712F8"/>
    <w:rsid w:val="00571789"/>
    <w:rsid w:val="00573858"/>
    <w:rsid w:val="00573B23"/>
    <w:rsid w:val="005741F6"/>
    <w:rsid w:val="00576521"/>
    <w:rsid w:val="00580EC6"/>
    <w:rsid w:val="005817B7"/>
    <w:rsid w:val="00592B05"/>
    <w:rsid w:val="005A24EF"/>
    <w:rsid w:val="005A4787"/>
    <w:rsid w:val="005B0AAB"/>
    <w:rsid w:val="005B2884"/>
    <w:rsid w:val="005C5E81"/>
    <w:rsid w:val="005C6ACE"/>
    <w:rsid w:val="005D2E57"/>
    <w:rsid w:val="005D4AA7"/>
    <w:rsid w:val="005D587B"/>
    <w:rsid w:val="005E150B"/>
    <w:rsid w:val="005E7E85"/>
    <w:rsid w:val="005F0F1E"/>
    <w:rsid w:val="00606D15"/>
    <w:rsid w:val="00613CCC"/>
    <w:rsid w:val="0061550A"/>
    <w:rsid w:val="00615AB1"/>
    <w:rsid w:val="00615E64"/>
    <w:rsid w:val="00622333"/>
    <w:rsid w:val="006239E8"/>
    <w:rsid w:val="00623F92"/>
    <w:rsid w:val="00632416"/>
    <w:rsid w:val="006339F8"/>
    <w:rsid w:val="00650D8E"/>
    <w:rsid w:val="00655DE8"/>
    <w:rsid w:val="00657718"/>
    <w:rsid w:val="00657895"/>
    <w:rsid w:val="0066129F"/>
    <w:rsid w:val="00662809"/>
    <w:rsid w:val="0067169F"/>
    <w:rsid w:val="006807C0"/>
    <w:rsid w:val="00682854"/>
    <w:rsid w:val="00682B24"/>
    <w:rsid w:val="006861CE"/>
    <w:rsid w:val="00686DC7"/>
    <w:rsid w:val="00695138"/>
    <w:rsid w:val="006A24A9"/>
    <w:rsid w:val="006A5806"/>
    <w:rsid w:val="006B3D07"/>
    <w:rsid w:val="006B6346"/>
    <w:rsid w:val="006B7E26"/>
    <w:rsid w:val="006C283C"/>
    <w:rsid w:val="006D01F6"/>
    <w:rsid w:val="006D49D8"/>
    <w:rsid w:val="006D5838"/>
    <w:rsid w:val="006D6359"/>
    <w:rsid w:val="006E3979"/>
    <w:rsid w:val="006E5744"/>
    <w:rsid w:val="006E5B7A"/>
    <w:rsid w:val="006F226E"/>
    <w:rsid w:val="006F253F"/>
    <w:rsid w:val="006F2C56"/>
    <w:rsid w:val="006F51A8"/>
    <w:rsid w:val="007038CC"/>
    <w:rsid w:val="00707805"/>
    <w:rsid w:val="00710698"/>
    <w:rsid w:val="00714102"/>
    <w:rsid w:val="007163D8"/>
    <w:rsid w:val="00716545"/>
    <w:rsid w:val="007167F5"/>
    <w:rsid w:val="0072047A"/>
    <w:rsid w:val="00720B6F"/>
    <w:rsid w:val="00720F67"/>
    <w:rsid w:val="007229E9"/>
    <w:rsid w:val="00725174"/>
    <w:rsid w:val="00726849"/>
    <w:rsid w:val="0072772E"/>
    <w:rsid w:val="0073675F"/>
    <w:rsid w:val="00740EFF"/>
    <w:rsid w:val="00743635"/>
    <w:rsid w:val="0074718C"/>
    <w:rsid w:val="007472C1"/>
    <w:rsid w:val="007535BB"/>
    <w:rsid w:val="0075560D"/>
    <w:rsid w:val="007611FE"/>
    <w:rsid w:val="00764018"/>
    <w:rsid w:val="0077672B"/>
    <w:rsid w:val="00777E1D"/>
    <w:rsid w:val="007824BB"/>
    <w:rsid w:val="00785050"/>
    <w:rsid w:val="00786E2D"/>
    <w:rsid w:val="00792C23"/>
    <w:rsid w:val="00793E19"/>
    <w:rsid w:val="00795577"/>
    <w:rsid w:val="007B2DB8"/>
    <w:rsid w:val="007B4C52"/>
    <w:rsid w:val="007C04E5"/>
    <w:rsid w:val="007C08CD"/>
    <w:rsid w:val="007C156B"/>
    <w:rsid w:val="007C592E"/>
    <w:rsid w:val="007D5A59"/>
    <w:rsid w:val="007E17BE"/>
    <w:rsid w:val="007E3B6D"/>
    <w:rsid w:val="007E5330"/>
    <w:rsid w:val="007F0829"/>
    <w:rsid w:val="007F2999"/>
    <w:rsid w:val="007F62AB"/>
    <w:rsid w:val="00803A23"/>
    <w:rsid w:val="00804142"/>
    <w:rsid w:val="008061C2"/>
    <w:rsid w:val="00807ECC"/>
    <w:rsid w:val="00815BF2"/>
    <w:rsid w:val="00820C41"/>
    <w:rsid w:val="008235BE"/>
    <w:rsid w:val="00825070"/>
    <w:rsid w:val="00833AA1"/>
    <w:rsid w:val="00837E8E"/>
    <w:rsid w:val="008420AF"/>
    <w:rsid w:val="008448C7"/>
    <w:rsid w:val="00855CD6"/>
    <w:rsid w:val="0086515A"/>
    <w:rsid w:val="00865634"/>
    <w:rsid w:val="00867243"/>
    <w:rsid w:val="0087289B"/>
    <w:rsid w:val="0087748F"/>
    <w:rsid w:val="00893508"/>
    <w:rsid w:val="008A154B"/>
    <w:rsid w:val="008A3B95"/>
    <w:rsid w:val="008A40E0"/>
    <w:rsid w:val="008B56DC"/>
    <w:rsid w:val="008B6880"/>
    <w:rsid w:val="008C18B2"/>
    <w:rsid w:val="008C331F"/>
    <w:rsid w:val="008C39D5"/>
    <w:rsid w:val="008C4B9F"/>
    <w:rsid w:val="008C5481"/>
    <w:rsid w:val="008C6F54"/>
    <w:rsid w:val="008C724A"/>
    <w:rsid w:val="008D0C6B"/>
    <w:rsid w:val="008D123C"/>
    <w:rsid w:val="008E051A"/>
    <w:rsid w:val="008F717C"/>
    <w:rsid w:val="00904165"/>
    <w:rsid w:val="00905655"/>
    <w:rsid w:val="00907E93"/>
    <w:rsid w:val="00911FEB"/>
    <w:rsid w:val="00912A6D"/>
    <w:rsid w:val="009133CF"/>
    <w:rsid w:val="009154BD"/>
    <w:rsid w:val="009176B3"/>
    <w:rsid w:val="00917D5D"/>
    <w:rsid w:val="009204F9"/>
    <w:rsid w:val="0092080B"/>
    <w:rsid w:val="009313EE"/>
    <w:rsid w:val="009335D7"/>
    <w:rsid w:val="009351B6"/>
    <w:rsid w:val="009374E4"/>
    <w:rsid w:val="009407FA"/>
    <w:rsid w:val="00940E84"/>
    <w:rsid w:val="00946BB4"/>
    <w:rsid w:val="00946E55"/>
    <w:rsid w:val="00947679"/>
    <w:rsid w:val="00950FA2"/>
    <w:rsid w:val="00954EFB"/>
    <w:rsid w:val="0096171F"/>
    <w:rsid w:val="009645CD"/>
    <w:rsid w:val="0096516C"/>
    <w:rsid w:val="00970DEB"/>
    <w:rsid w:val="00975F85"/>
    <w:rsid w:val="00976FE7"/>
    <w:rsid w:val="0098005C"/>
    <w:rsid w:val="00981A1F"/>
    <w:rsid w:val="00984F56"/>
    <w:rsid w:val="009878DA"/>
    <w:rsid w:val="009A08E8"/>
    <w:rsid w:val="009A4A2C"/>
    <w:rsid w:val="009A4FB3"/>
    <w:rsid w:val="009B5669"/>
    <w:rsid w:val="009B619C"/>
    <w:rsid w:val="009C28F2"/>
    <w:rsid w:val="009C43BB"/>
    <w:rsid w:val="009C455C"/>
    <w:rsid w:val="009E20DD"/>
    <w:rsid w:val="009E30EC"/>
    <w:rsid w:val="009E5AD5"/>
    <w:rsid w:val="009F427F"/>
    <w:rsid w:val="009F433D"/>
    <w:rsid w:val="009F45FE"/>
    <w:rsid w:val="009F524F"/>
    <w:rsid w:val="009F68F4"/>
    <w:rsid w:val="00A038BF"/>
    <w:rsid w:val="00A049B0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19DC"/>
    <w:rsid w:val="00A35101"/>
    <w:rsid w:val="00A40646"/>
    <w:rsid w:val="00A42376"/>
    <w:rsid w:val="00A51222"/>
    <w:rsid w:val="00A52A66"/>
    <w:rsid w:val="00A52CD9"/>
    <w:rsid w:val="00A60AE5"/>
    <w:rsid w:val="00A6445C"/>
    <w:rsid w:val="00A81B32"/>
    <w:rsid w:val="00A83C12"/>
    <w:rsid w:val="00A870EF"/>
    <w:rsid w:val="00A90DAD"/>
    <w:rsid w:val="00A93C47"/>
    <w:rsid w:val="00A944B7"/>
    <w:rsid w:val="00A96978"/>
    <w:rsid w:val="00A96D6F"/>
    <w:rsid w:val="00AA0006"/>
    <w:rsid w:val="00AB2E69"/>
    <w:rsid w:val="00AB6471"/>
    <w:rsid w:val="00AC26FA"/>
    <w:rsid w:val="00AC3813"/>
    <w:rsid w:val="00AC433A"/>
    <w:rsid w:val="00AC470A"/>
    <w:rsid w:val="00AD076F"/>
    <w:rsid w:val="00AD447F"/>
    <w:rsid w:val="00AD4B71"/>
    <w:rsid w:val="00AE13E1"/>
    <w:rsid w:val="00AE40F4"/>
    <w:rsid w:val="00AE555C"/>
    <w:rsid w:val="00AE5EB1"/>
    <w:rsid w:val="00AE604A"/>
    <w:rsid w:val="00AF12FB"/>
    <w:rsid w:val="00AF56F5"/>
    <w:rsid w:val="00B02248"/>
    <w:rsid w:val="00B03E1C"/>
    <w:rsid w:val="00B100CC"/>
    <w:rsid w:val="00B14832"/>
    <w:rsid w:val="00B14958"/>
    <w:rsid w:val="00B14CC4"/>
    <w:rsid w:val="00B17DD5"/>
    <w:rsid w:val="00B216D4"/>
    <w:rsid w:val="00B24B05"/>
    <w:rsid w:val="00B25721"/>
    <w:rsid w:val="00B261B6"/>
    <w:rsid w:val="00B316DC"/>
    <w:rsid w:val="00B36F9D"/>
    <w:rsid w:val="00B37EF9"/>
    <w:rsid w:val="00B46464"/>
    <w:rsid w:val="00B46D69"/>
    <w:rsid w:val="00B47BDF"/>
    <w:rsid w:val="00B567B2"/>
    <w:rsid w:val="00B571D9"/>
    <w:rsid w:val="00B57451"/>
    <w:rsid w:val="00B6135D"/>
    <w:rsid w:val="00B702A0"/>
    <w:rsid w:val="00B70EB9"/>
    <w:rsid w:val="00B807DC"/>
    <w:rsid w:val="00B83B76"/>
    <w:rsid w:val="00B8514B"/>
    <w:rsid w:val="00B8540B"/>
    <w:rsid w:val="00BA0955"/>
    <w:rsid w:val="00BA0F95"/>
    <w:rsid w:val="00BA43F4"/>
    <w:rsid w:val="00BA4B1D"/>
    <w:rsid w:val="00BA5129"/>
    <w:rsid w:val="00BA5DE7"/>
    <w:rsid w:val="00BB20A7"/>
    <w:rsid w:val="00BB5EB4"/>
    <w:rsid w:val="00BB64AF"/>
    <w:rsid w:val="00BB6946"/>
    <w:rsid w:val="00BB7826"/>
    <w:rsid w:val="00BC33A0"/>
    <w:rsid w:val="00BC4ACF"/>
    <w:rsid w:val="00BC7625"/>
    <w:rsid w:val="00BD1ED5"/>
    <w:rsid w:val="00BD3BEF"/>
    <w:rsid w:val="00BD4A6A"/>
    <w:rsid w:val="00BE1535"/>
    <w:rsid w:val="00BE5DA1"/>
    <w:rsid w:val="00BE6740"/>
    <w:rsid w:val="00BF358A"/>
    <w:rsid w:val="00C0210B"/>
    <w:rsid w:val="00C07B8F"/>
    <w:rsid w:val="00C12FCE"/>
    <w:rsid w:val="00C163B3"/>
    <w:rsid w:val="00C20997"/>
    <w:rsid w:val="00C211C9"/>
    <w:rsid w:val="00C21A5A"/>
    <w:rsid w:val="00C2212F"/>
    <w:rsid w:val="00C22AFC"/>
    <w:rsid w:val="00C2502C"/>
    <w:rsid w:val="00C32ECE"/>
    <w:rsid w:val="00C41CC9"/>
    <w:rsid w:val="00C4275E"/>
    <w:rsid w:val="00C47506"/>
    <w:rsid w:val="00C506A9"/>
    <w:rsid w:val="00C52A62"/>
    <w:rsid w:val="00C6071A"/>
    <w:rsid w:val="00C65A5F"/>
    <w:rsid w:val="00C7303D"/>
    <w:rsid w:val="00C760D6"/>
    <w:rsid w:val="00C76363"/>
    <w:rsid w:val="00C869B3"/>
    <w:rsid w:val="00C86F23"/>
    <w:rsid w:val="00C94554"/>
    <w:rsid w:val="00C9772C"/>
    <w:rsid w:val="00CA1098"/>
    <w:rsid w:val="00CA2920"/>
    <w:rsid w:val="00CA5E1E"/>
    <w:rsid w:val="00CA6DDD"/>
    <w:rsid w:val="00CB00D7"/>
    <w:rsid w:val="00CB2112"/>
    <w:rsid w:val="00CB5806"/>
    <w:rsid w:val="00CB702C"/>
    <w:rsid w:val="00CC4859"/>
    <w:rsid w:val="00CC7424"/>
    <w:rsid w:val="00CE532D"/>
    <w:rsid w:val="00CE7DA0"/>
    <w:rsid w:val="00CF32AA"/>
    <w:rsid w:val="00CF4C00"/>
    <w:rsid w:val="00D0004D"/>
    <w:rsid w:val="00D01A55"/>
    <w:rsid w:val="00D03F3A"/>
    <w:rsid w:val="00D07EEB"/>
    <w:rsid w:val="00D13D23"/>
    <w:rsid w:val="00D14A98"/>
    <w:rsid w:val="00D16947"/>
    <w:rsid w:val="00D5351E"/>
    <w:rsid w:val="00D53E55"/>
    <w:rsid w:val="00D55274"/>
    <w:rsid w:val="00D61B6F"/>
    <w:rsid w:val="00D759DB"/>
    <w:rsid w:val="00D75B52"/>
    <w:rsid w:val="00D859B5"/>
    <w:rsid w:val="00D8699D"/>
    <w:rsid w:val="00D9263A"/>
    <w:rsid w:val="00D93BA6"/>
    <w:rsid w:val="00D95836"/>
    <w:rsid w:val="00D96D40"/>
    <w:rsid w:val="00D96D9E"/>
    <w:rsid w:val="00DA0051"/>
    <w:rsid w:val="00DA1E64"/>
    <w:rsid w:val="00DB183A"/>
    <w:rsid w:val="00DB25BF"/>
    <w:rsid w:val="00DB2971"/>
    <w:rsid w:val="00DB3451"/>
    <w:rsid w:val="00DB4C88"/>
    <w:rsid w:val="00DB6E05"/>
    <w:rsid w:val="00DC2909"/>
    <w:rsid w:val="00DC7D84"/>
    <w:rsid w:val="00DD122E"/>
    <w:rsid w:val="00DD404F"/>
    <w:rsid w:val="00DD48C9"/>
    <w:rsid w:val="00DD58BD"/>
    <w:rsid w:val="00DD787F"/>
    <w:rsid w:val="00DE189A"/>
    <w:rsid w:val="00DE4B35"/>
    <w:rsid w:val="00DE6362"/>
    <w:rsid w:val="00DF0352"/>
    <w:rsid w:val="00DF064B"/>
    <w:rsid w:val="00DF45DC"/>
    <w:rsid w:val="00DF6F21"/>
    <w:rsid w:val="00E138EE"/>
    <w:rsid w:val="00E14B9C"/>
    <w:rsid w:val="00E17234"/>
    <w:rsid w:val="00E17E3B"/>
    <w:rsid w:val="00E251EA"/>
    <w:rsid w:val="00E33A45"/>
    <w:rsid w:val="00E35157"/>
    <w:rsid w:val="00E35171"/>
    <w:rsid w:val="00E36FA6"/>
    <w:rsid w:val="00E63FA4"/>
    <w:rsid w:val="00E722CA"/>
    <w:rsid w:val="00E73D76"/>
    <w:rsid w:val="00E73DB1"/>
    <w:rsid w:val="00E846CC"/>
    <w:rsid w:val="00E930DD"/>
    <w:rsid w:val="00E94254"/>
    <w:rsid w:val="00E9570B"/>
    <w:rsid w:val="00EA477A"/>
    <w:rsid w:val="00EA5757"/>
    <w:rsid w:val="00EB0B16"/>
    <w:rsid w:val="00EB1664"/>
    <w:rsid w:val="00EB1F5B"/>
    <w:rsid w:val="00EB7406"/>
    <w:rsid w:val="00EC0FC7"/>
    <w:rsid w:val="00EC1F65"/>
    <w:rsid w:val="00EC5454"/>
    <w:rsid w:val="00EC56E8"/>
    <w:rsid w:val="00ED1CCD"/>
    <w:rsid w:val="00ED5704"/>
    <w:rsid w:val="00EE19CB"/>
    <w:rsid w:val="00EE4536"/>
    <w:rsid w:val="00EE4657"/>
    <w:rsid w:val="00EF1E2F"/>
    <w:rsid w:val="00EF237A"/>
    <w:rsid w:val="00EF3675"/>
    <w:rsid w:val="00EF62F7"/>
    <w:rsid w:val="00F01516"/>
    <w:rsid w:val="00F02F4A"/>
    <w:rsid w:val="00F042CB"/>
    <w:rsid w:val="00F15BF2"/>
    <w:rsid w:val="00F2506D"/>
    <w:rsid w:val="00F3003D"/>
    <w:rsid w:val="00F315D1"/>
    <w:rsid w:val="00F37C0E"/>
    <w:rsid w:val="00F44E24"/>
    <w:rsid w:val="00F4686E"/>
    <w:rsid w:val="00F54AC2"/>
    <w:rsid w:val="00F54EF6"/>
    <w:rsid w:val="00F566F4"/>
    <w:rsid w:val="00F60859"/>
    <w:rsid w:val="00F649DC"/>
    <w:rsid w:val="00F65FAA"/>
    <w:rsid w:val="00F801EB"/>
    <w:rsid w:val="00F816B8"/>
    <w:rsid w:val="00F821C1"/>
    <w:rsid w:val="00F85B37"/>
    <w:rsid w:val="00F86C0C"/>
    <w:rsid w:val="00F90AAD"/>
    <w:rsid w:val="00F941E1"/>
    <w:rsid w:val="00F969D4"/>
    <w:rsid w:val="00FB10AE"/>
    <w:rsid w:val="00FB7C8D"/>
    <w:rsid w:val="00FC5FDD"/>
    <w:rsid w:val="00FD19DB"/>
    <w:rsid w:val="00FD4E9F"/>
    <w:rsid w:val="00FD775A"/>
    <w:rsid w:val="00FE3A8E"/>
    <w:rsid w:val="00FE6876"/>
    <w:rsid w:val="00FF159E"/>
    <w:rsid w:val="00FF4D43"/>
    <w:rsid w:val="00FF4DD7"/>
    <w:rsid w:val="00FF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121444"/>
  <w15:chartTrackingRefBased/>
  <w15:docId w15:val="{36CE132A-F996-4249-B0D3-937B9AAF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  <w:lang w:val="en-US" w:eastAsia="en-US"/>
    </w:rPr>
  </w:style>
  <w:style w:type="character" w:customStyle="1" w:styleId="FooterChar">
    <w:name w:val="Footer Char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BB89672-62A6-4207-B910-92FC6FDC16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0016A5-BB97-4254-A5CB-5F5837D9999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D5ED3075-E9A9-4732-8790-AD8574EFCF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8AE76AE-C508-4E9F-AAC3-9891FD92D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7BB9B66-B424-4C39-9782-725F54274BD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1</TotalTime>
  <Pages>3</Pages>
  <Words>653</Words>
  <Characters>3728</Characters>
  <Application>Microsoft Office Word</Application>
  <DocSecurity>4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Camyl Moreno Pantojas</cp:lastModifiedBy>
  <cp:revision>2</cp:revision>
  <cp:lastPrinted>2025-03-06T13:07:00Z</cp:lastPrinted>
  <dcterms:created xsi:type="dcterms:W3CDTF">2025-11-04T17:20:00Z</dcterms:created>
  <dcterms:modified xsi:type="dcterms:W3CDTF">2025-11-04T17:20:00Z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_activity">
    <vt:lpwstr/>
  </property>
  <property fmtid="{D5CDD505-2E9C-101B-9397-08002B2CF9AE}" pid="4" name="_dlc_DocId">
    <vt:lpwstr>4SQX5P7U7WPY-958212181-817424</vt:lpwstr>
  </property>
  <property fmtid="{D5CDD505-2E9C-101B-9397-08002B2CF9AE}" pid="5" name="_dlc_DocIdItemGuid">
    <vt:lpwstr>74f9c3ff-7312-4a88-b4cf-f037383bb281</vt:lpwstr>
  </property>
  <property fmtid="{D5CDD505-2E9C-101B-9397-08002B2CF9AE}" pid="6" name="_dlc_DocIdUrl">
    <vt:lpwstr>https://senpr.sharepoint.com/sites/obralegislativa/_layouts/15/DocIdRedir.aspx?ID=4SQX5P7U7WPY-958212181-817424, 4SQX5P7U7WPY-958212181-817424</vt:lpwstr>
  </property>
  <property fmtid="{D5CDD505-2E9C-101B-9397-08002B2CF9AE}" pid="7" name="_ip_UnifiedCompliancePolicyUIAction">
    <vt:lpwstr/>
  </property>
  <property fmtid="{D5CDD505-2E9C-101B-9397-08002B2CF9AE}" pid="8" name="_ip_UnifiedCompliancePolicyProperties">
    <vt:lpwstr/>
  </property>
  <property fmtid="{D5CDD505-2E9C-101B-9397-08002B2CF9AE}" pid="9" name="MediaServiceImageTags">
    <vt:lpwstr/>
  </property>
  <property fmtid="{D5CDD505-2E9C-101B-9397-08002B2CF9AE}" pid="10" name="docLang">
    <vt:lpwstr>es</vt:lpwstr>
  </property>
</Properties>
</file>