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5E150B" w:rsidRDefault="007535BB" w:rsidP="007535BB">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5E150B">
        <w:rPr>
          <w:rFonts w:ascii="Book Antiqua" w:hAnsi="Book Antiqua"/>
          <w:sz w:val="28"/>
          <w:szCs w:val="28"/>
          <w:lang w:val="es-ES_tradnl"/>
        </w:rPr>
        <w:t>GOBIERNO DE PUERTO RICO</w:t>
      </w:r>
    </w:p>
    <w:p w14:paraId="24353140" w14:textId="77777777" w:rsidR="007535BB" w:rsidRPr="00B35ECA" w:rsidRDefault="007535BB" w:rsidP="007535BB">
      <w:pPr>
        <w:jc w:val="center"/>
        <w:rPr>
          <w:rFonts w:ascii="Book Antiqua" w:hAnsi="Book Antiqua"/>
          <w:sz w:val="36"/>
          <w:lang w:val="es-ES_tradnl"/>
        </w:rPr>
      </w:pPr>
    </w:p>
    <w:tbl>
      <w:tblPr>
        <w:tblW w:w="9609" w:type="dxa"/>
        <w:tblLook w:val="04A0" w:firstRow="1" w:lastRow="0" w:firstColumn="1" w:lastColumn="0" w:noHBand="0" w:noVBand="1"/>
      </w:tblPr>
      <w:tblGrid>
        <w:gridCol w:w="3170"/>
        <w:gridCol w:w="3171"/>
        <w:gridCol w:w="3268"/>
      </w:tblGrid>
      <w:tr w:rsidR="007535BB" w:rsidRPr="00B35ECA" w14:paraId="4DE77E24" w14:textId="77777777" w:rsidTr="00D95836">
        <w:trPr>
          <w:trHeight w:val="900"/>
        </w:trPr>
        <w:tc>
          <w:tcPr>
            <w:tcW w:w="3170" w:type="dxa"/>
          </w:tcPr>
          <w:p w14:paraId="27AF3912" w14:textId="77777777" w:rsidR="007535BB" w:rsidRPr="00B35ECA" w:rsidRDefault="007535BB" w:rsidP="00D95836">
            <w:pPr>
              <w:rPr>
                <w:rFonts w:ascii="Book Antiqua" w:hAnsi="Book Antiqua"/>
                <w:lang w:val="es-ES_tradnl"/>
              </w:rPr>
            </w:pPr>
            <w:r w:rsidRPr="00B35ECA">
              <w:rPr>
                <w:rFonts w:ascii="Book Antiqua" w:hAnsi="Book Antiqua"/>
                <w:lang w:val="es-ES_tradnl"/>
              </w:rPr>
              <w:t>20</w:t>
            </w:r>
            <w:r w:rsidRPr="00B35ECA">
              <w:rPr>
                <w:rFonts w:ascii="Book Antiqua" w:hAnsi="Book Antiqua"/>
                <w:vertAlign w:val="superscript"/>
                <w:lang w:val="es-ES_tradnl"/>
              </w:rPr>
              <w:t>ma.</w:t>
            </w:r>
            <w:r w:rsidRPr="00B35ECA">
              <w:rPr>
                <w:rFonts w:ascii="Book Antiqua" w:hAnsi="Book Antiqua"/>
                <w:lang w:val="es-ES_tradnl"/>
              </w:rPr>
              <w:tab/>
              <w:t>Asamblea</w:t>
            </w:r>
          </w:p>
          <w:p w14:paraId="082D32B2" w14:textId="77777777" w:rsidR="007535BB" w:rsidRPr="00B35ECA" w:rsidRDefault="007535BB" w:rsidP="00D95836">
            <w:pPr>
              <w:rPr>
                <w:rFonts w:ascii="Book Antiqua" w:hAnsi="Book Antiqua"/>
                <w:sz w:val="36"/>
                <w:lang w:val="es-ES_tradnl"/>
              </w:rPr>
            </w:pPr>
            <w:r w:rsidRPr="00B35ECA">
              <w:rPr>
                <w:rFonts w:ascii="Book Antiqua" w:hAnsi="Book Antiqua"/>
                <w:lang w:val="es-ES_tradnl"/>
              </w:rPr>
              <w:t xml:space="preserve">         </w:t>
            </w:r>
            <w:r w:rsidRPr="00B35ECA">
              <w:rPr>
                <w:rFonts w:ascii="Book Antiqua" w:hAnsi="Book Antiqua"/>
                <w:lang w:val="es-ES_tradnl"/>
              </w:rPr>
              <w:tab/>
              <w:t xml:space="preserve">Legislativa                                                                                                          </w:t>
            </w:r>
          </w:p>
        </w:tc>
        <w:tc>
          <w:tcPr>
            <w:tcW w:w="3171" w:type="dxa"/>
          </w:tcPr>
          <w:p w14:paraId="48FE9142" w14:textId="77777777" w:rsidR="007535BB" w:rsidRPr="00B35ECA" w:rsidRDefault="007535BB" w:rsidP="00D95836">
            <w:pPr>
              <w:jc w:val="center"/>
              <w:rPr>
                <w:rFonts w:ascii="Book Antiqua" w:hAnsi="Book Antiqua"/>
                <w:sz w:val="36"/>
                <w:lang w:val="es-ES_tradnl"/>
              </w:rPr>
            </w:pPr>
          </w:p>
        </w:tc>
        <w:tc>
          <w:tcPr>
            <w:tcW w:w="3268" w:type="dxa"/>
          </w:tcPr>
          <w:p w14:paraId="69176C76" w14:textId="2F06252B" w:rsidR="007535BB" w:rsidRPr="00B35ECA" w:rsidRDefault="007535BB" w:rsidP="00D95836">
            <w:pPr>
              <w:rPr>
                <w:rFonts w:ascii="Book Antiqua" w:hAnsi="Book Antiqua"/>
                <w:lang w:val="es-ES_tradnl"/>
              </w:rPr>
            </w:pPr>
            <w:r w:rsidRPr="00B35ECA">
              <w:rPr>
                <w:rFonts w:ascii="Book Antiqua" w:hAnsi="Book Antiqua"/>
                <w:lang w:val="es-ES_tradnl"/>
              </w:rPr>
              <w:tab/>
            </w:r>
            <w:r w:rsidR="00E17E3B">
              <w:rPr>
                <w:rFonts w:ascii="Book Antiqua" w:hAnsi="Book Antiqua"/>
                <w:lang w:val="es-ES_tradnl"/>
              </w:rPr>
              <w:t>2</w:t>
            </w:r>
            <w:r w:rsidR="00E17E3B" w:rsidRPr="00E17E3B">
              <w:rPr>
                <w:rFonts w:ascii="Book Antiqua" w:hAnsi="Book Antiqua"/>
                <w:vertAlign w:val="superscript"/>
                <w:lang w:val="es-ES_tradnl"/>
              </w:rPr>
              <w:t>d</w:t>
            </w:r>
            <w:r w:rsidRPr="00B35ECA">
              <w:rPr>
                <w:rFonts w:ascii="Book Antiqua" w:hAnsi="Book Antiqua"/>
                <w:vertAlign w:val="superscript"/>
                <w:lang w:val="es-ES_tradnl"/>
              </w:rPr>
              <w:t>a.</w:t>
            </w:r>
            <w:r w:rsidRPr="00B35ECA">
              <w:rPr>
                <w:rFonts w:ascii="Book Antiqua" w:hAnsi="Book Antiqua"/>
                <w:lang w:val="es-ES_tradnl"/>
              </w:rPr>
              <w:t xml:space="preserve"> Sesión</w:t>
            </w:r>
          </w:p>
          <w:p w14:paraId="42A8E2C1" w14:textId="6033C9E1" w:rsidR="007535BB" w:rsidRPr="00B35ECA" w:rsidRDefault="007535BB" w:rsidP="00D95836">
            <w:pPr>
              <w:rPr>
                <w:rFonts w:ascii="Book Antiqua" w:hAnsi="Book Antiqua"/>
                <w:lang w:val="es-ES_tradnl"/>
              </w:rPr>
            </w:pPr>
            <w:r w:rsidRPr="00B35ECA">
              <w:rPr>
                <w:rFonts w:ascii="Book Antiqua" w:hAnsi="Book Antiqua"/>
                <w:lang w:val="es-ES_tradnl"/>
              </w:rPr>
              <w:tab/>
              <w:t xml:space="preserve">      Ordinaria</w:t>
            </w:r>
          </w:p>
          <w:p w14:paraId="640FD190" w14:textId="77777777" w:rsidR="007535BB" w:rsidRPr="00B35ECA" w:rsidRDefault="007535BB" w:rsidP="00D95836">
            <w:pPr>
              <w:jc w:val="center"/>
              <w:rPr>
                <w:rFonts w:ascii="Book Antiqua" w:hAnsi="Book Antiqua"/>
                <w:sz w:val="36"/>
                <w:lang w:val="es-ES_tradnl"/>
              </w:rPr>
            </w:pPr>
          </w:p>
        </w:tc>
      </w:tr>
    </w:tbl>
    <w:bookmarkEnd w:id="0"/>
    <w:p w14:paraId="44DF1C72" w14:textId="77777777" w:rsidR="007535BB" w:rsidRPr="00B35ECA" w:rsidRDefault="007535BB" w:rsidP="0027212A">
      <w:pPr>
        <w:spacing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E53146F" w14:textId="4370706D" w:rsidR="007535BB" w:rsidRPr="00B35ECA" w:rsidRDefault="007535BB" w:rsidP="0027212A">
      <w:pPr>
        <w:spacing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AD359C">
        <w:rPr>
          <w:rFonts w:ascii="Book Antiqua" w:hAnsi="Book Antiqua"/>
          <w:b/>
          <w:sz w:val="52"/>
          <w:lang w:val="es-ES_tradnl"/>
        </w:rPr>
        <w:t>96</w:t>
      </w:r>
    </w:p>
    <w:p w14:paraId="1443CA0F" w14:textId="77777777" w:rsidR="007535BB" w:rsidRPr="001B5218" w:rsidRDefault="007535BB" w:rsidP="0027212A">
      <w:pPr>
        <w:spacing w:line="360" w:lineRule="auto"/>
        <w:jc w:val="center"/>
        <w:rPr>
          <w:rFonts w:ascii="Book Antiqua" w:hAnsi="Book Antiqua"/>
          <w:b/>
          <w:bCs/>
          <w:lang w:val="es-ES_tradnl"/>
        </w:rPr>
      </w:pPr>
      <w:r w:rsidRPr="001B5218">
        <w:rPr>
          <w:rFonts w:ascii="Book Antiqua" w:hAnsi="Book Antiqua"/>
          <w:b/>
          <w:bCs/>
          <w:lang w:val="es-ES_tradnl"/>
        </w:rPr>
        <w:t xml:space="preserve"> </w:t>
      </w:r>
      <w:bookmarkStart w:id="3" w:name="_Hlk183037684"/>
      <w:r w:rsidR="001B5218" w:rsidRPr="00A52CD9">
        <w:rPr>
          <w:rFonts w:ascii="Book Antiqua" w:hAnsi="Book Antiqua"/>
          <w:b/>
          <w:bCs/>
          <w:sz w:val="28"/>
          <w:szCs w:val="22"/>
          <w:lang w:val="es-ES_tradnl"/>
        </w:rPr>
        <w:t xml:space="preserve">INFORME POSITIVO </w:t>
      </w:r>
    </w:p>
    <w:p w14:paraId="07AB4BDD" w14:textId="53AE6537" w:rsidR="001B5218" w:rsidRPr="005E150B" w:rsidRDefault="00FF42F0" w:rsidP="0027212A">
      <w:pPr>
        <w:spacing w:line="360" w:lineRule="auto"/>
        <w:jc w:val="center"/>
        <w:rPr>
          <w:rFonts w:ascii="Book Antiqua" w:hAnsi="Book Antiqua"/>
          <w:lang w:val="es-ES_tradnl"/>
        </w:rPr>
      </w:pPr>
      <w:r>
        <w:rPr>
          <w:rFonts w:ascii="Book Antiqua" w:hAnsi="Book Antiqua"/>
          <w:lang w:val="es-ES_tradnl"/>
        </w:rPr>
        <w:t xml:space="preserve">14 </w:t>
      </w:r>
      <w:r w:rsidR="00AD359C">
        <w:rPr>
          <w:rFonts w:ascii="Book Antiqua" w:hAnsi="Book Antiqua"/>
          <w:lang w:val="es-ES_tradnl"/>
        </w:rPr>
        <w:t>de agosto de</w:t>
      </w:r>
      <w:r w:rsidR="00D13D23" w:rsidRPr="005E150B">
        <w:rPr>
          <w:rFonts w:ascii="Book Antiqua" w:hAnsi="Book Antiqua"/>
          <w:lang w:val="es-ES_tradnl"/>
        </w:rPr>
        <w:t xml:space="preserve"> 2025</w:t>
      </w:r>
    </w:p>
    <w:bookmarkEnd w:id="2"/>
    <w:bookmarkEnd w:id="3"/>
    <w:p w14:paraId="518A096B" w14:textId="07DCC0DC" w:rsidR="005B2884" w:rsidRPr="00E14B9C" w:rsidRDefault="001B5218" w:rsidP="001B6950">
      <w:pPr>
        <w:tabs>
          <w:tab w:val="left" w:pos="-720"/>
        </w:tabs>
        <w:suppressAutoHyphens/>
        <w:spacing w:before="240" w:after="240" w:line="276" w:lineRule="auto"/>
        <w:rPr>
          <w:rFonts w:ascii="Book Antiqua" w:hAnsi="Book Antiqua"/>
          <w:szCs w:val="24"/>
          <w:lang w:val="es-ES_tradnl"/>
        </w:rPr>
      </w:pPr>
      <w:r>
        <w:rPr>
          <w:rFonts w:ascii="Book Antiqua" w:hAnsi="Book Antiqua"/>
          <w:b/>
          <w:szCs w:val="24"/>
          <w:lang w:val="es-ES_tradnl"/>
        </w:rPr>
        <w:t xml:space="preserve">AL SENADO DE PUERTO RICO: </w:t>
      </w:r>
    </w:p>
    <w:p w14:paraId="37982730" w14:textId="65E4BCB9" w:rsidR="005B2884" w:rsidRPr="00A11ED0" w:rsidRDefault="00A52CD9" w:rsidP="001B6950">
      <w:pPr>
        <w:suppressAutoHyphens/>
        <w:spacing w:line="276" w:lineRule="auto"/>
        <w:jc w:val="both"/>
        <w:rPr>
          <w:rFonts w:ascii="Book Antiqua" w:hAnsi="Book Antiqua"/>
          <w:spacing w:val="-3"/>
          <w:lang w:val="es-ES_tradnl"/>
        </w:rPr>
      </w:pPr>
      <w:r w:rsidRPr="00A11ED0">
        <w:rPr>
          <w:rFonts w:ascii="Book Antiqua" w:hAnsi="Book Antiqua"/>
          <w:spacing w:val="-3"/>
          <w:lang w:val="es-ES_tradnl"/>
        </w:rPr>
        <w:t xml:space="preserve">      </w:t>
      </w:r>
      <w:r w:rsidR="009F427F" w:rsidRPr="00A11ED0">
        <w:rPr>
          <w:rFonts w:ascii="Book Antiqua" w:hAnsi="Book Antiqua"/>
          <w:spacing w:val="-3"/>
          <w:lang w:val="es-ES_tradnl"/>
        </w:rPr>
        <w:tab/>
      </w:r>
      <w:r w:rsidR="001B5218" w:rsidRPr="00A11ED0">
        <w:rPr>
          <w:rFonts w:ascii="Book Antiqua" w:hAnsi="Book Antiqua"/>
          <w:spacing w:val="-3"/>
          <w:lang w:val="es-ES_tradnl"/>
        </w:rPr>
        <w:t xml:space="preserve">La </w:t>
      </w:r>
      <w:r w:rsidR="00E17E3B">
        <w:rPr>
          <w:rFonts w:ascii="Book Antiqua" w:hAnsi="Book Antiqua"/>
          <w:spacing w:val="-3"/>
          <w:lang w:val="es-ES_tradnl"/>
        </w:rPr>
        <w:t>Comisión de lo Jurídico del Senado de Puerto Rico</w:t>
      </w:r>
      <w:r w:rsidR="001B5218" w:rsidRPr="00A11ED0">
        <w:rPr>
          <w:rFonts w:ascii="Book Antiqua" w:hAnsi="Book Antiqua"/>
          <w:spacing w:val="-3"/>
          <w:lang w:val="es-ES_tradnl"/>
        </w:rPr>
        <w:t>, previo estudio y consideración</w:t>
      </w:r>
      <w:r w:rsidR="009F427F" w:rsidRPr="00A11ED0">
        <w:rPr>
          <w:rFonts w:ascii="Book Antiqua" w:hAnsi="Book Antiqua"/>
          <w:spacing w:val="-3"/>
          <w:lang w:val="es-ES_tradnl"/>
        </w:rPr>
        <w:t xml:space="preserve"> </w:t>
      </w:r>
      <w:r w:rsidR="009F427F" w:rsidRPr="00337BB7">
        <w:rPr>
          <w:rFonts w:ascii="Book Antiqua" w:hAnsi="Book Antiqua"/>
          <w:spacing w:val="-3"/>
          <w:lang w:val="es-ES_tradnl"/>
        </w:rPr>
        <w:t xml:space="preserve">del </w:t>
      </w:r>
      <w:r w:rsidR="00AD359C">
        <w:rPr>
          <w:rFonts w:ascii="Book Antiqua" w:hAnsi="Book Antiqua"/>
          <w:spacing w:val="-3"/>
          <w:lang w:val="es-ES_tradnl"/>
        </w:rPr>
        <w:t>Proyecto del Senado 96</w:t>
      </w:r>
      <w:r w:rsidR="001B5218" w:rsidRPr="00A11ED0">
        <w:rPr>
          <w:rFonts w:ascii="Book Antiqua" w:hAnsi="Book Antiqua"/>
          <w:spacing w:val="-3"/>
          <w:lang w:val="es-ES_tradnl"/>
        </w:rPr>
        <w:t xml:space="preserve"> </w:t>
      </w:r>
      <w:r w:rsidR="009F427F" w:rsidRPr="00337BB7">
        <w:rPr>
          <w:rFonts w:ascii="Book Antiqua" w:hAnsi="Book Antiqua"/>
          <w:spacing w:val="-3"/>
          <w:lang w:val="es-ES_tradnl"/>
        </w:rPr>
        <w:t>recomienda a este Alto Cuerpo su</w:t>
      </w:r>
      <w:r w:rsidR="008E051A" w:rsidRPr="00B8540B">
        <w:rPr>
          <w:rFonts w:ascii="Book Antiqua" w:hAnsi="Book Antiqua"/>
          <w:spacing w:val="-3"/>
          <w:lang w:val="es-ES_tradnl"/>
        </w:rPr>
        <w:t xml:space="preserve"> </w:t>
      </w:r>
      <w:r w:rsidR="001B5218" w:rsidRPr="00337BB7">
        <w:rPr>
          <w:rFonts w:ascii="Book Antiqua" w:hAnsi="Book Antiqua"/>
          <w:spacing w:val="-3"/>
          <w:lang w:val="es-ES_tradnl"/>
        </w:rPr>
        <w:t>aprobación</w:t>
      </w:r>
      <w:r w:rsidR="001B5218" w:rsidRPr="00A11ED0">
        <w:rPr>
          <w:rFonts w:ascii="Book Antiqua" w:hAnsi="Book Antiqua"/>
          <w:spacing w:val="-3"/>
          <w:lang w:val="es-ES_tradnl"/>
        </w:rPr>
        <w:t xml:space="preserve">, </w:t>
      </w:r>
      <w:r w:rsidR="001B5218" w:rsidRPr="00AD359C">
        <w:rPr>
          <w:rFonts w:ascii="Book Antiqua" w:hAnsi="Book Antiqua"/>
          <w:spacing w:val="-3"/>
          <w:lang w:val="es-ES_tradnl"/>
        </w:rPr>
        <w:t>con las enmiendas contenidas en el entirillado electrónico que se acompaña</w:t>
      </w:r>
      <w:r w:rsidR="00AD359C">
        <w:rPr>
          <w:rFonts w:ascii="Book Antiqua" w:hAnsi="Book Antiqua"/>
          <w:spacing w:val="-3"/>
          <w:lang w:val="es-ES_tradnl"/>
        </w:rPr>
        <w:t>.</w:t>
      </w:r>
    </w:p>
    <w:p w14:paraId="1C36686D" w14:textId="77777777" w:rsidR="000C52A1" w:rsidRPr="00A11ED0" w:rsidRDefault="000C52A1" w:rsidP="001B6950">
      <w:pPr>
        <w:suppressAutoHyphens/>
        <w:spacing w:line="276" w:lineRule="auto"/>
        <w:jc w:val="both"/>
        <w:rPr>
          <w:rFonts w:ascii="Book Antiqua" w:hAnsi="Book Antiqua"/>
          <w:spacing w:val="-3"/>
          <w:lang w:val="es-ES_tradnl"/>
        </w:rPr>
      </w:pPr>
    </w:p>
    <w:p w14:paraId="632423B1" w14:textId="77777777" w:rsidR="0024131E" w:rsidRPr="00A11ED0" w:rsidRDefault="001B5218" w:rsidP="001B6950">
      <w:pPr>
        <w:tabs>
          <w:tab w:val="left" w:pos="-720"/>
        </w:tabs>
        <w:suppressAutoHyphens/>
        <w:spacing w:line="276" w:lineRule="auto"/>
        <w:jc w:val="center"/>
        <w:rPr>
          <w:rFonts w:ascii="Book Antiqua" w:hAnsi="Book Antiqua"/>
          <w:b/>
          <w:bCs/>
          <w:szCs w:val="24"/>
          <w:lang w:val="es-ES_tradnl"/>
        </w:rPr>
      </w:pPr>
      <w:r w:rsidRPr="00A11ED0">
        <w:rPr>
          <w:rFonts w:ascii="Book Antiqua" w:hAnsi="Book Antiqua"/>
          <w:b/>
          <w:bCs/>
          <w:szCs w:val="24"/>
          <w:lang w:val="es-ES_tradnl"/>
        </w:rPr>
        <w:t xml:space="preserve">ALCANCE DE LA MEDIDA </w:t>
      </w:r>
    </w:p>
    <w:p w14:paraId="5B5C79B2" w14:textId="77777777" w:rsidR="000C52A1" w:rsidRPr="00A11ED0" w:rsidRDefault="000C52A1" w:rsidP="001B6950">
      <w:pPr>
        <w:tabs>
          <w:tab w:val="left" w:pos="-720"/>
        </w:tabs>
        <w:suppressAutoHyphens/>
        <w:spacing w:line="276" w:lineRule="auto"/>
        <w:rPr>
          <w:rFonts w:ascii="Book Antiqua" w:hAnsi="Book Antiqua"/>
          <w:b/>
          <w:bCs/>
          <w:szCs w:val="24"/>
          <w:lang w:val="es-ES_tradnl"/>
        </w:rPr>
      </w:pPr>
    </w:p>
    <w:p w14:paraId="7C7A3389" w14:textId="4A8388F6" w:rsidR="006F51A8" w:rsidRPr="00A11ED0" w:rsidRDefault="009F427F" w:rsidP="001B6950">
      <w:pPr>
        <w:tabs>
          <w:tab w:val="left" w:pos="-720"/>
        </w:tabs>
        <w:suppressAutoHyphens/>
        <w:spacing w:line="276" w:lineRule="auto"/>
        <w:ind w:firstLine="360"/>
        <w:jc w:val="both"/>
        <w:rPr>
          <w:rFonts w:ascii="Book Antiqua" w:hAnsi="Book Antiqua"/>
          <w:lang w:val="es-PR"/>
        </w:rPr>
      </w:pPr>
      <w:r w:rsidRPr="00A11ED0">
        <w:rPr>
          <w:rFonts w:ascii="Book Antiqua" w:hAnsi="Book Antiqua"/>
          <w:lang w:val="es-PR"/>
        </w:rPr>
        <w:tab/>
      </w:r>
      <w:r w:rsidR="001B5218" w:rsidRPr="00A11ED0">
        <w:rPr>
          <w:rFonts w:ascii="Book Antiqua" w:hAnsi="Book Antiqua"/>
          <w:lang w:val="es-PR"/>
        </w:rPr>
        <w:t xml:space="preserve">El Proyecto del Senado </w:t>
      </w:r>
      <w:r w:rsidR="00AD359C">
        <w:rPr>
          <w:rFonts w:ascii="Book Antiqua" w:hAnsi="Book Antiqua"/>
          <w:lang w:val="es-PR"/>
        </w:rPr>
        <w:t>96</w:t>
      </w:r>
      <w:r w:rsidRPr="00A11ED0">
        <w:rPr>
          <w:rFonts w:ascii="Book Antiqua" w:hAnsi="Book Antiqua"/>
          <w:lang w:val="es-PR"/>
        </w:rPr>
        <w:t xml:space="preserve"> </w:t>
      </w:r>
      <w:r w:rsidRPr="00337BB7">
        <w:rPr>
          <w:rFonts w:ascii="Book Antiqua" w:hAnsi="Book Antiqua"/>
          <w:lang w:val="es-PR"/>
        </w:rPr>
        <w:t xml:space="preserve">(en adelante, P. del S. </w:t>
      </w:r>
      <w:r w:rsidR="00AD359C">
        <w:rPr>
          <w:rFonts w:ascii="Book Antiqua" w:hAnsi="Book Antiqua"/>
          <w:lang w:val="es-PR"/>
        </w:rPr>
        <w:t>96)</w:t>
      </w:r>
      <w:r w:rsidRPr="00B8540B">
        <w:rPr>
          <w:rFonts w:ascii="Book Antiqua" w:hAnsi="Book Antiqua"/>
          <w:i/>
          <w:iCs/>
          <w:lang w:val="es-PR"/>
        </w:rPr>
        <w:t xml:space="preserve"> </w:t>
      </w:r>
      <w:r w:rsidR="001B5218" w:rsidRPr="00337BB7">
        <w:rPr>
          <w:rFonts w:ascii="Book Antiqua" w:hAnsi="Book Antiqua"/>
          <w:lang w:val="es-PR"/>
        </w:rPr>
        <w:t>,</w:t>
      </w:r>
      <w:r w:rsidR="001B5218" w:rsidRPr="00A11ED0">
        <w:rPr>
          <w:rFonts w:ascii="Book Antiqua" w:hAnsi="Book Antiqua"/>
          <w:lang w:val="es-PR"/>
        </w:rPr>
        <w:t xml:space="preserve"> según radicado, tiene como propósito, </w:t>
      </w:r>
      <w:r w:rsidR="008E051A" w:rsidRPr="00337BB7">
        <w:rPr>
          <w:rFonts w:ascii="Book Antiqua" w:hAnsi="Book Antiqua"/>
          <w:lang w:val="es-PR"/>
        </w:rPr>
        <w:t>“</w:t>
      </w:r>
      <w:r w:rsidR="00264C3E" w:rsidRPr="004A0DB3">
        <w:rPr>
          <w:rFonts w:ascii="Book Antiqua" w:hAnsi="Book Antiqua"/>
          <w:lang w:val="es-ES_tradnl"/>
        </w:rPr>
        <w:t>enmendar la Sección 9</w:t>
      </w:r>
      <w:r w:rsidR="00264C3E">
        <w:rPr>
          <w:rFonts w:ascii="Book Antiqua" w:hAnsi="Book Antiqua"/>
          <w:lang w:val="es-ES_tradnl"/>
        </w:rPr>
        <w:t>A</w:t>
      </w:r>
      <w:r w:rsidR="00264C3E" w:rsidRPr="004A0DB3">
        <w:rPr>
          <w:rFonts w:ascii="Book Antiqua" w:hAnsi="Book Antiqua"/>
          <w:lang w:val="es-ES_tradnl"/>
        </w:rPr>
        <w:t xml:space="preserve"> de la Ley Núm. 221 de 15 de mayo de 1948, según enmendada, conocida como la “Ley de Juegos de Azar”, </w:t>
      </w:r>
      <w:r w:rsidR="00264C3E" w:rsidRPr="003317B7">
        <w:rPr>
          <w:rFonts w:ascii="Book Antiqua" w:hAnsi="Book Antiqua"/>
          <w:lang w:val="es-ES_tradnl"/>
        </w:rPr>
        <w:t xml:space="preserve">a los fines de atemperar sus disposiciones y delitos al sistema de penas establecido en la </w:t>
      </w:r>
      <w:r w:rsidR="00264C3E" w:rsidRPr="003317B7">
        <w:rPr>
          <w:rFonts w:ascii="Book Antiqua" w:hAnsi="Book Antiqua"/>
          <w:lang w:val="es-PR"/>
        </w:rPr>
        <w:t>Ley Núm. 146 de 30 de julio de 2012, según enmendada, conocida como “Código Penal de Puerto Rico” y para otros fines relacionados</w:t>
      </w:r>
      <w:r w:rsidR="00A11ED0" w:rsidRPr="00A11ED0">
        <w:rPr>
          <w:rFonts w:ascii="Book Antiqua" w:hAnsi="Book Antiqua"/>
          <w:lang w:val="es-PR"/>
        </w:rPr>
        <w:t>”</w:t>
      </w:r>
      <w:bookmarkStart w:id="4" w:name="_Hlk194438498"/>
      <w:r w:rsidR="00264C3E">
        <w:rPr>
          <w:rFonts w:ascii="Book Antiqua" w:hAnsi="Book Antiqua"/>
          <w:lang w:val="es-PR"/>
        </w:rPr>
        <w:t>.</w:t>
      </w:r>
    </w:p>
    <w:bookmarkEnd w:id="4"/>
    <w:p w14:paraId="771800BC" w14:textId="77777777" w:rsidR="00A06A16" w:rsidRPr="00A11ED0" w:rsidRDefault="00A06A16" w:rsidP="001B6950">
      <w:pPr>
        <w:tabs>
          <w:tab w:val="left" w:pos="-720"/>
        </w:tabs>
        <w:suppressAutoHyphens/>
        <w:spacing w:line="276" w:lineRule="auto"/>
        <w:ind w:firstLine="360"/>
        <w:jc w:val="center"/>
        <w:rPr>
          <w:rFonts w:ascii="Book Antiqua" w:hAnsi="Book Antiqua"/>
          <w:b/>
          <w:bCs/>
          <w:lang w:val="es-PR"/>
        </w:rPr>
      </w:pPr>
    </w:p>
    <w:p w14:paraId="6EE110C6" w14:textId="695AAC9E" w:rsidR="006F51A8" w:rsidRPr="00337BB7" w:rsidRDefault="009F427F" w:rsidP="001B6950">
      <w:pPr>
        <w:tabs>
          <w:tab w:val="left" w:pos="-720"/>
        </w:tabs>
        <w:suppressAutoHyphens/>
        <w:spacing w:line="276" w:lineRule="auto"/>
        <w:ind w:firstLine="360"/>
        <w:jc w:val="center"/>
        <w:rPr>
          <w:rFonts w:ascii="Book Antiqua" w:hAnsi="Book Antiqua"/>
          <w:b/>
          <w:bCs/>
          <w:lang w:val="es-PR"/>
        </w:rPr>
      </w:pPr>
      <w:r w:rsidRPr="00337BB7">
        <w:rPr>
          <w:rFonts w:ascii="Book Antiqua" w:hAnsi="Book Antiqua"/>
          <w:b/>
          <w:bCs/>
          <w:lang w:val="es-PR"/>
        </w:rPr>
        <w:t>ANÁLISIS DE LA MEDIDA</w:t>
      </w:r>
    </w:p>
    <w:p w14:paraId="6FD2A601" w14:textId="77777777" w:rsidR="000C52A1" w:rsidRPr="00A11ED0" w:rsidRDefault="000C52A1" w:rsidP="001B6950">
      <w:pPr>
        <w:tabs>
          <w:tab w:val="left" w:pos="-720"/>
        </w:tabs>
        <w:suppressAutoHyphens/>
        <w:spacing w:line="276" w:lineRule="auto"/>
        <w:ind w:firstLine="360"/>
        <w:jc w:val="center"/>
        <w:rPr>
          <w:rFonts w:ascii="Book Antiqua" w:hAnsi="Book Antiqua"/>
          <w:b/>
          <w:bCs/>
          <w:lang w:val="es-PR"/>
        </w:rPr>
      </w:pPr>
    </w:p>
    <w:p w14:paraId="17492297" w14:textId="20141DB0" w:rsidR="0024071A" w:rsidRPr="0024071A" w:rsidRDefault="00246C97" w:rsidP="001B6950">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24071A" w:rsidRPr="0024071A">
        <w:rPr>
          <w:rFonts w:ascii="Book Antiqua" w:hAnsi="Book Antiqua"/>
          <w:lang w:val="es-PR"/>
        </w:rPr>
        <w:t xml:space="preserve">La Ley Núm. 221 de 15 de Mayo de 1948, conocida como la </w:t>
      </w:r>
      <w:r w:rsidR="0024071A">
        <w:rPr>
          <w:rFonts w:ascii="Book Antiqua" w:hAnsi="Book Antiqua"/>
          <w:lang w:val="es-PR"/>
        </w:rPr>
        <w:t>“</w:t>
      </w:r>
      <w:r w:rsidR="0024071A" w:rsidRPr="0024071A">
        <w:rPr>
          <w:rFonts w:ascii="Book Antiqua" w:hAnsi="Book Antiqua"/>
          <w:lang w:val="es-PR"/>
        </w:rPr>
        <w:t>Ley de Juegos de Azar y Autorización de Máquinas Tragamonedas en los Casinos</w:t>
      </w:r>
      <w:r w:rsidR="0024071A">
        <w:rPr>
          <w:rFonts w:ascii="Book Antiqua" w:hAnsi="Book Antiqua"/>
          <w:lang w:val="es-PR"/>
        </w:rPr>
        <w:t>” (en adelante, la “Ley de Juegos de Azar”</w:t>
      </w:r>
      <w:r w:rsidR="00746C9E">
        <w:rPr>
          <w:rFonts w:ascii="Book Antiqua" w:hAnsi="Book Antiqua"/>
          <w:lang w:val="es-PR"/>
        </w:rPr>
        <w:t>)</w:t>
      </w:r>
      <w:r w:rsidR="0024071A" w:rsidRPr="0024071A">
        <w:rPr>
          <w:rFonts w:ascii="Book Antiqua" w:hAnsi="Book Antiqua"/>
          <w:lang w:val="es-PR"/>
        </w:rPr>
        <w:t>, tiene como propósitos fundamentales</w:t>
      </w:r>
      <w:r w:rsidR="00746C9E">
        <w:rPr>
          <w:rFonts w:ascii="Book Antiqua" w:hAnsi="Book Antiqua"/>
          <w:lang w:val="es-PR"/>
        </w:rPr>
        <w:t xml:space="preserve">: </w:t>
      </w:r>
      <w:r w:rsidR="0024071A" w:rsidRPr="0024071A">
        <w:rPr>
          <w:rFonts w:ascii="Book Antiqua" w:hAnsi="Book Antiqua"/>
          <w:lang w:val="es-PR"/>
        </w:rPr>
        <w:t>contribuir al fomento del turismo, reglamentar y fiscalizar los juegos de azar, y proveer una fuente adicional de ingresos para el gobierno.</w:t>
      </w:r>
    </w:p>
    <w:p w14:paraId="31A712A0" w14:textId="219EED9B" w:rsidR="0024071A" w:rsidRPr="0024071A" w:rsidRDefault="0024071A" w:rsidP="001B6950">
      <w:pPr>
        <w:tabs>
          <w:tab w:val="left" w:pos="-720"/>
        </w:tabs>
        <w:suppressAutoHyphens/>
        <w:spacing w:line="276" w:lineRule="auto"/>
        <w:ind w:firstLine="360"/>
        <w:jc w:val="both"/>
        <w:rPr>
          <w:rFonts w:ascii="Book Antiqua" w:hAnsi="Book Antiqua"/>
          <w:lang w:val="es-PR"/>
        </w:rPr>
      </w:pPr>
      <w:r w:rsidRPr="0024071A">
        <w:rPr>
          <w:rFonts w:ascii="Book Antiqua" w:hAnsi="Book Antiqua"/>
          <w:lang w:val="es-PR"/>
        </w:rPr>
        <w:t xml:space="preserve">En primer lugar, la ley busca fomentar el turismo en Puerto Rico. Esto se logra mediante la autorización de ciertos juegos de azar que son comunes en los grandes </w:t>
      </w:r>
      <w:r w:rsidRPr="0024071A">
        <w:rPr>
          <w:rFonts w:ascii="Book Antiqua" w:hAnsi="Book Antiqua"/>
          <w:lang w:val="es-PR"/>
        </w:rPr>
        <w:lastRenderedPageBreak/>
        <w:t xml:space="preserve">centros turísticos del mundo, con el objetivo de brindar atracciones y comodidades que estén a la altura de las normas internacionales. En segundo lugar, la ley tiene el propósito de reglamentar y fiscalizar estos juegos de azar por parte del gobierno. Esto es crucial para brindar a los </w:t>
      </w:r>
      <w:r w:rsidR="00746C9E">
        <w:rPr>
          <w:rFonts w:ascii="Book Antiqua" w:hAnsi="Book Antiqua"/>
          <w:lang w:val="es-PR"/>
        </w:rPr>
        <w:t>usuarios de los juegos de azar</w:t>
      </w:r>
      <w:r w:rsidRPr="0024071A">
        <w:rPr>
          <w:rFonts w:ascii="Book Antiqua" w:hAnsi="Book Antiqua"/>
          <w:lang w:val="es-PR"/>
        </w:rPr>
        <w:t xml:space="preserve"> las mayores garantías posibles. Finalmente, la ley busca proveer al Secretario de Hacienda de Puerto Rico una fuente adicional de ingresos. Los derechos de franquicia que pagan los concesionarios ingresan al Fondo General del Tesoro Estatal, con montos que varían según el total jugado anualmente, oscilando entre $50,000 y $200,000. </w:t>
      </w:r>
    </w:p>
    <w:p w14:paraId="71823F2A" w14:textId="158F8C4F" w:rsidR="0024071A" w:rsidRPr="0024071A" w:rsidRDefault="00944D09" w:rsidP="00944D09">
      <w:pPr>
        <w:tabs>
          <w:tab w:val="left" w:pos="-720"/>
        </w:tabs>
        <w:suppressAutoHyphens/>
        <w:spacing w:line="276" w:lineRule="auto"/>
        <w:jc w:val="both"/>
        <w:rPr>
          <w:rFonts w:ascii="Book Antiqua" w:hAnsi="Book Antiqua"/>
          <w:lang w:val="es-PR"/>
        </w:rPr>
      </w:pPr>
      <w:r>
        <w:rPr>
          <w:rFonts w:ascii="Book Antiqua" w:hAnsi="Book Antiqua"/>
          <w:lang w:val="es-PR"/>
        </w:rPr>
        <w:tab/>
      </w:r>
      <w:r w:rsidR="00CE6D73">
        <w:rPr>
          <w:rFonts w:ascii="Book Antiqua" w:hAnsi="Book Antiqua"/>
          <w:lang w:val="es-PR"/>
        </w:rPr>
        <w:t>La Ley de Juegos de Azar</w:t>
      </w:r>
      <w:r w:rsidR="00CE6D73" w:rsidRPr="0024071A">
        <w:rPr>
          <w:rFonts w:ascii="Book Antiqua" w:hAnsi="Book Antiqua"/>
          <w:lang w:val="es-PR"/>
        </w:rPr>
        <w:t xml:space="preserve"> </w:t>
      </w:r>
      <w:r w:rsidR="0024071A" w:rsidRPr="0024071A">
        <w:rPr>
          <w:rFonts w:ascii="Book Antiqua" w:hAnsi="Book Antiqua"/>
          <w:lang w:val="es-PR"/>
        </w:rPr>
        <w:t>incluye disposiciones para imponer penalidades por diversas violaciones, como la obtención de franquicias mediante fraude, la falta de pago de derechos, la promoción indebida de juegos, o cualquier manipulación de los dispositivos de juego, con el fin de asegurar el cumplimiento y la integridad de las operaciones. Las sanciones administrativas pueden incluir multas o la suspensión/revocación de franquicias y licencias. Las violaciones más graves pueden constituir un delito grave</w:t>
      </w:r>
      <w:r w:rsidR="00E24441">
        <w:rPr>
          <w:rFonts w:ascii="Book Antiqua" w:hAnsi="Book Antiqua"/>
          <w:lang w:val="es-PR"/>
        </w:rPr>
        <w:t xml:space="preserve"> “de cuarto grado”.</w:t>
      </w:r>
    </w:p>
    <w:p w14:paraId="7D81C205" w14:textId="01670D1F" w:rsidR="006D5838" w:rsidRDefault="00FA39AF" w:rsidP="001B6950">
      <w:pPr>
        <w:tabs>
          <w:tab w:val="left" w:pos="-720"/>
        </w:tabs>
        <w:suppressAutoHyphens/>
        <w:spacing w:line="276" w:lineRule="auto"/>
        <w:jc w:val="both"/>
        <w:rPr>
          <w:rFonts w:ascii="Book Antiqua" w:hAnsi="Book Antiqua"/>
          <w:lang w:val="es-PR"/>
        </w:rPr>
      </w:pPr>
      <w:r>
        <w:rPr>
          <w:rFonts w:ascii="Book Antiqua" w:hAnsi="Book Antiqua"/>
          <w:lang w:val="es-PR"/>
        </w:rPr>
        <w:tab/>
      </w:r>
      <w:r w:rsidR="00E24441">
        <w:rPr>
          <w:rFonts w:ascii="Book Antiqua" w:hAnsi="Book Antiqua"/>
          <w:lang w:val="es-PR"/>
        </w:rPr>
        <w:t>El</w:t>
      </w:r>
      <w:r w:rsidR="0024071A" w:rsidRPr="0024071A">
        <w:rPr>
          <w:rFonts w:ascii="Book Antiqua" w:hAnsi="Book Antiqua"/>
          <w:lang w:val="es-PR"/>
        </w:rPr>
        <w:t xml:space="preserve"> P. del S. 96, tiene como propósito atemperar </w:t>
      </w:r>
      <w:r w:rsidR="00B45E13">
        <w:rPr>
          <w:rFonts w:ascii="Book Antiqua" w:hAnsi="Book Antiqua"/>
          <w:lang w:val="es-PR"/>
        </w:rPr>
        <w:t>la pena estatuida en la</w:t>
      </w:r>
      <w:r w:rsidR="0024071A" w:rsidRPr="0024071A">
        <w:rPr>
          <w:rFonts w:ascii="Book Antiqua" w:hAnsi="Book Antiqua"/>
          <w:lang w:val="es-PR"/>
        </w:rPr>
        <w:t xml:space="preserve"> Sección 9A de </w:t>
      </w:r>
      <w:r w:rsidR="00E24441">
        <w:rPr>
          <w:rFonts w:ascii="Book Antiqua" w:hAnsi="Book Antiqua"/>
          <w:lang w:val="es-PR"/>
        </w:rPr>
        <w:t>la Ley de Juegos de Azar</w:t>
      </w:r>
      <w:r w:rsidR="0024071A" w:rsidRPr="0024071A">
        <w:rPr>
          <w:rFonts w:ascii="Book Antiqua" w:hAnsi="Book Antiqua"/>
          <w:lang w:val="es-PR"/>
        </w:rPr>
        <w:t xml:space="preserve"> con el sistema de penas establecido en la Ley </w:t>
      </w:r>
      <w:r w:rsidR="003346AE">
        <w:rPr>
          <w:rFonts w:ascii="Book Antiqua" w:hAnsi="Book Antiqua"/>
          <w:lang w:val="es-PR"/>
        </w:rPr>
        <w:t>146-2012</w:t>
      </w:r>
      <w:r w:rsidR="0024071A" w:rsidRPr="0024071A">
        <w:rPr>
          <w:rFonts w:ascii="Book Antiqua" w:hAnsi="Book Antiqua"/>
          <w:lang w:val="es-PR"/>
        </w:rPr>
        <w:t>, conocida como el “Código Penal de Puerto Rico</w:t>
      </w:r>
      <w:r w:rsidR="003346AE">
        <w:rPr>
          <w:rFonts w:ascii="Book Antiqua" w:hAnsi="Book Antiqua"/>
          <w:lang w:val="es-PR"/>
        </w:rPr>
        <w:t xml:space="preserve"> de 2012</w:t>
      </w:r>
      <w:r w:rsidR="0024071A" w:rsidRPr="0024071A">
        <w:rPr>
          <w:rFonts w:ascii="Book Antiqua" w:hAnsi="Book Antiqua"/>
          <w:lang w:val="es-PR"/>
        </w:rPr>
        <w:t xml:space="preserve">”. Esta enmienda busca armonizar las penas para garantizar que el sistema de justicia penal se mantenga coherente y alineado con el sistema de sentencias fijas vigente, evitando decisiones inconsistentes en la aplicación e imposición de penas y asegurando que el sistema penal sea justo y equitativo para todos los </w:t>
      </w:r>
      <w:r w:rsidR="003346AE">
        <w:rPr>
          <w:rFonts w:ascii="Book Antiqua" w:hAnsi="Book Antiqua"/>
          <w:lang w:val="es-PR"/>
        </w:rPr>
        <w:t>acusados</w:t>
      </w:r>
      <w:r w:rsidR="0024071A" w:rsidRPr="0024071A">
        <w:rPr>
          <w:rFonts w:ascii="Book Antiqua" w:hAnsi="Book Antiqua"/>
          <w:lang w:val="es-PR"/>
        </w:rPr>
        <w:t xml:space="preserve">. </w:t>
      </w:r>
      <w:r w:rsidR="00993724">
        <w:rPr>
          <w:rFonts w:ascii="Book Antiqua" w:hAnsi="Book Antiqua"/>
          <w:lang w:val="es-PR"/>
        </w:rPr>
        <w:t>Actualmente la pena por incurrir en alguna de las causales de delito de la Sección 9</w:t>
      </w:r>
      <w:r w:rsidR="00A05011">
        <w:rPr>
          <w:rFonts w:ascii="Book Antiqua" w:hAnsi="Book Antiqua"/>
          <w:lang w:val="es-PR"/>
        </w:rPr>
        <w:t>A es “delito grave de cuarto grado”.</w:t>
      </w:r>
      <w:r w:rsidR="00313AD8">
        <w:rPr>
          <w:rFonts w:ascii="Book Antiqua" w:hAnsi="Book Antiqua"/>
          <w:lang w:val="es-PR"/>
        </w:rPr>
        <w:t xml:space="preserve"> </w:t>
      </w:r>
      <w:r>
        <w:rPr>
          <w:rFonts w:ascii="Book Antiqua" w:hAnsi="Book Antiqua"/>
          <w:lang w:val="es-PR"/>
        </w:rPr>
        <w:t>Bajo el antiguo sistema de penas</w:t>
      </w:r>
      <w:r w:rsidR="006F2384">
        <w:rPr>
          <w:rFonts w:ascii="Book Antiqua" w:hAnsi="Book Antiqua"/>
          <w:lang w:val="es-PR"/>
        </w:rPr>
        <w:t xml:space="preserve">, del </w:t>
      </w:r>
      <w:r w:rsidR="006F2384" w:rsidRPr="001D7EA7">
        <w:rPr>
          <w:rFonts w:ascii="Book Antiqua" w:hAnsi="Book Antiqua"/>
          <w:szCs w:val="24"/>
          <w:lang w:val="es-PR"/>
        </w:rPr>
        <w:t>Código Penal del Estado Libre Asociado de Puerto Rico de 2004</w:t>
      </w:r>
      <w:r w:rsidR="006F2384">
        <w:rPr>
          <w:rFonts w:ascii="Book Antiqua" w:hAnsi="Book Antiqua"/>
          <w:szCs w:val="24"/>
          <w:lang w:val="es-PR"/>
        </w:rPr>
        <w:t>,</w:t>
      </w:r>
      <w:r>
        <w:rPr>
          <w:rFonts w:ascii="Book Antiqua" w:hAnsi="Book Antiqua"/>
          <w:lang w:val="es-PR"/>
        </w:rPr>
        <w:t xml:space="preserve"> </w:t>
      </w:r>
      <w:r>
        <w:rPr>
          <w:rFonts w:ascii="Book Antiqua" w:hAnsi="Book Antiqua"/>
          <w:szCs w:val="24"/>
          <w:lang w:val="es-PR"/>
        </w:rPr>
        <w:t>el “delito</w:t>
      </w:r>
      <w:r w:rsidRPr="001D7EA7">
        <w:rPr>
          <w:rFonts w:ascii="Book Antiqua" w:hAnsi="Book Antiqua"/>
          <w:szCs w:val="24"/>
          <w:lang w:val="es-PR"/>
        </w:rPr>
        <w:t xml:space="preserve"> </w:t>
      </w:r>
      <w:r>
        <w:rPr>
          <w:rFonts w:ascii="Book Antiqua" w:hAnsi="Book Antiqua"/>
          <w:szCs w:val="24"/>
          <w:lang w:val="es-PR"/>
        </w:rPr>
        <w:t>g</w:t>
      </w:r>
      <w:r w:rsidRPr="001D7EA7">
        <w:rPr>
          <w:rFonts w:ascii="Book Antiqua" w:hAnsi="Book Antiqua"/>
          <w:szCs w:val="24"/>
          <w:lang w:val="es-PR"/>
        </w:rPr>
        <w:t>rave de cuarto grado</w:t>
      </w:r>
      <w:r>
        <w:rPr>
          <w:rFonts w:ascii="Book Antiqua" w:hAnsi="Book Antiqua"/>
          <w:szCs w:val="24"/>
          <w:lang w:val="es-PR"/>
        </w:rPr>
        <w:t>”</w:t>
      </w:r>
      <w:r w:rsidRPr="001D7EA7">
        <w:rPr>
          <w:rFonts w:ascii="Book Antiqua" w:hAnsi="Book Antiqua"/>
          <w:szCs w:val="24"/>
          <w:lang w:val="es-PR"/>
        </w:rPr>
        <w:t xml:space="preserve">, </w:t>
      </w:r>
      <w:r>
        <w:rPr>
          <w:rFonts w:ascii="Book Antiqua" w:hAnsi="Book Antiqua"/>
          <w:szCs w:val="24"/>
          <w:lang w:val="es-PR"/>
        </w:rPr>
        <w:t>la</w:t>
      </w:r>
      <w:r w:rsidRPr="001D7EA7">
        <w:rPr>
          <w:rFonts w:ascii="Book Antiqua" w:hAnsi="Book Antiqua"/>
          <w:szCs w:val="24"/>
          <w:lang w:val="es-PR"/>
        </w:rPr>
        <w:t xml:space="preserve"> pena de reclusión </w:t>
      </w:r>
      <w:r>
        <w:rPr>
          <w:rFonts w:ascii="Book Antiqua" w:hAnsi="Book Antiqua"/>
          <w:szCs w:val="24"/>
          <w:lang w:val="es-PR"/>
        </w:rPr>
        <w:t>fluctuaba</w:t>
      </w:r>
      <w:r w:rsidRPr="001D7EA7">
        <w:rPr>
          <w:rFonts w:ascii="Book Antiqua" w:hAnsi="Book Antiqua"/>
          <w:szCs w:val="24"/>
          <w:lang w:val="es-PR"/>
        </w:rPr>
        <w:t xml:space="preserve"> entre seis (6) meses un día y tres</w:t>
      </w:r>
      <w:r>
        <w:rPr>
          <w:rFonts w:ascii="Book Antiqua" w:hAnsi="Book Antiqua"/>
          <w:szCs w:val="24"/>
          <w:lang w:val="es-PR"/>
        </w:rPr>
        <w:t xml:space="preserve"> </w:t>
      </w:r>
      <w:r w:rsidRPr="001D7EA7">
        <w:rPr>
          <w:rFonts w:ascii="Book Antiqua" w:hAnsi="Book Antiqua"/>
          <w:szCs w:val="24"/>
          <w:lang w:val="es-PR"/>
        </w:rPr>
        <w:t>(3) años.</w:t>
      </w:r>
      <w:r w:rsidR="00E1469C">
        <w:rPr>
          <w:rFonts w:ascii="Book Antiqua" w:hAnsi="Book Antiqua"/>
          <w:szCs w:val="24"/>
          <w:lang w:val="es-PR"/>
        </w:rPr>
        <w:t xml:space="preserve"> El P. del S. 96 propone establecer una pena de reclusión por un término fijo de tres (3) años por la violación</w:t>
      </w:r>
      <w:r w:rsidR="0049257F">
        <w:rPr>
          <w:rFonts w:ascii="Book Antiqua" w:hAnsi="Book Antiqua"/>
          <w:szCs w:val="24"/>
          <w:lang w:val="es-PR"/>
        </w:rPr>
        <w:t xml:space="preserve"> de las disposiciones de la Sección 9A de la </w:t>
      </w:r>
      <w:r w:rsidR="0049257F">
        <w:rPr>
          <w:rFonts w:ascii="Book Antiqua" w:hAnsi="Book Antiqua"/>
          <w:lang w:val="es-PR"/>
        </w:rPr>
        <w:t>Ley de Juegos de Azar.</w:t>
      </w:r>
    </w:p>
    <w:p w14:paraId="59B78A96" w14:textId="2C51A46B" w:rsidR="005E10D2" w:rsidRPr="005E10D2" w:rsidRDefault="005E10D2" w:rsidP="005E10D2">
      <w:pPr>
        <w:tabs>
          <w:tab w:val="left" w:pos="-720"/>
        </w:tabs>
        <w:suppressAutoHyphens/>
        <w:spacing w:line="276" w:lineRule="auto"/>
        <w:jc w:val="both"/>
        <w:rPr>
          <w:rFonts w:ascii="Book Antiqua" w:hAnsi="Book Antiqua"/>
          <w:szCs w:val="24"/>
          <w:lang w:val="es-PR"/>
        </w:rPr>
      </w:pPr>
      <w:r>
        <w:rPr>
          <w:rFonts w:ascii="Book Antiqua" w:hAnsi="Book Antiqua"/>
          <w:szCs w:val="24"/>
          <w:lang w:val="es-PR"/>
        </w:rPr>
        <w:tab/>
      </w:r>
      <w:r w:rsidRPr="005E10D2">
        <w:rPr>
          <w:rFonts w:ascii="Book Antiqua" w:hAnsi="Book Antiqua"/>
          <w:szCs w:val="24"/>
          <w:lang w:val="es-PR"/>
        </w:rPr>
        <w:t>Para propósitos ilustrativos exponemos la comparación entre el “Código Penal del Estado Libre Asociado de Puerto Rico de 2004” y el “Código Penal de Puerto Rico de 2012”, respecto a la clasificación de los delitos:</w:t>
      </w:r>
    </w:p>
    <w:p w14:paraId="714C81F1"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tbl>
      <w:tblPr>
        <w:tblStyle w:val="TableGrid"/>
        <w:tblW w:w="0" w:type="auto"/>
        <w:tblInd w:w="0" w:type="dxa"/>
        <w:tblLook w:val="04A0" w:firstRow="1" w:lastRow="0" w:firstColumn="1" w:lastColumn="0" w:noHBand="0" w:noVBand="1"/>
      </w:tblPr>
      <w:tblGrid>
        <w:gridCol w:w="4516"/>
        <w:gridCol w:w="4517"/>
      </w:tblGrid>
      <w:tr w:rsidR="005E10D2" w:rsidRPr="001774FA" w14:paraId="4225ED2D" w14:textId="77777777" w:rsidTr="005E10D2">
        <w:tc>
          <w:tcPr>
            <w:tcW w:w="4516" w:type="dxa"/>
            <w:tcBorders>
              <w:top w:val="single" w:sz="4" w:space="0" w:color="auto"/>
              <w:left w:val="single" w:sz="4" w:space="0" w:color="auto"/>
              <w:bottom w:val="single" w:sz="4" w:space="0" w:color="auto"/>
              <w:right w:val="single" w:sz="4" w:space="0" w:color="auto"/>
            </w:tcBorders>
            <w:vAlign w:val="center"/>
            <w:hideMark/>
          </w:tcPr>
          <w:p w14:paraId="1F21F882" w14:textId="77777777" w:rsidR="005E10D2" w:rsidRPr="005E10D2" w:rsidRDefault="005E10D2" w:rsidP="005E10D2">
            <w:pPr>
              <w:tabs>
                <w:tab w:val="left" w:pos="-720"/>
              </w:tabs>
              <w:suppressAutoHyphens/>
              <w:spacing w:line="276" w:lineRule="auto"/>
              <w:jc w:val="center"/>
              <w:rPr>
                <w:rFonts w:ascii="Book Antiqua" w:hAnsi="Book Antiqua"/>
                <w:b/>
                <w:bCs/>
                <w:szCs w:val="24"/>
                <w:lang w:val="es-PR"/>
              </w:rPr>
            </w:pPr>
            <w:r w:rsidRPr="005E10D2">
              <w:rPr>
                <w:rFonts w:ascii="Book Antiqua" w:hAnsi="Book Antiqua"/>
                <w:b/>
                <w:bCs/>
                <w:szCs w:val="24"/>
                <w:lang w:val="es-PR"/>
              </w:rPr>
              <w:t>Código Penal del Estado Libre Asociado de Puerto Rico de 2004</w:t>
            </w:r>
          </w:p>
          <w:p w14:paraId="754753BD" w14:textId="77777777" w:rsidR="005E10D2" w:rsidRPr="005E10D2" w:rsidRDefault="005E10D2" w:rsidP="005E10D2">
            <w:pPr>
              <w:tabs>
                <w:tab w:val="left" w:pos="-720"/>
              </w:tabs>
              <w:suppressAutoHyphens/>
              <w:spacing w:line="276" w:lineRule="auto"/>
              <w:jc w:val="center"/>
              <w:rPr>
                <w:rFonts w:ascii="Book Antiqua" w:hAnsi="Book Antiqua"/>
                <w:b/>
                <w:bCs/>
                <w:szCs w:val="24"/>
                <w:lang w:val="es-PR"/>
              </w:rPr>
            </w:pPr>
            <w:r w:rsidRPr="005E10D2">
              <w:rPr>
                <w:rFonts w:ascii="Book Antiqua" w:hAnsi="Book Antiqua"/>
                <w:b/>
                <w:bCs/>
                <w:szCs w:val="24"/>
                <w:lang w:val="es-PR"/>
              </w:rPr>
              <w:t>(ley derogada)</w:t>
            </w:r>
          </w:p>
        </w:tc>
        <w:tc>
          <w:tcPr>
            <w:tcW w:w="4517" w:type="dxa"/>
            <w:tcBorders>
              <w:top w:val="single" w:sz="4" w:space="0" w:color="auto"/>
              <w:left w:val="single" w:sz="4" w:space="0" w:color="auto"/>
              <w:bottom w:val="single" w:sz="4" w:space="0" w:color="auto"/>
              <w:right w:val="single" w:sz="4" w:space="0" w:color="auto"/>
            </w:tcBorders>
            <w:vAlign w:val="center"/>
            <w:hideMark/>
          </w:tcPr>
          <w:p w14:paraId="4C64628F" w14:textId="77777777" w:rsidR="005E10D2" w:rsidRPr="005E10D2" w:rsidRDefault="005E10D2" w:rsidP="005E10D2">
            <w:pPr>
              <w:tabs>
                <w:tab w:val="left" w:pos="-720"/>
              </w:tabs>
              <w:suppressAutoHyphens/>
              <w:spacing w:line="276" w:lineRule="auto"/>
              <w:jc w:val="center"/>
              <w:rPr>
                <w:rFonts w:ascii="Book Antiqua" w:hAnsi="Book Antiqua"/>
                <w:b/>
                <w:bCs/>
                <w:szCs w:val="24"/>
                <w:lang w:val="es-PR"/>
              </w:rPr>
            </w:pPr>
            <w:r w:rsidRPr="005E10D2">
              <w:rPr>
                <w:rFonts w:ascii="Book Antiqua" w:hAnsi="Book Antiqua"/>
                <w:b/>
                <w:bCs/>
                <w:szCs w:val="24"/>
                <w:lang w:val="es-PR"/>
              </w:rPr>
              <w:t>Código Penal de Puerto Rico de 2012 (ley vigente)</w:t>
            </w:r>
          </w:p>
        </w:tc>
      </w:tr>
      <w:tr w:rsidR="005E10D2" w:rsidRPr="001774FA" w14:paraId="5C110B86" w14:textId="77777777" w:rsidTr="005E10D2">
        <w:tc>
          <w:tcPr>
            <w:tcW w:w="4516" w:type="dxa"/>
            <w:tcBorders>
              <w:top w:val="single" w:sz="4" w:space="0" w:color="auto"/>
              <w:left w:val="single" w:sz="4" w:space="0" w:color="auto"/>
              <w:bottom w:val="single" w:sz="4" w:space="0" w:color="auto"/>
              <w:right w:val="single" w:sz="4" w:space="0" w:color="auto"/>
            </w:tcBorders>
          </w:tcPr>
          <w:p w14:paraId="4408C066"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1EC9D5DC" w14:textId="77777777" w:rsidR="005E10D2" w:rsidRPr="005E10D2" w:rsidRDefault="005E10D2" w:rsidP="005E10D2">
            <w:pPr>
              <w:tabs>
                <w:tab w:val="left" w:pos="-720"/>
              </w:tabs>
              <w:suppressAutoHyphens/>
              <w:spacing w:line="276" w:lineRule="auto"/>
              <w:jc w:val="both"/>
              <w:rPr>
                <w:rFonts w:ascii="Book Antiqua" w:hAnsi="Book Antiqua"/>
                <w:b/>
                <w:bCs/>
                <w:szCs w:val="24"/>
                <w:lang w:val="es-PR"/>
              </w:rPr>
            </w:pPr>
            <w:r w:rsidRPr="005E10D2">
              <w:rPr>
                <w:rFonts w:ascii="Book Antiqua" w:hAnsi="Book Antiqua"/>
                <w:b/>
                <w:bCs/>
                <w:szCs w:val="24"/>
                <w:lang w:val="es-PR"/>
              </w:rPr>
              <w:lastRenderedPageBreak/>
              <w:t xml:space="preserve">Artículo 16. — Clasificación de los Delitos. </w:t>
            </w:r>
          </w:p>
          <w:p w14:paraId="401E135E"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5CD9CAB3"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Los delitos se clasifican en menos graves y graves.</w:t>
            </w:r>
          </w:p>
          <w:p w14:paraId="2A420ECB"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433E4C73"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Es delito menos grave todo aquél que conlleva multa individualizada de hasta cinco mil (5,000) dólares o reclusión hasta noventa (90) días. Delito grave, en todas las clasificaciones que se especifican más adelante, comprende todos los demás delitos.</w:t>
            </w:r>
          </w:p>
          <w:p w14:paraId="4807B54A"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6AC2A5BB"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Es delito grave aquél que conlleva una pena de reclusión mayor de seis (6) meses y que según la pena correspondiente, se clasifica en cuatro grados, como sigue:</w:t>
            </w:r>
          </w:p>
          <w:p w14:paraId="485CEC92"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2FEC7D9F"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(a) Grave de primer grado, cuya pena es de reclusión por noventa y nueve (99) años.</w:t>
            </w:r>
          </w:p>
          <w:p w14:paraId="1E9C1BC6"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65E23AB1"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(b) Grave de segundo grado, cuya pena de reclusión fluctúa entre ocho (8) años un (1) día y quince (15) años. Los delitos de asesinato en segundo grado, la agresión sexual, el secuestro agravado, el secuestro de menores y el robo agravado cuando se inflige daño a la víctima u ocurre en el edificio residencial donde esté la víctima serán delitos graves de segundo grado severo, con pena de reclusión entre quince (15) años y un día y veinticinco (25) años.</w:t>
            </w:r>
          </w:p>
          <w:p w14:paraId="32F2883F"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1D619A9A"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lastRenderedPageBreak/>
              <w:t>(c) Grave de tercer grado, cuya pena de reclusión fluctúa entre tres (3) años un (1) día y ocho (8) años.</w:t>
            </w:r>
          </w:p>
          <w:p w14:paraId="4474C4E3"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4EB2021E"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(d) Grave de cuarto grado, cuya pena de reclusión fluctúa entre seis (6) meses un día y tres (3) años.</w:t>
            </w:r>
          </w:p>
          <w:p w14:paraId="1E0827F2"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39F129BC"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No obstante, en los delitos graves y en los delitos menos graves podrá imponerse otros tipos de penas, además de la reclusión.</w:t>
            </w:r>
          </w:p>
          <w:p w14:paraId="73DADB53"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2E1CEAAD"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Los delitos graves que se tipifican en leyes especiales mantienen la clasificación de grave y la pena correspondiente si conllevan una pena de reclusión mayor de seis (6) meses o multa mayor de cinco mil (5,000) dólares, salvo que por ley se disponga otra cosa.</w:t>
            </w:r>
          </w:p>
          <w:p w14:paraId="2663BB80"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5B1CF05F"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Los delitos menos graves que se tipifican en leyes especiales mantienen la clasificación de menos grave y la pena correspondiente si conllevan una pena que no exceda de seis (6) meses o multa que no exceda de cinco mil (5,000) dólares, o ambas penas.</w:t>
            </w:r>
          </w:p>
        </w:tc>
        <w:tc>
          <w:tcPr>
            <w:tcW w:w="4517" w:type="dxa"/>
            <w:tcBorders>
              <w:top w:val="single" w:sz="4" w:space="0" w:color="auto"/>
              <w:left w:val="single" w:sz="4" w:space="0" w:color="auto"/>
              <w:bottom w:val="single" w:sz="4" w:space="0" w:color="auto"/>
              <w:right w:val="single" w:sz="4" w:space="0" w:color="auto"/>
            </w:tcBorders>
          </w:tcPr>
          <w:p w14:paraId="003E424F"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6F828359" w14:textId="77777777" w:rsidR="005E10D2" w:rsidRPr="005E10D2" w:rsidRDefault="005E10D2" w:rsidP="005E10D2">
            <w:pPr>
              <w:tabs>
                <w:tab w:val="left" w:pos="-720"/>
              </w:tabs>
              <w:suppressAutoHyphens/>
              <w:spacing w:line="276" w:lineRule="auto"/>
              <w:jc w:val="both"/>
              <w:rPr>
                <w:rFonts w:ascii="Book Antiqua" w:hAnsi="Book Antiqua"/>
                <w:b/>
                <w:bCs/>
                <w:szCs w:val="24"/>
                <w:lang w:val="es-PR"/>
              </w:rPr>
            </w:pPr>
            <w:r w:rsidRPr="005E10D2">
              <w:rPr>
                <w:rFonts w:ascii="Book Antiqua" w:hAnsi="Book Antiqua"/>
                <w:b/>
                <w:bCs/>
                <w:szCs w:val="24"/>
                <w:lang w:val="es-PR"/>
              </w:rPr>
              <w:lastRenderedPageBreak/>
              <w:t xml:space="preserve">Artículo 16. — Clasificación de los Delitos. </w:t>
            </w:r>
          </w:p>
          <w:p w14:paraId="7CF5E571"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00700EE0"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Los delitos se clasifican en menos graves y graves.</w:t>
            </w:r>
          </w:p>
          <w:p w14:paraId="65F74D5D"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5B5FC625"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 xml:space="preserve">Es delito menos grave todo aquél que apareja pena de reclusión por un término que no exceda de seis (6) meses, pena de multa que no exceda de cinco mil (5,000) dólares o pena de restricción domiciliaria o de servicios comunitarios que no exceda de seis (6) meses. </w:t>
            </w:r>
          </w:p>
          <w:p w14:paraId="04416B30"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5CB9B992"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Delito grave comprende todos los demás delitos.</w:t>
            </w:r>
          </w:p>
        </w:tc>
      </w:tr>
      <w:tr w:rsidR="005E10D2" w:rsidRPr="001774FA" w14:paraId="20948024" w14:textId="77777777" w:rsidTr="005E10D2">
        <w:tc>
          <w:tcPr>
            <w:tcW w:w="4516" w:type="dxa"/>
            <w:tcBorders>
              <w:top w:val="single" w:sz="4" w:space="0" w:color="auto"/>
              <w:left w:val="single" w:sz="4" w:space="0" w:color="auto"/>
              <w:bottom w:val="single" w:sz="4" w:space="0" w:color="auto"/>
              <w:right w:val="single" w:sz="4" w:space="0" w:color="auto"/>
            </w:tcBorders>
          </w:tcPr>
          <w:p w14:paraId="14F40CB1"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7197A330" w14:textId="77777777" w:rsidR="005E10D2" w:rsidRPr="005E10D2" w:rsidRDefault="005E10D2" w:rsidP="005E10D2">
            <w:pPr>
              <w:tabs>
                <w:tab w:val="left" w:pos="-720"/>
              </w:tabs>
              <w:suppressAutoHyphens/>
              <w:spacing w:line="276" w:lineRule="auto"/>
              <w:jc w:val="both"/>
              <w:rPr>
                <w:rFonts w:ascii="Book Antiqua" w:hAnsi="Book Antiqua"/>
                <w:b/>
                <w:bCs/>
                <w:szCs w:val="24"/>
                <w:lang w:val="es-PR"/>
              </w:rPr>
            </w:pPr>
            <w:r w:rsidRPr="005E10D2">
              <w:rPr>
                <w:rFonts w:ascii="Book Antiqua" w:hAnsi="Book Antiqua"/>
                <w:b/>
                <w:bCs/>
                <w:szCs w:val="24"/>
                <w:lang w:val="es-PR"/>
              </w:rPr>
              <w:t xml:space="preserve">Artículo 17. — Delito sin pena estatuida. </w:t>
            </w:r>
          </w:p>
          <w:p w14:paraId="615C4DD0"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2D221BA0"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Si algún acto u omisión es declarado delito y no se establece la pena correspondiente, tal acto u omisión se penalizará como delito menos grave.</w:t>
            </w:r>
          </w:p>
          <w:p w14:paraId="108A94A8"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2F75A81B"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Si algún acto u omisión es declarado delito grave y no se establece la pena correspondiente, se le impondrá la pena de delito grave de cuarto grado</w:t>
            </w:r>
          </w:p>
        </w:tc>
        <w:tc>
          <w:tcPr>
            <w:tcW w:w="4517" w:type="dxa"/>
            <w:tcBorders>
              <w:top w:val="single" w:sz="4" w:space="0" w:color="auto"/>
              <w:left w:val="single" w:sz="4" w:space="0" w:color="auto"/>
              <w:bottom w:val="single" w:sz="4" w:space="0" w:color="auto"/>
              <w:right w:val="single" w:sz="4" w:space="0" w:color="auto"/>
            </w:tcBorders>
          </w:tcPr>
          <w:p w14:paraId="4FBEDAB1"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67D88BB2" w14:textId="77777777" w:rsidR="005E10D2" w:rsidRPr="005E10D2" w:rsidRDefault="005E10D2" w:rsidP="005E10D2">
            <w:pPr>
              <w:tabs>
                <w:tab w:val="left" w:pos="-720"/>
              </w:tabs>
              <w:suppressAutoHyphens/>
              <w:spacing w:line="276" w:lineRule="auto"/>
              <w:jc w:val="both"/>
              <w:rPr>
                <w:rFonts w:ascii="Book Antiqua" w:hAnsi="Book Antiqua"/>
                <w:b/>
                <w:bCs/>
                <w:szCs w:val="24"/>
                <w:lang w:val="es-ES"/>
              </w:rPr>
            </w:pPr>
            <w:r w:rsidRPr="005E10D2">
              <w:rPr>
                <w:rFonts w:ascii="Book Antiqua" w:hAnsi="Book Antiqua"/>
                <w:b/>
                <w:bCs/>
                <w:szCs w:val="24"/>
                <w:lang w:val="es-ES"/>
              </w:rPr>
              <w:t xml:space="preserve">Artículo 17. — Delito sin pena estatuida. </w:t>
            </w:r>
          </w:p>
          <w:p w14:paraId="79740BDE" w14:textId="77777777" w:rsidR="005E10D2" w:rsidRPr="005E10D2" w:rsidRDefault="005E10D2" w:rsidP="005E10D2">
            <w:pPr>
              <w:tabs>
                <w:tab w:val="left" w:pos="-720"/>
              </w:tabs>
              <w:suppressAutoHyphens/>
              <w:spacing w:line="276" w:lineRule="auto"/>
              <w:jc w:val="both"/>
              <w:rPr>
                <w:rFonts w:ascii="Book Antiqua" w:hAnsi="Book Antiqua"/>
                <w:szCs w:val="24"/>
                <w:lang w:val="es-ES"/>
              </w:rPr>
            </w:pPr>
          </w:p>
          <w:p w14:paraId="73F84C8A" w14:textId="77777777" w:rsidR="005E10D2" w:rsidRPr="005E10D2" w:rsidRDefault="005E10D2" w:rsidP="005E10D2">
            <w:pPr>
              <w:tabs>
                <w:tab w:val="left" w:pos="-720"/>
              </w:tabs>
              <w:suppressAutoHyphens/>
              <w:spacing w:line="276" w:lineRule="auto"/>
              <w:jc w:val="both"/>
              <w:rPr>
                <w:rFonts w:ascii="Book Antiqua" w:hAnsi="Book Antiqua"/>
                <w:szCs w:val="24"/>
                <w:lang w:val="es-ES"/>
              </w:rPr>
            </w:pPr>
            <w:r w:rsidRPr="005E10D2">
              <w:rPr>
                <w:rFonts w:ascii="Book Antiqua" w:hAnsi="Book Antiqua"/>
                <w:szCs w:val="24"/>
                <w:lang w:val="es-ES"/>
              </w:rPr>
              <w:t xml:space="preserve">Si algún acto u omisión es declarado delito y no se establece la pena correspondiente, tal acto u omisión se penalizará como delito menos grave. </w:t>
            </w:r>
          </w:p>
          <w:p w14:paraId="179D44F1" w14:textId="77777777" w:rsidR="005E10D2" w:rsidRPr="005E10D2" w:rsidRDefault="005E10D2" w:rsidP="005E10D2">
            <w:pPr>
              <w:tabs>
                <w:tab w:val="left" w:pos="-720"/>
              </w:tabs>
              <w:suppressAutoHyphens/>
              <w:spacing w:line="276" w:lineRule="auto"/>
              <w:jc w:val="both"/>
              <w:rPr>
                <w:rFonts w:ascii="Book Antiqua" w:hAnsi="Book Antiqua"/>
                <w:szCs w:val="24"/>
                <w:lang w:val="es-ES"/>
              </w:rPr>
            </w:pPr>
          </w:p>
          <w:p w14:paraId="076AA04E"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ES"/>
              </w:rPr>
              <w:t>Si algún acto u omisión es declarado delito grave y no se establece la pena correspondiente, ésta será de reclusión por un término fijo de dos (2) años, o pena de multa que no excederá de diez mil (10,000) dólares, o una pena alternativa a la reclusión de las consignadas en este Código, a discreción del tribunal.</w:t>
            </w:r>
          </w:p>
        </w:tc>
      </w:tr>
    </w:tbl>
    <w:p w14:paraId="7C04BA91"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p>
    <w:p w14:paraId="5C76568B" w14:textId="77777777" w:rsidR="005E10D2" w:rsidRPr="005E10D2" w:rsidRDefault="005E10D2" w:rsidP="005E10D2">
      <w:p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ab/>
        <w:t>En ese sentido, el Código Penal de Puerto Rico 2012, en su Artículo 307, provee una cláusula de transición para la fijación de penas en las leyes penales especiales. Conforme al marco legal vigente, los delitos graves que se tipifican en leyes penales especiales bajo el sistema de clasificación de delitos del Código Penal del Estado Libre Asociado de Puerto Rico estarán sujetos a las siguientes penas, hasta que se proceda a enmendarlas para atemperarlas al sistema de sentencias fijas adoptado en el Código de 2012, según enmendado:</w:t>
      </w:r>
    </w:p>
    <w:p w14:paraId="42E2F4BA" w14:textId="77777777" w:rsidR="005E10D2" w:rsidRPr="005E10D2" w:rsidRDefault="005E10D2" w:rsidP="005E10D2">
      <w:pPr>
        <w:numPr>
          <w:ilvl w:val="0"/>
          <w:numId w:val="7"/>
        </w:num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Delito grave de primer grado — conllevará una pena de reclusión por un término fijo de noventa y nueve (99) años. En tal caso, la persona puede ser considerada para libertad bajo palabra por la Junta de Libertad Bajo Palabra al cumplir treinta y cinco (35) años naturales de su sentencia, o diez (10) años naturales, si se trata de un menor procesado y sentenciado como adulto.</w:t>
      </w:r>
    </w:p>
    <w:p w14:paraId="17D3626F" w14:textId="77777777" w:rsidR="005E10D2" w:rsidRPr="005E10D2" w:rsidRDefault="005E10D2" w:rsidP="005E10D2">
      <w:pPr>
        <w:numPr>
          <w:ilvl w:val="0"/>
          <w:numId w:val="7"/>
        </w:num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Delito grave de segundo grado severo — conllevará una pena de reclusión por un término fijo de veinticinco (25) años. En tal caso, la persona puede ser considerada para libertad bajo palabra por la Junta de Libertad Bajo Palabra al cumplir el setenta y cinco (75) por ciento del término de reclusión impuesto.</w:t>
      </w:r>
    </w:p>
    <w:p w14:paraId="2373EE27" w14:textId="77777777" w:rsidR="005E10D2" w:rsidRPr="005E10D2" w:rsidRDefault="005E10D2" w:rsidP="005E10D2">
      <w:pPr>
        <w:numPr>
          <w:ilvl w:val="0"/>
          <w:numId w:val="7"/>
        </w:num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 xml:space="preserve">Delito grave de segundo grado — conllevará una pena de reclusión por un término fijo de quince (15) años. En tal caso, la persona puede ser considerada para libertad bajo palabra por la Junta de Libertad Bajo Palabra al cumplir el setenta y cinco (75) por ciento del término de reclusión impuesto. </w:t>
      </w:r>
    </w:p>
    <w:p w14:paraId="31841FFE" w14:textId="77777777" w:rsidR="005E10D2" w:rsidRPr="005E10D2" w:rsidRDefault="005E10D2" w:rsidP="005E10D2">
      <w:pPr>
        <w:numPr>
          <w:ilvl w:val="0"/>
          <w:numId w:val="7"/>
        </w:num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Delito grave de tercer grado — conllevará una pena de reclusión, restricción terapéutica, restricción domiciliaria, servicios comunitarios, o combinación de estas penas, por un término fijo de ocho (8) años. En tal caso, la persona podrá ser considerada para libertad bajo palabra por la Junta de Libertad Bajo Palabra al cumplir el setenta y cinco (75) por ciento del término de reclusión impuesto.</w:t>
      </w:r>
    </w:p>
    <w:p w14:paraId="34CC143D" w14:textId="77777777" w:rsidR="005E10D2" w:rsidRPr="005E10D2" w:rsidRDefault="005E10D2" w:rsidP="005E10D2">
      <w:pPr>
        <w:numPr>
          <w:ilvl w:val="0"/>
          <w:numId w:val="7"/>
        </w:num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lastRenderedPageBreak/>
        <w:t xml:space="preserve">Delito grave de cuarto grado — conllevará una pena de reclusión restricción terapéutica, restricción domiciliaria, servicios comunitarios, o combinación de estas penas, por un término fijo de tres (3) años. En tal caso, la persona puede ser considerada para libertad bajo palabra por la Junta de Libertad Bajo Palabra al cumplir el setenta y cinco (75) por ciento del término de reclusión impuesto. </w:t>
      </w:r>
    </w:p>
    <w:p w14:paraId="14312E25" w14:textId="77777777" w:rsidR="005E10D2" w:rsidRPr="005E10D2" w:rsidRDefault="005E10D2" w:rsidP="005E10D2">
      <w:pPr>
        <w:numPr>
          <w:ilvl w:val="0"/>
          <w:numId w:val="7"/>
        </w:numPr>
        <w:tabs>
          <w:tab w:val="left" w:pos="-720"/>
        </w:tabs>
        <w:suppressAutoHyphens/>
        <w:spacing w:line="276" w:lineRule="auto"/>
        <w:jc w:val="both"/>
        <w:rPr>
          <w:rFonts w:ascii="Book Antiqua" w:hAnsi="Book Antiqua"/>
          <w:szCs w:val="24"/>
          <w:lang w:val="es-PR"/>
        </w:rPr>
      </w:pPr>
      <w:r w:rsidRPr="005E10D2">
        <w:rPr>
          <w:rFonts w:ascii="Book Antiqua" w:hAnsi="Book Antiqua"/>
          <w:szCs w:val="24"/>
          <w:lang w:val="es-PR"/>
        </w:rPr>
        <w:t>Delito menos grave — conllevará una pena no mayor de noventa (90) días o una pena de servicios comunitarios no mayor de noventa (90) días, o reclusión o restricción domiciliaria hasta noventa (90) días, o una combinación de estas penas cuya suma total de días no sobrepase los noventa (90) días.</w:t>
      </w:r>
    </w:p>
    <w:p w14:paraId="59852A78" w14:textId="77777777" w:rsidR="005E10D2" w:rsidRPr="001B6950" w:rsidRDefault="005E10D2" w:rsidP="001B6950">
      <w:pPr>
        <w:tabs>
          <w:tab w:val="left" w:pos="-720"/>
        </w:tabs>
        <w:suppressAutoHyphens/>
        <w:spacing w:line="276" w:lineRule="auto"/>
        <w:jc w:val="both"/>
        <w:rPr>
          <w:rFonts w:ascii="Book Antiqua" w:hAnsi="Book Antiqua"/>
          <w:szCs w:val="24"/>
          <w:lang w:val="es-PR"/>
        </w:rPr>
      </w:pPr>
    </w:p>
    <w:p w14:paraId="35931FC5" w14:textId="77777777" w:rsidR="00940E84" w:rsidRDefault="00940E84" w:rsidP="001B6950">
      <w:pPr>
        <w:tabs>
          <w:tab w:val="left" w:pos="-720"/>
        </w:tabs>
        <w:suppressAutoHyphens/>
        <w:spacing w:line="276" w:lineRule="auto"/>
        <w:jc w:val="both"/>
        <w:rPr>
          <w:rFonts w:ascii="Book Antiqua" w:hAnsi="Book Antiqua"/>
          <w:lang w:val="es-PR"/>
        </w:rPr>
      </w:pPr>
    </w:p>
    <w:p w14:paraId="302CAC3A" w14:textId="141F50AB" w:rsidR="00D13D23" w:rsidRDefault="0096171F" w:rsidP="001B6950">
      <w:pPr>
        <w:tabs>
          <w:tab w:val="left" w:pos="-720"/>
        </w:tabs>
        <w:suppressAutoHyphens/>
        <w:spacing w:line="276" w:lineRule="auto"/>
        <w:ind w:firstLine="360"/>
        <w:jc w:val="center"/>
        <w:rPr>
          <w:rFonts w:ascii="Book Antiqua" w:hAnsi="Book Antiqua"/>
          <w:b/>
          <w:bCs/>
          <w:lang w:val="es-PR"/>
        </w:rPr>
      </w:pPr>
      <w:r w:rsidRPr="00D13D23">
        <w:rPr>
          <w:rFonts w:ascii="Book Antiqua" w:hAnsi="Book Antiqua"/>
          <w:b/>
          <w:bCs/>
          <w:lang w:val="es-PR"/>
        </w:rPr>
        <w:t>I</w:t>
      </w:r>
      <w:r w:rsidR="002C402D" w:rsidRPr="00D13D23">
        <w:rPr>
          <w:rFonts w:ascii="Book Antiqua" w:hAnsi="Book Antiqua"/>
          <w:b/>
          <w:bCs/>
          <w:lang w:val="es-PR"/>
        </w:rPr>
        <w:t>MPACTO FISCAL</w:t>
      </w:r>
      <w:r w:rsidR="00D13D23">
        <w:rPr>
          <w:rFonts w:ascii="Book Antiqua" w:hAnsi="Book Antiqua"/>
          <w:b/>
          <w:bCs/>
          <w:lang w:val="es-PR"/>
        </w:rPr>
        <w:t xml:space="preserve"> MUNICIPAL </w:t>
      </w:r>
    </w:p>
    <w:p w14:paraId="144378DC" w14:textId="77777777" w:rsidR="000C52A1" w:rsidRDefault="000C52A1" w:rsidP="001B6950">
      <w:pPr>
        <w:tabs>
          <w:tab w:val="left" w:pos="-720"/>
        </w:tabs>
        <w:suppressAutoHyphens/>
        <w:spacing w:line="276" w:lineRule="auto"/>
        <w:ind w:firstLine="360"/>
        <w:jc w:val="center"/>
        <w:rPr>
          <w:rFonts w:ascii="Book Antiqua" w:hAnsi="Book Antiqua"/>
          <w:b/>
          <w:bCs/>
          <w:lang w:val="es-PR"/>
        </w:rPr>
      </w:pPr>
    </w:p>
    <w:p w14:paraId="3CD7EB56" w14:textId="664050FD" w:rsidR="002C402D" w:rsidRPr="00DF45DC" w:rsidRDefault="004F6E72" w:rsidP="001B6950">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00D13D23" w:rsidRPr="00DF45DC">
        <w:rPr>
          <w:rFonts w:ascii="Book Antiqua" w:hAnsi="Book Antiqua"/>
          <w:lang w:val="es-PR"/>
        </w:rPr>
        <w:t xml:space="preserve">En cumplimiento con el Artículo 1.007 de la Ley Núm. 107–2020, según enmendada, conocida como “Código Municipal de Puerto Rico”, la </w:t>
      </w:r>
      <w:r w:rsidR="00BE6740">
        <w:rPr>
          <w:rFonts w:ascii="Book Antiqua" w:hAnsi="Book Antiqua"/>
          <w:spacing w:val="-3"/>
          <w:lang w:val="es-ES_tradnl"/>
        </w:rPr>
        <w:t>Comisión de lo Jurídico del Senado de Puerto Rico</w:t>
      </w:r>
      <w:r w:rsidR="00BE6740" w:rsidRPr="00337BB7">
        <w:rPr>
          <w:rFonts w:ascii="Book Antiqua" w:hAnsi="Book Antiqua"/>
          <w:lang w:val="es-PR"/>
        </w:rPr>
        <w:t xml:space="preserve"> </w:t>
      </w:r>
      <w:r w:rsidRPr="00337BB7">
        <w:rPr>
          <w:rFonts w:ascii="Book Antiqua" w:hAnsi="Book Antiqua"/>
          <w:lang w:val="es-PR"/>
        </w:rPr>
        <w:t xml:space="preserve">certifica que el </w:t>
      </w:r>
      <w:r w:rsidR="001B6950">
        <w:rPr>
          <w:rFonts w:ascii="Book Antiqua" w:hAnsi="Book Antiqua"/>
          <w:lang w:val="es-PR"/>
        </w:rPr>
        <w:t>P. del S. 96</w:t>
      </w:r>
      <w:r w:rsidR="00D13D23" w:rsidRPr="00DF45DC">
        <w:rPr>
          <w:rFonts w:ascii="Book Antiqua" w:hAnsi="Book Antiqua"/>
          <w:lang w:val="es-PR"/>
        </w:rPr>
        <w:t xml:space="preserve"> no impone una obligación económica en el presupuesto</w:t>
      </w:r>
      <w:r w:rsidR="00946BB4" w:rsidRPr="00DF45DC">
        <w:rPr>
          <w:rFonts w:ascii="Book Antiqua" w:hAnsi="Book Antiqua"/>
          <w:lang w:val="es-PR"/>
        </w:rPr>
        <w:t xml:space="preserve"> de los gobiernos municipales. </w:t>
      </w:r>
    </w:p>
    <w:p w14:paraId="07A166DA" w14:textId="77777777" w:rsidR="00944D09" w:rsidRDefault="00944D09" w:rsidP="00ED67C1">
      <w:pPr>
        <w:tabs>
          <w:tab w:val="left" w:pos="-720"/>
        </w:tabs>
        <w:suppressAutoHyphens/>
        <w:spacing w:line="276" w:lineRule="auto"/>
        <w:rPr>
          <w:rFonts w:ascii="Book Antiqua" w:hAnsi="Book Antiqua"/>
          <w:b/>
          <w:bCs/>
          <w:lang w:val="es-PR"/>
        </w:rPr>
      </w:pPr>
    </w:p>
    <w:p w14:paraId="482AC70D" w14:textId="47DD15FD" w:rsidR="0096171F" w:rsidRDefault="0096171F" w:rsidP="001B6950">
      <w:pPr>
        <w:tabs>
          <w:tab w:val="left" w:pos="-720"/>
        </w:tabs>
        <w:suppressAutoHyphens/>
        <w:spacing w:line="276" w:lineRule="auto"/>
        <w:ind w:firstLine="360"/>
        <w:jc w:val="center"/>
        <w:rPr>
          <w:rFonts w:ascii="Book Antiqua" w:hAnsi="Book Antiqua"/>
          <w:b/>
          <w:bCs/>
          <w:lang w:val="es-PR"/>
        </w:rPr>
      </w:pPr>
      <w:r w:rsidRPr="002C402D">
        <w:rPr>
          <w:rFonts w:ascii="Book Antiqua" w:hAnsi="Book Antiqua"/>
          <w:b/>
          <w:bCs/>
          <w:lang w:val="es-PR"/>
        </w:rPr>
        <w:t>C</w:t>
      </w:r>
      <w:r w:rsidR="002C402D" w:rsidRPr="002C402D">
        <w:rPr>
          <w:rFonts w:ascii="Book Antiqua" w:hAnsi="Book Antiqua"/>
          <w:b/>
          <w:bCs/>
          <w:lang w:val="es-PR"/>
        </w:rPr>
        <w:t xml:space="preserve">ONCLUSIÓN </w:t>
      </w:r>
    </w:p>
    <w:p w14:paraId="040801D3" w14:textId="77777777" w:rsidR="000C52A1" w:rsidRPr="002C402D" w:rsidRDefault="000C52A1" w:rsidP="001B6950">
      <w:pPr>
        <w:tabs>
          <w:tab w:val="left" w:pos="-720"/>
        </w:tabs>
        <w:suppressAutoHyphens/>
        <w:spacing w:line="276" w:lineRule="auto"/>
        <w:ind w:firstLine="360"/>
        <w:jc w:val="center"/>
        <w:rPr>
          <w:rFonts w:ascii="Book Antiqua" w:hAnsi="Book Antiqua"/>
          <w:b/>
          <w:bCs/>
          <w:lang w:val="es-PR"/>
        </w:rPr>
      </w:pPr>
    </w:p>
    <w:p w14:paraId="7BDD79F8" w14:textId="4B74D305" w:rsidR="00A12823" w:rsidRDefault="00006DDC" w:rsidP="001B6950">
      <w:pPr>
        <w:tabs>
          <w:tab w:val="left" w:pos="-720"/>
        </w:tabs>
        <w:suppressAutoHyphens/>
        <w:spacing w:line="276" w:lineRule="auto"/>
        <w:ind w:firstLine="360"/>
        <w:jc w:val="both"/>
        <w:rPr>
          <w:rFonts w:ascii="Book Antiqua" w:hAnsi="Book Antiqua"/>
          <w:lang w:val="es-PR"/>
        </w:rPr>
      </w:pPr>
      <w:r>
        <w:rPr>
          <w:rFonts w:ascii="Book Antiqua" w:hAnsi="Book Antiqua"/>
          <w:lang w:val="es-PR"/>
        </w:rPr>
        <w:tab/>
      </w:r>
      <w:r w:rsidRPr="00DF45DC">
        <w:rPr>
          <w:rFonts w:ascii="Book Antiqua" w:hAnsi="Book Antiqua"/>
          <w:lang w:val="es-PR"/>
        </w:rPr>
        <w:t xml:space="preserve">La </w:t>
      </w:r>
      <w:r w:rsidR="00F86C0C">
        <w:rPr>
          <w:rFonts w:ascii="Book Antiqua" w:hAnsi="Book Antiqua"/>
          <w:spacing w:val="-3"/>
          <w:lang w:val="es-ES_tradnl"/>
        </w:rPr>
        <w:t>Comisión de lo Jurídico del Senado de Puerto Rico</w:t>
      </w:r>
      <w:r w:rsidRPr="00DF45DC">
        <w:rPr>
          <w:rFonts w:ascii="Book Antiqua" w:hAnsi="Book Antiqua"/>
          <w:lang w:val="es-PR"/>
        </w:rPr>
        <w:t xml:space="preserve">, reconociendo la importancia del </w:t>
      </w:r>
      <w:r w:rsidR="001B6950">
        <w:rPr>
          <w:rFonts w:ascii="Book Antiqua" w:hAnsi="Book Antiqua"/>
          <w:lang w:val="es-PR"/>
        </w:rPr>
        <w:t>P. del S. 96,</w:t>
      </w:r>
      <w:r w:rsidR="00352C78" w:rsidRPr="00DF45DC">
        <w:rPr>
          <w:rFonts w:ascii="Book Antiqua" w:hAnsi="Book Antiqua"/>
          <w:lang w:val="es-PR"/>
        </w:rPr>
        <w:t xml:space="preserve"> </w:t>
      </w:r>
      <w:r w:rsidR="004F6E72" w:rsidRPr="00337BB7">
        <w:rPr>
          <w:rFonts w:ascii="Book Antiqua" w:hAnsi="Book Antiqua"/>
          <w:lang w:val="es-PR"/>
        </w:rPr>
        <w:t xml:space="preserve">efectuó un análisis minucioso de </w:t>
      </w:r>
      <w:r w:rsidR="00352C78" w:rsidRPr="00DF45DC">
        <w:rPr>
          <w:rFonts w:ascii="Book Antiqua" w:hAnsi="Book Antiqua"/>
          <w:lang w:val="es-PR"/>
        </w:rPr>
        <w:t xml:space="preserve">la </w:t>
      </w:r>
      <w:r w:rsidR="001D12A7">
        <w:rPr>
          <w:rFonts w:ascii="Book Antiqua" w:hAnsi="Book Antiqua"/>
          <w:lang w:val="es-PR"/>
        </w:rPr>
        <w:t>medida</w:t>
      </w:r>
      <w:r w:rsidR="00323722">
        <w:rPr>
          <w:rFonts w:ascii="Book Antiqua" w:hAnsi="Book Antiqua"/>
          <w:lang w:val="es-PR"/>
        </w:rPr>
        <w:t xml:space="preserve"> y</w:t>
      </w:r>
      <w:r w:rsidR="00C84D25">
        <w:rPr>
          <w:rFonts w:ascii="Book Antiqua" w:hAnsi="Book Antiqua"/>
          <w:lang w:val="es-PR"/>
        </w:rPr>
        <w:t xml:space="preserve"> analizó la </w:t>
      </w:r>
      <w:r w:rsidR="00323722" w:rsidRPr="0024071A">
        <w:rPr>
          <w:rFonts w:ascii="Book Antiqua" w:hAnsi="Book Antiqua"/>
          <w:lang w:val="es-PR"/>
        </w:rPr>
        <w:t xml:space="preserve">Ley Núm. 221 de 15 de Mayo de 1948, conocida como la </w:t>
      </w:r>
      <w:r w:rsidR="00323722">
        <w:rPr>
          <w:rFonts w:ascii="Book Antiqua" w:hAnsi="Book Antiqua"/>
          <w:lang w:val="es-PR"/>
        </w:rPr>
        <w:t>“</w:t>
      </w:r>
      <w:r w:rsidR="00323722" w:rsidRPr="0024071A">
        <w:rPr>
          <w:rFonts w:ascii="Book Antiqua" w:hAnsi="Book Antiqua"/>
          <w:lang w:val="es-PR"/>
        </w:rPr>
        <w:t>Ley de Juegos de Azar y Autorización de Máquinas Tragamonedas en los Casinos</w:t>
      </w:r>
      <w:r w:rsidR="00323722">
        <w:rPr>
          <w:rFonts w:ascii="Book Antiqua" w:hAnsi="Book Antiqua"/>
          <w:lang w:val="es-PR"/>
        </w:rPr>
        <w:t>”</w:t>
      </w:r>
      <w:r w:rsidR="008F5973">
        <w:rPr>
          <w:rFonts w:ascii="Book Antiqua" w:hAnsi="Book Antiqua"/>
          <w:lang w:val="es-PR"/>
        </w:rPr>
        <w:t>.</w:t>
      </w:r>
    </w:p>
    <w:p w14:paraId="4EDDB9FF" w14:textId="75C48F15" w:rsidR="00C84D25" w:rsidRPr="008F5973" w:rsidRDefault="0084771D" w:rsidP="001774FA">
      <w:pPr>
        <w:tabs>
          <w:tab w:val="left" w:pos="-720"/>
        </w:tabs>
        <w:suppressAutoHyphens/>
        <w:spacing w:line="276" w:lineRule="auto"/>
        <w:ind w:firstLine="360"/>
        <w:jc w:val="both"/>
        <w:rPr>
          <w:rFonts w:ascii="Book Antiqua" w:hAnsi="Book Antiqua"/>
          <w:szCs w:val="24"/>
          <w:lang w:val="es-PR"/>
        </w:rPr>
      </w:pPr>
      <w:r>
        <w:rPr>
          <w:rFonts w:ascii="Book Antiqua" w:hAnsi="Book Antiqua"/>
          <w:szCs w:val="24"/>
          <w:lang w:val="es-PR"/>
        </w:rPr>
        <w:tab/>
      </w:r>
      <w:r w:rsidR="001774FA" w:rsidRPr="001D7EA7">
        <w:rPr>
          <w:rFonts w:ascii="Book Antiqua" w:hAnsi="Book Antiqua"/>
          <w:szCs w:val="24"/>
          <w:lang w:val="es-PR"/>
        </w:rPr>
        <w:t>La Comisión coincide en que la aprobación de la medida es necesaria para promover y mantener un ordenamiento jurídico-penal coherente y armonioso, y para que la aplicación de las penas sea uniforme, clara y consecuente, libre de ambiguedades o vacíos legales. Un ordenamiento penal estructurado de forma sistemático y preciso no solo facilita la labor de los tribunales en Puerto Rico al momento de interpretar y aplicar la ley, sino que también garantiza mayor certeza jurídica para los acusados. La seguridad jurídica que brinda la uniformidad “es eje de la ley”.</w:t>
      </w:r>
      <w:r w:rsidR="001774FA">
        <w:rPr>
          <w:rStyle w:val="FootnoteReference"/>
          <w:rFonts w:ascii="Book Antiqua" w:hAnsi="Book Antiqua"/>
          <w:szCs w:val="24"/>
          <w:lang w:val="es-PR"/>
        </w:rPr>
        <w:footnoteReference w:id="1"/>
      </w:r>
      <w:r w:rsidR="001774FA" w:rsidRPr="001D7EA7">
        <w:rPr>
          <w:rFonts w:ascii="Book Antiqua" w:hAnsi="Book Antiqua"/>
          <w:szCs w:val="24"/>
          <w:lang w:val="es-PR"/>
        </w:rPr>
        <w:t xml:space="preserve"> Asimismo, mediante la aprobación de la medida ante nuestra consideración se promueve un ejercicio más equilibrado del poder punitivo del Estado, al evitar decisiones arbitrarias o contradictorias derivadas de disposiciones vagas o inconexas. </w:t>
      </w:r>
      <w:r w:rsidR="001774FA">
        <w:rPr>
          <w:rFonts w:ascii="Book Antiqua" w:hAnsi="Book Antiqua"/>
          <w:szCs w:val="24"/>
          <w:lang w:val="es-PR"/>
        </w:rPr>
        <w:t>Conviene recordar que l</w:t>
      </w:r>
      <w:r w:rsidR="001774FA" w:rsidRPr="00825E79">
        <w:rPr>
          <w:rFonts w:ascii="Book Antiqua" w:hAnsi="Book Antiqua"/>
          <w:szCs w:val="24"/>
          <w:lang w:val="es-PR"/>
        </w:rPr>
        <w:t xml:space="preserve">as penas presuponen una valoración social de la conducta que </w:t>
      </w:r>
      <w:r w:rsidR="001774FA" w:rsidRPr="00825E79">
        <w:rPr>
          <w:rFonts w:ascii="Book Antiqua" w:hAnsi="Book Antiqua"/>
          <w:szCs w:val="24"/>
          <w:lang w:val="es-PR"/>
        </w:rPr>
        <w:lastRenderedPageBreak/>
        <w:t>se pretende sancionar, por lo que su severidad está relacionada a la noción general de lo dañoso del delito cometido, y los fines y propósitos que se procuran alcanzar con su imposición, tales como prevención y rehabilitación.</w:t>
      </w:r>
      <w:r w:rsidR="001774FA">
        <w:rPr>
          <w:rStyle w:val="FootnoteReference"/>
          <w:rFonts w:ascii="Book Antiqua" w:hAnsi="Book Antiqua"/>
          <w:szCs w:val="24"/>
          <w:lang w:val="es-PR"/>
        </w:rPr>
        <w:footnoteReference w:id="2"/>
      </w:r>
      <w:r w:rsidR="001774FA" w:rsidRPr="00825E79">
        <w:rPr>
          <w:rFonts w:ascii="Book Antiqua" w:hAnsi="Book Antiqua"/>
          <w:szCs w:val="24"/>
          <w:lang w:val="es-PR"/>
        </w:rPr>
        <w:t xml:space="preserve"> En </w:t>
      </w:r>
      <w:r w:rsidR="001774FA">
        <w:rPr>
          <w:rFonts w:ascii="Book Antiqua" w:hAnsi="Book Antiqua"/>
          <w:szCs w:val="24"/>
          <w:lang w:val="es-PR"/>
        </w:rPr>
        <w:t>esencia</w:t>
      </w:r>
      <w:r w:rsidR="001774FA" w:rsidRPr="00825E79">
        <w:rPr>
          <w:rFonts w:ascii="Book Antiqua" w:hAnsi="Book Antiqua"/>
          <w:szCs w:val="24"/>
          <w:lang w:val="es-PR"/>
        </w:rPr>
        <w:t>, las penas no pueden ser arbitrarias ni caprichosas, porque de serlo, se estaría violando la garantía constitucional contra delitos crueles e inusitados.</w:t>
      </w:r>
      <w:r w:rsidR="001774FA">
        <w:rPr>
          <w:rStyle w:val="FootnoteReference"/>
          <w:rFonts w:ascii="Book Antiqua" w:hAnsi="Book Antiqua"/>
          <w:szCs w:val="24"/>
          <w:lang w:val="es-PR"/>
        </w:rPr>
        <w:footnoteReference w:id="3"/>
      </w:r>
      <w:r w:rsidR="001774FA">
        <w:rPr>
          <w:rFonts w:ascii="Book Antiqua" w:hAnsi="Book Antiqua"/>
          <w:szCs w:val="24"/>
          <w:lang w:val="es-PR"/>
        </w:rPr>
        <w:t xml:space="preserve"> </w:t>
      </w:r>
      <w:r w:rsidR="001774FA" w:rsidRPr="001D7EA7">
        <w:rPr>
          <w:rFonts w:ascii="Book Antiqua" w:hAnsi="Book Antiqua"/>
          <w:szCs w:val="24"/>
          <w:lang w:val="es-PR"/>
        </w:rPr>
        <w:t xml:space="preserve">Medidas </w:t>
      </w:r>
      <w:r w:rsidR="001774FA">
        <w:rPr>
          <w:rFonts w:ascii="Book Antiqua" w:hAnsi="Book Antiqua"/>
          <w:szCs w:val="24"/>
          <w:lang w:val="es-PR"/>
        </w:rPr>
        <w:t xml:space="preserve">legislativas </w:t>
      </w:r>
      <w:r w:rsidR="001774FA" w:rsidRPr="001D7EA7">
        <w:rPr>
          <w:rFonts w:ascii="Book Antiqua" w:hAnsi="Book Antiqua"/>
          <w:szCs w:val="24"/>
          <w:lang w:val="es-PR"/>
        </w:rPr>
        <w:t>como esta “opera[n] como garantía de certeza, de igualdad ante la ley, de eficacia, constituye además, un detente a la arbitrariedad en la toma de decisiones, y sobre todo, abona a la percepción de que se actúa justamente”.</w:t>
      </w:r>
      <w:r w:rsidR="001774FA">
        <w:rPr>
          <w:rStyle w:val="FootnoteReference"/>
          <w:rFonts w:ascii="Book Antiqua" w:hAnsi="Book Antiqua"/>
          <w:szCs w:val="24"/>
          <w:lang w:val="es-PR"/>
        </w:rPr>
        <w:footnoteReference w:id="4"/>
      </w:r>
    </w:p>
    <w:p w14:paraId="5EE2937A" w14:textId="77777777" w:rsidR="001B6950" w:rsidRPr="00DF45DC" w:rsidRDefault="001B6950" w:rsidP="001B6950">
      <w:pPr>
        <w:tabs>
          <w:tab w:val="left" w:pos="-720"/>
        </w:tabs>
        <w:suppressAutoHyphens/>
        <w:spacing w:line="276" w:lineRule="auto"/>
        <w:ind w:firstLine="360"/>
        <w:jc w:val="both"/>
        <w:rPr>
          <w:rFonts w:ascii="Book Antiqua" w:hAnsi="Book Antiqua"/>
          <w:lang w:val="es-PR"/>
        </w:rPr>
      </w:pPr>
    </w:p>
    <w:p w14:paraId="7885E90D" w14:textId="7A74C535" w:rsidR="00DF45DC" w:rsidRPr="00DF45DC" w:rsidRDefault="0084771D" w:rsidP="0084771D">
      <w:pPr>
        <w:tabs>
          <w:tab w:val="left" w:pos="-720"/>
        </w:tabs>
        <w:suppressAutoHyphens/>
        <w:spacing w:line="276" w:lineRule="auto"/>
        <w:jc w:val="both"/>
        <w:rPr>
          <w:rFonts w:ascii="Book Antiqua" w:hAnsi="Book Antiqua"/>
          <w:lang w:val="es-PR"/>
        </w:rPr>
      </w:pPr>
      <w:r>
        <w:rPr>
          <w:rFonts w:ascii="Book Antiqua" w:hAnsi="Book Antiqua"/>
          <w:b/>
          <w:bCs/>
          <w:lang w:val="es-PR"/>
        </w:rPr>
        <w:tab/>
      </w:r>
      <w:r w:rsidR="0096171F" w:rsidRPr="00337BB7">
        <w:rPr>
          <w:rFonts w:ascii="Book Antiqua" w:hAnsi="Book Antiqua"/>
          <w:b/>
          <w:bCs/>
          <w:lang w:val="es-PR"/>
        </w:rPr>
        <w:t>POR TODO LO ANTES EXPUESTO</w:t>
      </w:r>
      <w:r w:rsidR="0096171F" w:rsidRPr="00DF45DC">
        <w:rPr>
          <w:rFonts w:ascii="Book Antiqua" w:hAnsi="Book Antiqua"/>
          <w:lang w:val="es-PR"/>
        </w:rPr>
        <w:t xml:space="preserve">, la </w:t>
      </w:r>
      <w:r w:rsidR="001D12A7">
        <w:rPr>
          <w:rFonts w:ascii="Book Antiqua" w:hAnsi="Book Antiqua"/>
          <w:spacing w:val="-3"/>
          <w:lang w:val="es-ES_tradnl"/>
        </w:rPr>
        <w:t>Comisión de lo Jurídico del Senado de Puerto Rico</w:t>
      </w:r>
      <w:r w:rsidR="001D12A7">
        <w:rPr>
          <w:rFonts w:ascii="Book Antiqua" w:hAnsi="Book Antiqua"/>
          <w:lang w:val="es-PR"/>
        </w:rPr>
        <w:t xml:space="preserve"> </w:t>
      </w:r>
      <w:r w:rsidR="00006DDC" w:rsidRPr="00DF45DC">
        <w:rPr>
          <w:rFonts w:ascii="Book Antiqua" w:hAnsi="Book Antiqua"/>
          <w:lang w:val="es-PR"/>
        </w:rPr>
        <w:t xml:space="preserve">tiene a bien presentar ante este Alto Cuerpo el Informe Positivo sobre el </w:t>
      </w:r>
      <w:r w:rsidR="001B6950">
        <w:rPr>
          <w:rFonts w:ascii="Book Antiqua" w:hAnsi="Book Antiqua"/>
          <w:b/>
          <w:bCs/>
          <w:lang w:val="es-PR"/>
        </w:rPr>
        <w:t>Proyecto del Senado 96</w:t>
      </w:r>
      <w:r w:rsidR="00006DDC" w:rsidRPr="00DF45DC">
        <w:rPr>
          <w:rFonts w:ascii="Book Antiqua" w:hAnsi="Book Antiqua"/>
          <w:lang w:val="es-PR"/>
        </w:rPr>
        <w:t xml:space="preserve"> recomendando su aprobación con las enmiendas contenidas en el entirillado electrónico que se acompaña. </w:t>
      </w:r>
    </w:p>
    <w:p w14:paraId="02F3C812" w14:textId="77777777" w:rsidR="006861CE" w:rsidRDefault="006861CE" w:rsidP="00337BB7">
      <w:pPr>
        <w:tabs>
          <w:tab w:val="left" w:pos="-720"/>
        </w:tabs>
        <w:suppressAutoHyphens/>
        <w:spacing w:line="360" w:lineRule="auto"/>
        <w:rPr>
          <w:rFonts w:ascii="Book Antiqua" w:hAnsi="Book Antiqua"/>
          <w:lang w:val="es-PR"/>
        </w:rPr>
      </w:pPr>
    </w:p>
    <w:p w14:paraId="10325F5D" w14:textId="2225106C" w:rsidR="00006DDC" w:rsidRDefault="002C402D" w:rsidP="00337BB7">
      <w:pPr>
        <w:tabs>
          <w:tab w:val="left" w:pos="-720"/>
        </w:tabs>
        <w:suppressAutoHyphens/>
        <w:spacing w:line="360" w:lineRule="auto"/>
        <w:rPr>
          <w:rFonts w:ascii="Book Antiqua" w:hAnsi="Book Antiqua"/>
          <w:lang w:val="es-PR"/>
        </w:rPr>
      </w:pPr>
      <w:r>
        <w:rPr>
          <w:rFonts w:ascii="Book Antiqua" w:hAnsi="Book Antiqua"/>
          <w:lang w:val="es-PR"/>
        </w:rPr>
        <w:t xml:space="preserve">Respetuosamente sometido, </w:t>
      </w:r>
    </w:p>
    <w:p w14:paraId="2444C5B2" w14:textId="77777777" w:rsidR="00552B8A" w:rsidRDefault="00552B8A" w:rsidP="00970DEB">
      <w:pPr>
        <w:tabs>
          <w:tab w:val="left" w:pos="-720"/>
        </w:tabs>
        <w:suppressAutoHyphens/>
        <w:spacing w:line="360" w:lineRule="auto"/>
        <w:ind w:firstLine="360"/>
        <w:rPr>
          <w:rFonts w:ascii="Book Antiqua" w:hAnsi="Book Antiqua"/>
          <w:lang w:val="es-PR"/>
        </w:rPr>
      </w:pPr>
    </w:p>
    <w:p w14:paraId="0F282600" w14:textId="77777777" w:rsidR="00242E80" w:rsidRDefault="00242E80" w:rsidP="00EE4536">
      <w:pPr>
        <w:tabs>
          <w:tab w:val="left" w:pos="-720"/>
        </w:tabs>
        <w:suppressAutoHyphens/>
        <w:rPr>
          <w:rFonts w:ascii="Book Antiqua" w:hAnsi="Book Antiqua"/>
          <w:b/>
          <w:bCs/>
          <w:lang w:val="es-PR"/>
        </w:rPr>
      </w:pPr>
    </w:p>
    <w:p w14:paraId="6AE93B69" w14:textId="6641F2FE" w:rsidR="00AB2E69" w:rsidRPr="00D8699D" w:rsidRDefault="00D8699D" w:rsidP="00EE4536">
      <w:pPr>
        <w:tabs>
          <w:tab w:val="left" w:pos="-720"/>
        </w:tabs>
        <w:suppressAutoHyphens/>
        <w:rPr>
          <w:rFonts w:ascii="Book Antiqua" w:hAnsi="Book Antiqua"/>
          <w:b/>
          <w:bCs/>
          <w:lang w:val="es-PR"/>
        </w:rPr>
      </w:pPr>
      <w:r>
        <w:rPr>
          <w:rFonts w:ascii="Book Antiqua" w:hAnsi="Book Antiqua"/>
          <w:b/>
          <w:bCs/>
          <w:lang w:val="es-PR"/>
        </w:rPr>
        <w:t xml:space="preserve">Hon. </w:t>
      </w:r>
      <w:r w:rsidR="001D12A7">
        <w:rPr>
          <w:rFonts w:ascii="Book Antiqua" w:hAnsi="Book Antiqua"/>
          <w:b/>
          <w:bCs/>
          <w:lang w:val="es-PR"/>
        </w:rPr>
        <w:t>Ángel A. Toledo López</w:t>
      </w:r>
    </w:p>
    <w:p w14:paraId="1665555A" w14:textId="77777777" w:rsidR="004F6E72" w:rsidRDefault="00AB2E69" w:rsidP="00EE4536">
      <w:pPr>
        <w:tabs>
          <w:tab w:val="left" w:pos="-720"/>
        </w:tabs>
        <w:suppressAutoHyphens/>
        <w:rPr>
          <w:rFonts w:ascii="Book Antiqua" w:hAnsi="Book Antiqua"/>
          <w:lang w:val="es-PR"/>
        </w:rPr>
      </w:pPr>
      <w:r>
        <w:rPr>
          <w:rFonts w:ascii="Book Antiqua" w:hAnsi="Book Antiqua"/>
          <w:lang w:val="es-PR"/>
        </w:rPr>
        <w:t>Presidente</w:t>
      </w:r>
    </w:p>
    <w:p w14:paraId="3FF3D27A" w14:textId="77777777" w:rsidR="001D12A7" w:rsidRDefault="001D12A7" w:rsidP="001D12A7">
      <w:pPr>
        <w:tabs>
          <w:tab w:val="left" w:pos="-720"/>
        </w:tabs>
        <w:suppressAutoHyphens/>
        <w:rPr>
          <w:rFonts w:ascii="Book Antiqua" w:hAnsi="Book Antiqua"/>
          <w:spacing w:val="-3"/>
          <w:lang w:val="es-ES_tradnl"/>
        </w:rPr>
      </w:pPr>
      <w:r>
        <w:rPr>
          <w:rFonts w:ascii="Book Antiqua" w:hAnsi="Book Antiqua"/>
          <w:spacing w:val="-3"/>
          <w:lang w:val="es-ES_tradnl"/>
        </w:rPr>
        <w:t xml:space="preserve">Comisión de lo Jurídico </w:t>
      </w:r>
    </w:p>
    <w:p w14:paraId="7849A958" w14:textId="07DE7A1A" w:rsidR="000B3411" w:rsidRPr="001D12A7" w:rsidRDefault="001D12A7" w:rsidP="001D12A7">
      <w:pPr>
        <w:tabs>
          <w:tab w:val="left" w:pos="-720"/>
        </w:tabs>
        <w:suppressAutoHyphens/>
        <w:rPr>
          <w:rFonts w:ascii="Book Antiqua" w:hAnsi="Book Antiqua"/>
          <w:lang w:val="es-ES_tradnl"/>
        </w:rPr>
      </w:pPr>
      <w:r>
        <w:rPr>
          <w:rFonts w:ascii="Book Antiqua" w:hAnsi="Book Antiqua"/>
          <w:spacing w:val="-3"/>
          <w:lang w:val="es-ES_tradnl"/>
        </w:rPr>
        <w:t>Senado de Puerto Rico</w:t>
      </w:r>
    </w:p>
    <w:sectPr w:rsidR="000B3411" w:rsidRPr="001D12A7"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C3BF33" w14:textId="77777777" w:rsidR="0004141C" w:rsidRDefault="0004141C">
      <w:r>
        <w:separator/>
      </w:r>
    </w:p>
  </w:endnote>
  <w:endnote w:type="continuationSeparator" w:id="0">
    <w:p w14:paraId="70431AE0" w14:textId="77777777" w:rsidR="0004141C" w:rsidRDefault="00041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7060D" w14:textId="77777777" w:rsidR="0004141C" w:rsidRDefault="0004141C">
      <w:r>
        <w:separator/>
      </w:r>
    </w:p>
  </w:footnote>
  <w:footnote w:type="continuationSeparator" w:id="0">
    <w:p w14:paraId="1A9AF8C3" w14:textId="77777777" w:rsidR="0004141C" w:rsidRDefault="0004141C">
      <w:r>
        <w:continuationSeparator/>
      </w:r>
    </w:p>
  </w:footnote>
  <w:footnote w:id="1">
    <w:p w14:paraId="2C62A118" w14:textId="77777777" w:rsidR="001774FA" w:rsidRPr="00490798" w:rsidRDefault="001774FA" w:rsidP="001774FA">
      <w:pPr>
        <w:pStyle w:val="FootnoteText"/>
        <w:rPr>
          <w:lang w:val="es-ES"/>
        </w:rPr>
      </w:pPr>
      <w:r>
        <w:rPr>
          <w:rStyle w:val="FootnoteReference"/>
        </w:rPr>
        <w:footnoteRef/>
      </w:r>
      <w:r w:rsidRPr="00490798">
        <w:rPr>
          <w:lang w:val="es-ES"/>
        </w:rPr>
        <w:t xml:space="preserve"> </w:t>
      </w:r>
      <w:r w:rsidRPr="001D7EA7">
        <w:rPr>
          <w:rFonts w:ascii="Book Antiqua" w:hAnsi="Book Antiqua"/>
          <w:szCs w:val="24"/>
          <w:lang w:val="es-PR"/>
        </w:rPr>
        <w:t>Jack's Beach Resort, Inc., v. Compañía de Turismo de Puerto Rico, 112 DPR 344, 350 (1982).</w:t>
      </w:r>
    </w:p>
  </w:footnote>
  <w:footnote w:id="2">
    <w:p w14:paraId="5ECADEEC" w14:textId="77777777" w:rsidR="001774FA" w:rsidRPr="00433924" w:rsidRDefault="001774FA" w:rsidP="001774FA">
      <w:pPr>
        <w:pStyle w:val="FootnoteText"/>
        <w:rPr>
          <w:lang w:val="es-ES"/>
        </w:rPr>
      </w:pPr>
      <w:r>
        <w:rPr>
          <w:rStyle w:val="FootnoteReference"/>
        </w:rPr>
        <w:footnoteRef/>
      </w:r>
      <w:r w:rsidRPr="00433924">
        <w:rPr>
          <w:lang w:val="es-ES"/>
        </w:rPr>
        <w:t xml:space="preserve"> </w:t>
      </w:r>
      <w:r w:rsidRPr="0068426D">
        <w:rPr>
          <w:i/>
          <w:iCs/>
          <w:lang w:val="es-ES"/>
        </w:rPr>
        <w:t>Véase</w:t>
      </w:r>
      <w:r>
        <w:rPr>
          <w:lang w:val="es-ES"/>
        </w:rPr>
        <w:t xml:space="preserve"> Pueblo v. González Cotto, </w:t>
      </w:r>
      <w:r w:rsidRPr="00433924">
        <w:rPr>
          <w:lang w:val="es-ES"/>
        </w:rPr>
        <w:t>KLCE201701152</w:t>
      </w:r>
      <w:r>
        <w:rPr>
          <w:lang w:val="es-ES"/>
        </w:rPr>
        <w:t>, en la pág. 1 (30 de agosto de 2017).</w:t>
      </w:r>
    </w:p>
  </w:footnote>
  <w:footnote w:id="3">
    <w:p w14:paraId="27D6EF55" w14:textId="77777777" w:rsidR="001774FA" w:rsidRPr="0068426D" w:rsidRDefault="001774FA" w:rsidP="001774FA">
      <w:pPr>
        <w:pStyle w:val="FootnoteText"/>
        <w:rPr>
          <w:lang w:val="es-ES"/>
        </w:rPr>
      </w:pPr>
      <w:r>
        <w:rPr>
          <w:rStyle w:val="FootnoteReference"/>
        </w:rPr>
        <w:footnoteRef/>
      </w:r>
      <w:r w:rsidRPr="0068426D">
        <w:rPr>
          <w:lang w:val="es-ES"/>
        </w:rPr>
        <w:t xml:space="preserve"> </w:t>
      </w:r>
      <w:r w:rsidRPr="0068426D">
        <w:rPr>
          <w:i/>
          <w:iCs/>
          <w:lang w:val="es-ES"/>
        </w:rPr>
        <w:t>Véase</w:t>
      </w:r>
      <w:r>
        <w:rPr>
          <w:lang w:val="es-ES"/>
        </w:rPr>
        <w:t xml:space="preserve"> </w:t>
      </w:r>
      <w:r w:rsidRPr="0068426D">
        <w:rPr>
          <w:lang w:val="es-ES"/>
        </w:rPr>
        <w:t>Pueblo v. Pérez Zayas, 116 DPR</w:t>
      </w:r>
      <w:r>
        <w:rPr>
          <w:lang w:val="es-ES"/>
        </w:rPr>
        <w:t xml:space="preserve"> </w:t>
      </w:r>
      <w:r w:rsidRPr="0068426D">
        <w:rPr>
          <w:lang w:val="es-ES"/>
        </w:rPr>
        <w:t>197, 201 (1985)</w:t>
      </w:r>
      <w:r>
        <w:rPr>
          <w:lang w:val="es-ES"/>
        </w:rPr>
        <w:t>.</w:t>
      </w:r>
    </w:p>
  </w:footnote>
  <w:footnote w:id="4">
    <w:p w14:paraId="7BA8636C" w14:textId="77777777" w:rsidR="001774FA" w:rsidRPr="00490798" w:rsidRDefault="001774FA" w:rsidP="001774FA">
      <w:pPr>
        <w:pStyle w:val="FootnoteText"/>
        <w:rPr>
          <w:lang w:val="es-ES"/>
        </w:rPr>
      </w:pPr>
      <w:r>
        <w:rPr>
          <w:rStyle w:val="FootnoteReference"/>
        </w:rPr>
        <w:footnoteRef/>
      </w:r>
      <w:r w:rsidRPr="00490798">
        <w:rPr>
          <w:lang w:val="es-ES"/>
        </w:rPr>
        <w:t xml:space="preserve"> </w:t>
      </w:r>
      <w:r w:rsidRPr="001D7EA7">
        <w:rPr>
          <w:rFonts w:ascii="Book Antiqua" w:hAnsi="Book Antiqua"/>
          <w:szCs w:val="24"/>
          <w:lang w:val="es-PR"/>
        </w:rPr>
        <w:t>Vázquez Vélez v. Caro Moreno, 175 DPR 986, 987 (2009) (Rodríguez Rodríguez, Opinión Disidente).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7FB1859C"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1B6950">
      <w:rPr>
        <w:rFonts w:ascii="Book Antiqua" w:hAnsi="Book Antiqua"/>
        <w:i/>
        <w:iCs/>
        <w:sz w:val="20"/>
        <w:lang w:val="es-PR"/>
      </w:rPr>
      <w:t>P. del S. 96</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143D6" w14:textId="77777777" w:rsidR="001B6950" w:rsidRPr="007B4C52" w:rsidRDefault="001B6950" w:rsidP="001B6950">
    <w:pPr>
      <w:pStyle w:val="Header"/>
      <w:jc w:val="right"/>
      <w:rPr>
        <w:rFonts w:ascii="Book Antiqua" w:hAnsi="Book Antiqua"/>
        <w:i/>
        <w:iCs/>
        <w:sz w:val="20"/>
        <w:lang w:val="es-PR"/>
      </w:rPr>
    </w:pPr>
    <w:r w:rsidRPr="007B4C52">
      <w:rPr>
        <w:rFonts w:ascii="Book Antiqua" w:hAnsi="Book Antiqua"/>
        <w:i/>
        <w:iCs/>
        <w:sz w:val="20"/>
        <w:lang w:val="es-PR"/>
      </w:rPr>
      <w:t xml:space="preserve">Informe Positivo sobre el </w:t>
    </w:r>
    <w:r>
      <w:rPr>
        <w:rFonts w:ascii="Book Antiqua" w:hAnsi="Book Antiqua"/>
        <w:i/>
        <w:iCs/>
        <w:sz w:val="20"/>
        <w:lang w:val="es-PR"/>
      </w:rPr>
      <w:t>P. del S. 96</w:t>
    </w:r>
  </w:p>
  <w:p w14:paraId="1FF41C85" w14:textId="77777777" w:rsidR="001B6950" w:rsidRDefault="001B6950" w:rsidP="001B6950">
    <w:pPr>
      <w:pStyle w:val="Header"/>
      <w:jc w:val="right"/>
      <w:rPr>
        <w:rFonts w:ascii="Book Antiqua" w:hAnsi="Book Antiqua"/>
        <w:i/>
        <w:iCs/>
        <w:sz w:val="20"/>
        <w:lang w:val="es-PR"/>
      </w:rPr>
    </w:pPr>
    <w:r>
      <w:rPr>
        <w:rFonts w:ascii="Book Antiqua" w:hAnsi="Book Antiqua"/>
        <w:i/>
        <w:iCs/>
        <w:sz w:val="20"/>
        <w:lang w:val="es-PR"/>
      </w:rPr>
      <w:t>Comisión de lo Jurídico</w:t>
    </w:r>
  </w:p>
  <w:p w14:paraId="58E13037" w14:textId="22973916" w:rsidR="00242E80" w:rsidRPr="00242E80" w:rsidRDefault="00242E80" w:rsidP="00A11ED0">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89594C"/>
    <w:multiLevelType w:val="hybridMultilevel"/>
    <w:tmpl w:val="68540098"/>
    <w:lvl w:ilvl="0" w:tplc="98520394">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4"/>
  </w:num>
  <w:num w:numId="4" w16cid:durableId="1210073537">
    <w:abstractNumId w:val="1"/>
  </w:num>
  <w:num w:numId="5" w16cid:durableId="1052465916">
    <w:abstractNumId w:val="5"/>
  </w:num>
  <w:num w:numId="6" w16cid:durableId="2085452212">
    <w:abstractNumId w:val="6"/>
  </w:num>
  <w:num w:numId="7" w16cid:durableId="135537740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141C"/>
    <w:rsid w:val="00043B59"/>
    <w:rsid w:val="00045442"/>
    <w:rsid w:val="00046DD2"/>
    <w:rsid w:val="000533CB"/>
    <w:rsid w:val="0005560C"/>
    <w:rsid w:val="00066916"/>
    <w:rsid w:val="000879BC"/>
    <w:rsid w:val="000902F9"/>
    <w:rsid w:val="000945D3"/>
    <w:rsid w:val="000A0CEF"/>
    <w:rsid w:val="000A135C"/>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52956"/>
    <w:rsid w:val="00152AEE"/>
    <w:rsid w:val="00157BC8"/>
    <w:rsid w:val="00172EE0"/>
    <w:rsid w:val="001774FA"/>
    <w:rsid w:val="00186AB6"/>
    <w:rsid w:val="001A4A02"/>
    <w:rsid w:val="001A7434"/>
    <w:rsid w:val="001B5218"/>
    <w:rsid w:val="001B6950"/>
    <w:rsid w:val="001B77D6"/>
    <w:rsid w:val="001C0F9B"/>
    <w:rsid w:val="001C2FA8"/>
    <w:rsid w:val="001C31BA"/>
    <w:rsid w:val="001C5DEB"/>
    <w:rsid w:val="001D12A7"/>
    <w:rsid w:val="001D3C1D"/>
    <w:rsid w:val="001D70F5"/>
    <w:rsid w:val="001D79E5"/>
    <w:rsid w:val="001E78B4"/>
    <w:rsid w:val="001F7ABB"/>
    <w:rsid w:val="00200B6F"/>
    <w:rsid w:val="00201B8C"/>
    <w:rsid w:val="00213CAD"/>
    <w:rsid w:val="002214F8"/>
    <w:rsid w:val="0022642B"/>
    <w:rsid w:val="0024071A"/>
    <w:rsid w:val="0024131E"/>
    <w:rsid w:val="00242E80"/>
    <w:rsid w:val="00243FD8"/>
    <w:rsid w:val="0024587F"/>
    <w:rsid w:val="00246C97"/>
    <w:rsid w:val="0025270C"/>
    <w:rsid w:val="00254B92"/>
    <w:rsid w:val="00264C3E"/>
    <w:rsid w:val="002663EA"/>
    <w:rsid w:val="00266EEC"/>
    <w:rsid w:val="002671BE"/>
    <w:rsid w:val="0027212A"/>
    <w:rsid w:val="002779B7"/>
    <w:rsid w:val="002B0B9E"/>
    <w:rsid w:val="002B62DE"/>
    <w:rsid w:val="002C18ED"/>
    <w:rsid w:val="002C402D"/>
    <w:rsid w:val="002D185B"/>
    <w:rsid w:val="002D4AC8"/>
    <w:rsid w:val="002E3F48"/>
    <w:rsid w:val="002E4A52"/>
    <w:rsid w:val="002E66F9"/>
    <w:rsid w:val="002F0440"/>
    <w:rsid w:val="002F79D4"/>
    <w:rsid w:val="00303FA5"/>
    <w:rsid w:val="003059D5"/>
    <w:rsid w:val="00311782"/>
    <w:rsid w:val="00313AD8"/>
    <w:rsid w:val="00316786"/>
    <w:rsid w:val="00323722"/>
    <w:rsid w:val="003239C5"/>
    <w:rsid w:val="00330372"/>
    <w:rsid w:val="003346AE"/>
    <w:rsid w:val="00334935"/>
    <w:rsid w:val="00337BB7"/>
    <w:rsid w:val="0034055D"/>
    <w:rsid w:val="003465C8"/>
    <w:rsid w:val="00352C78"/>
    <w:rsid w:val="00381F18"/>
    <w:rsid w:val="0038390D"/>
    <w:rsid w:val="003857EC"/>
    <w:rsid w:val="00386D32"/>
    <w:rsid w:val="0039037B"/>
    <w:rsid w:val="003906D8"/>
    <w:rsid w:val="00393CA6"/>
    <w:rsid w:val="003A201A"/>
    <w:rsid w:val="003B0348"/>
    <w:rsid w:val="003D7045"/>
    <w:rsid w:val="00402413"/>
    <w:rsid w:val="004076B9"/>
    <w:rsid w:val="00412A61"/>
    <w:rsid w:val="004227D1"/>
    <w:rsid w:val="00424144"/>
    <w:rsid w:val="004278D1"/>
    <w:rsid w:val="004408DF"/>
    <w:rsid w:val="004440CB"/>
    <w:rsid w:val="00444FD2"/>
    <w:rsid w:val="00445E69"/>
    <w:rsid w:val="004713D2"/>
    <w:rsid w:val="004817F3"/>
    <w:rsid w:val="00481C39"/>
    <w:rsid w:val="00487AC3"/>
    <w:rsid w:val="004918F1"/>
    <w:rsid w:val="0049257F"/>
    <w:rsid w:val="004A05FC"/>
    <w:rsid w:val="004A0FD4"/>
    <w:rsid w:val="004A18C6"/>
    <w:rsid w:val="004B0082"/>
    <w:rsid w:val="004C370E"/>
    <w:rsid w:val="004D2BC7"/>
    <w:rsid w:val="004D4E14"/>
    <w:rsid w:val="004E7F65"/>
    <w:rsid w:val="004F6E72"/>
    <w:rsid w:val="004F7173"/>
    <w:rsid w:val="0051050B"/>
    <w:rsid w:val="00530395"/>
    <w:rsid w:val="00540B6A"/>
    <w:rsid w:val="00540DDE"/>
    <w:rsid w:val="00541FE3"/>
    <w:rsid w:val="005478C9"/>
    <w:rsid w:val="00550023"/>
    <w:rsid w:val="00550412"/>
    <w:rsid w:val="00552B8A"/>
    <w:rsid w:val="00555018"/>
    <w:rsid w:val="00571789"/>
    <w:rsid w:val="00573858"/>
    <w:rsid w:val="00573B23"/>
    <w:rsid w:val="005741F6"/>
    <w:rsid w:val="00580EC6"/>
    <w:rsid w:val="005817B7"/>
    <w:rsid w:val="00592B05"/>
    <w:rsid w:val="005A24EF"/>
    <w:rsid w:val="005A4787"/>
    <w:rsid w:val="005B2884"/>
    <w:rsid w:val="005C5E81"/>
    <w:rsid w:val="005D2E57"/>
    <w:rsid w:val="005D4AA7"/>
    <w:rsid w:val="005E10D2"/>
    <w:rsid w:val="005E150B"/>
    <w:rsid w:val="005E7E85"/>
    <w:rsid w:val="0060510F"/>
    <w:rsid w:val="0061550A"/>
    <w:rsid w:val="00615AB1"/>
    <w:rsid w:val="00615E64"/>
    <w:rsid w:val="00622333"/>
    <w:rsid w:val="00650D8E"/>
    <w:rsid w:val="0066129F"/>
    <w:rsid w:val="00662809"/>
    <w:rsid w:val="006807C0"/>
    <w:rsid w:val="006861CE"/>
    <w:rsid w:val="006A24A9"/>
    <w:rsid w:val="006B3D07"/>
    <w:rsid w:val="006B6346"/>
    <w:rsid w:val="006B7E26"/>
    <w:rsid w:val="006D01F6"/>
    <w:rsid w:val="006D49D8"/>
    <w:rsid w:val="006D5838"/>
    <w:rsid w:val="006D6359"/>
    <w:rsid w:val="006E5B7A"/>
    <w:rsid w:val="006F226E"/>
    <w:rsid w:val="006F2384"/>
    <w:rsid w:val="006F51A8"/>
    <w:rsid w:val="00714102"/>
    <w:rsid w:val="007163D8"/>
    <w:rsid w:val="007167F5"/>
    <w:rsid w:val="00720B6F"/>
    <w:rsid w:val="007229E9"/>
    <w:rsid w:val="00725174"/>
    <w:rsid w:val="0073675F"/>
    <w:rsid w:val="00746C9E"/>
    <w:rsid w:val="007472C1"/>
    <w:rsid w:val="007535BB"/>
    <w:rsid w:val="007611FE"/>
    <w:rsid w:val="00777E1D"/>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4771D"/>
    <w:rsid w:val="00855CD6"/>
    <w:rsid w:val="0086515A"/>
    <w:rsid w:val="00865634"/>
    <w:rsid w:val="008A154B"/>
    <w:rsid w:val="008A40E0"/>
    <w:rsid w:val="008C18B2"/>
    <w:rsid w:val="008C331F"/>
    <w:rsid w:val="008C39D5"/>
    <w:rsid w:val="008E051A"/>
    <w:rsid w:val="008F5973"/>
    <w:rsid w:val="008F717C"/>
    <w:rsid w:val="00904165"/>
    <w:rsid w:val="00905655"/>
    <w:rsid w:val="00907E93"/>
    <w:rsid w:val="009133CF"/>
    <w:rsid w:val="009154BD"/>
    <w:rsid w:val="0092080B"/>
    <w:rsid w:val="009313EE"/>
    <w:rsid w:val="009374E4"/>
    <w:rsid w:val="00940E84"/>
    <w:rsid w:val="00944D09"/>
    <w:rsid w:val="00946BB4"/>
    <w:rsid w:val="00946E55"/>
    <w:rsid w:val="0096171F"/>
    <w:rsid w:val="009645CD"/>
    <w:rsid w:val="00970DEB"/>
    <w:rsid w:val="00981A1F"/>
    <w:rsid w:val="00984F56"/>
    <w:rsid w:val="00993724"/>
    <w:rsid w:val="009A08E8"/>
    <w:rsid w:val="009A4A2C"/>
    <w:rsid w:val="009A4FB3"/>
    <w:rsid w:val="009B5669"/>
    <w:rsid w:val="009B619C"/>
    <w:rsid w:val="009C455C"/>
    <w:rsid w:val="009E20DD"/>
    <w:rsid w:val="009F427F"/>
    <w:rsid w:val="009F68F4"/>
    <w:rsid w:val="00A049B0"/>
    <w:rsid w:val="00A05011"/>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C3813"/>
    <w:rsid w:val="00AD076F"/>
    <w:rsid w:val="00AD359C"/>
    <w:rsid w:val="00AD4B71"/>
    <w:rsid w:val="00AE555C"/>
    <w:rsid w:val="00AF12FB"/>
    <w:rsid w:val="00AF56F5"/>
    <w:rsid w:val="00B03E1C"/>
    <w:rsid w:val="00B216D4"/>
    <w:rsid w:val="00B24B05"/>
    <w:rsid w:val="00B25721"/>
    <w:rsid w:val="00B316DC"/>
    <w:rsid w:val="00B36F9D"/>
    <w:rsid w:val="00B37EF9"/>
    <w:rsid w:val="00B45E13"/>
    <w:rsid w:val="00B46464"/>
    <w:rsid w:val="00B47BDF"/>
    <w:rsid w:val="00B571D9"/>
    <w:rsid w:val="00B57451"/>
    <w:rsid w:val="00B6135D"/>
    <w:rsid w:val="00B70EB9"/>
    <w:rsid w:val="00B807DC"/>
    <w:rsid w:val="00B8514B"/>
    <w:rsid w:val="00B8540B"/>
    <w:rsid w:val="00BA0F95"/>
    <w:rsid w:val="00BA43F4"/>
    <w:rsid w:val="00BB20A7"/>
    <w:rsid w:val="00BB6946"/>
    <w:rsid w:val="00BB7826"/>
    <w:rsid w:val="00BC7625"/>
    <w:rsid w:val="00BD3BEF"/>
    <w:rsid w:val="00BE1535"/>
    <w:rsid w:val="00BE6740"/>
    <w:rsid w:val="00BF358A"/>
    <w:rsid w:val="00C0210B"/>
    <w:rsid w:val="00C20997"/>
    <w:rsid w:val="00C21A5A"/>
    <w:rsid w:val="00C22AFC"/>
    <w:rsid w:val="00C32ECE"/>
    <w:rsid w:val="00C41CC9"/>
    <w:rsid w:val="00C4275E"/>
    <w:rsid w:val="00C6071A"/>
    <w:rsid w:val="00C65A5F"/>
    <w:rsid w:val="00C7303D"/>
    <w:rsid w:val="00C760D6"/>
    <w:rsid w:val="00C84D25"/>
    <w:rsid w:val="00C869B3"/>
    <w:rsid w:val="00C9772C"/>
    <w:rsid w:val="00CA1098"/>
    <w:rsid w:val="00CA5E1E"/>
    <w:rsid w:val="00CA6DDD"/>
    <w:rsid w:val="00CB5806"/>
    <w:rsid w:val="00CC4859"/>
    <w:rsid w:val="00CE532D"/>
    <w:rsid w:val="00CE6D73"/>
    <w:rsid w:val="00CE7DA0"/>
    <w:rsid w:val="00CF32AA"/>
    <w:rsid w:val="00CF4C00"/>
    <w:rsid w:val="00D0004D"/>
    <w:rsid w:val="00D01A55"/>
    <w:rsid w:val="00D13D23"/>
    <w:rsid w:val="00D16947"/>
    <w:rsid w:val="00D5351E"/>
    <w:rsid w:val="00D61B6F"/>
    <w:rsid w:val="00D759DB"/>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45DC"/>
    <w:rsid w:val="00E1469C"/>
    <w:rsid w:val="00E14B9C"/>
    <w:rsid w:val="00E17E3B"/>
    <w:rsid w:val="00E24441"/>
    <w:rsid w:val="00E251EA"/>
    <w:rsid w:val="00E35157"/>
    <w:rsid w:val="00E35171"/>
    <w:rsid w:val="00E36FA6"/>
    <w:rsid w:val="00E63FA4"/>
    <w:rsid w:val="00E722CA"/>
    <w:rsid w:val="00E73DB1"/>
    <w:rsid w:val="00E85009"/>
    <w:rsid w:val="00E930DD"/>
    <w:rsid w:val="00E9570B"/>
    <w:rsid w:val="00EA477A"/>
    <w:rsid w:val="00EA5757"/>
    <w:rsid w:val="00EB0B16"/>
    <w:rsid w:val="00EB1664"/>
    <w:rsid w:val="00EC5454"/>
    <w:rsid w:val="00EC56E8"/>
    <w:rsid w:val="00ED67C1"/>
    <w:rsid w:val="00EE4536"/>
    <w:rsid w:val="00EF237A"/>
    <w:rsid w:val="00EF62F7"/>
    <w:rsid w:val="00F02F4A"/>
    <w:rsid w:val="00F042CB"/>
    <w:rsid w:val="00F3003D"/>
    <w:rsid w:val="00F44E24"/>
    <w:rsid w:val="00F4686E"/>
    <w:rsid w:val="00F566F4"/>
    <w:rsid w:val="00F65FAA"/>
    <w:rsid w:val="00F816B8"/>
    <w:rsid w:val="00F85B37"/>
    <w:rsid w:val="00F86C0C"/>
    <w:rsid w:val="00F90AAD"/>
    <w:rsid w:val="00F969D4"/>
    <w:rsid w:val="00FA39AF"/>
    <w:rsid w:val="00FB10AE"/>
    <w:rsid w:val="00FC189D"/>
    <w:rsid w:val="00FC5FDD"/>
    <w:rsid w:val="00FD19DB"/>
    <w:rsid w:val="00FD4E9F"/>
    <w:rsid w:val="00FE3A8E"/>
    <w:rsid w:val="00FF42F0"/>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 w:type="table" w:styleId="TableGrid">
    <w:name w:val="Table Grid"/>
    <w:basedOn w:val="TableNormal"/>
    <w:uiPriority w:val="59"/>
    <w:rsid w:val="005E10D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602236">
      <w:bodyDiv w:val="1"/>
      <w:marLeft w:val="0"/>
      <w:marRight w:val="0"/>
      <w:marTop w:val="0"/>
      <w:marBottom w:val="0"/>
      <w:divBdr>
        <w:top w:val="none" w:sz="0" w:space="0" w:color="auto"/>
        <w:left w:val="none" w:sz="0" w:space="0" w:color="auto"/>
        <w:bottom w:val="none" w:sz="0" w:space="0" w:color="auto"/>
        <w:right w:val="none" w:sz="0" w:space="0" w:color="auto"/>
      </w:divBdr>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908266">
      <w:bodyDiv w:val="1"/>
      <w:marLeft w:val="0"/>
      <w:marRight w:val="0"/>
      <w:marTop w:val="0"/>
      <w:marBottom w:val="0"/>
      <w:divBdr>
        <w:top w:val="none" w:sz="0" w:space="0" w:color="auto"/>
        <w:left w:val="none" w:sz="0" w:space="0" w:color="auto"/>
        <w:bottom w:val="none" w:sz="0" w:space="0" w:color="auto"/>
        <w:right w:val="none" w:sz="0" w:space="0" w:color="auto"/>
      </w:divBdr>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4SQX5P7U7WPY-958212181-817428</_dlc_DocId>
    <_dlc_DocIdUrl xmlns="c890fddd-4e87-4e08-8b51-545f2a3f7b06">
      <Url>https://senpr.sharepoint.com/sites/obralegislativa/_layouts/15/DocIdRedir.aspx?ID=4SQX5P7U7WPY-958212181-817428</Url>
      <Description>4SQX5P7U7WPY-958212181-817428</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DBDD8F19-568A-46A8-A47B-E35BA2F85078}"/>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FC8CFF62-40F5-4435-958A-AF9474DDD785}"/>
</file>

<file path=docProps/app.xml><?xml version="1.0" encoding="utf-8"?>
<Properties xmlns="http://schemas.openxmlformats.org/officeDocument/2006/extended-properties" xmlns:vt="http://schemas.openxmlformats.org/officeDocument/2006/docPropsVTypes">
  <Template>Medida-V2009</Template>
  <TotalTime>0</TotalTime>
  <Pages>7</Pages>
  <Words>2064</Words>
  <Characters>10434</Characters>
  <Application>Microsoft Office Word</Application>
  <DocSecurity>0</DocSecurity>
  <Lines>86</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2025-08-14T14:34:00Z</dcterms:created>
  <dcterms:modified xsi:type="dcterms:W3CDTF">2025-08-14T14:34:00Z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4c6ff002-191d-4e9d-b55d-48c3ea741ed3</vt:lpwstr>
  </property>
  <property fmtid="{D5CDD505-2E9C-101B-9397-08002B2CF9AE}" pid="4" name="MediaServiceImageTags">
    <vt:lpwstr/>
  </property>
</Properties>
</file>