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04F5E" w14:textId="77777777" w:rsidR="00455752" w:rsidRPr="00362DEE" w:rsidRDefault="00455752" w:rsidP="007A7D4F">
      <w:pPr>
        <w:suppressLineNumbers/>
        <w:jc w:val="center"/>
        <w:rPr>
          <w:szCs w:val="24"/>
          <w:lang w:val="es-PR"/>
        </w:rPr>
      </w:pPr>
      <w:proofErr w:type="spellStart"/>
      <w:r w:rsidRPr="00362DEE">
        <w:rPr>
          <w:szCs w:val="24"/>
          <w:lang w:val="es-PR"/>
        </w:rPr>
        <w:t>Entirillado</w:t>
      </w:r>
      <w:proofErr w:type="spellEnd"/>
      <w:r w:rsidRPr="00362DEE">
        <w:rPr>
          <w:szCs w:val="24"/>
          <w:lang w:val="es-PR"/>
        </w:rPr>
        <w:t xml:space="preserve"> Electrónico</w:t>
      </w:r>
    </w:p>
    <w:p w14:paraId="6E61852A" w14:textId="77777777" w:rsidR="008C4672" w:rsidRPr="005C6CA1" w:rsidRDefault="007A7D4F" w:rsidP="007A7D4F">
      <w:pPr>
        <w:suppressLineNumbers/>
        <w:jc w:val="center"/>
        <w:rPr>
          <w:rFonts w:ascii="Book Antiqua" w:hAnsi="Book Antiqua"/>
          <w:sz w:val="36"/>
          <w:lang w:val="es-PR"/>
        </w:rPr>
      </w:pPr>
      <w:r w:rsidRPr="005C6CA1">
        <w:rPr>
          <w:rFonts w:ascii="Book Antiqua" w:hAnsi="Book Antiqua"/>
          <w:sz w:val="36"/>
          <w:lang w:val="es-PR"/>
        </w:rPr>
        <w:t>GOBIERNO DE PUERTO RICO</w:t>
      </w:r>
    </w:p>
    <w:p w14:paraId="2E3E890E" w14:textId="77777777" w:rsidR="007A7D4F" w:rsidRPr="005C6CA1" w:rsidRDefault="007A7D4F" w:rsidP="007A7D4F">
      <w:pPr>
        <w:suppressLineNumbers/>
        <w:jc w:val="center"/>
        <w:rPr>
          <w:rFonts w:ascii="Book Antiqua" w:hAnsi="Book Antiqua"/>
          <w:sz w:val="20"/>
          <w:lang w:val="es-PR"/>
        </w:rPr>
      </w:pPr>
    </w:p>
    <w:p w14:paraId="301CAE09" w14:textId="77777777" w:rsidR="007A7D4F" w:rsidRPr="005C6CA1" w:rsidRDefault="00057FE2" w:rsidP="007A7D4F">
      <w:pPr>
        <w:pStyle w:val="Title2"/>
        <w:suppressLineNumbers/>
        <w:rPr>
          <w:rFonts w:ascii="Book Antiqua" w:hAnsi="Book Antiqua"/>
          <w:lang w:val="es-PR"/>
        </w:rPr>
      </w:pPr>
      <w:r w:rsidRPr="005C6CA1">
        <w:rPr>
          <w:rFonts w:ascii="Book Antiqua" w:hAnsi="Book Antiqua"/>
          <w:lang w:val="es-PR"/>
        </w:rPr>
        <w:t xml:space="preserve"> </w:t>
      </w:r>
      <w:r w:rsidR="002C0FF3" w:rsidRPr="005C6CA1">
        <w:rPr>
          <w:rFonts w:ascii="Book Antiqua" w:hAnsi="Book Antiqua"/>
          <w:lang w:val="es-PR"/>
        </w:rPr>
        <w:t>20</w:t>
      </w:r>
      <w:r w:rsidR="002C0FF3" w:rsidRPr="005C6CA1">
        <w:rPr>
          <w:rFonts w:ascii="Book Antiqua" w:hAnsi="Book Antiqua"/>
          <w:vertAlign w:val="superscript"/>
          <w:lang w:val="es-PR"/>
        </w:rPr>
        <w:t>m</w:t>
      </w:r>
      <w:r w:rsidR="007A7D4F" w:rsidRPr="005C6CA1">
        <w:rPr>
          <w:rFonts w:ascii="Book Antiqua" w:hAnsi="Book Antiqua"/>
          <w:vertAlign w:val="superscript"/>
          <w:lang w:val="es-PR"/>
        </w:rPr>
        <w:t>a</w:t>
      </w:r>
      <w:r w:rsidRPr="005C6CA1">
        <w:rPr>
          <w:rFonts w:ascii="Book Antiqua" w:hAnsi="Book Antiqua"/>
          <w:vertAlign w:val="superscript"/>
          <w:lang w:val="es-PR"/>
        </w:rPr>
        <w:t>.</w:t>
      </w:r>
      <w:r w:rsidR="007A7D4F" w:rsidRPr="005C6CA1">
        <w:rPr>
          <w:rFonts w:ascii="Book Antiqua" w:hAnsi="Book Antiqua"/>
          <w:lang w:val="es-PR"/>
        </w:rPr>
        <w:tab/>
        <w:t>Asamblea</w:t>
      </w:r>
      <w:r w:rsidR="007A7D4F" w:rsidRPr="005C6CA1">
        <w:rPr>
          <w:rFonts w:ascii="Book Antiqua" w:hAnsi="Book Antiqua"/>
          <w:lang w:val="es-PR"/>
        </w:rPr>
        <w:tab/>
        <w:t>1</w:t>
      </w:r>
      <w:r w:rsidR="007A7D4F" w:rsidRPr="005C6CA1">
        <w:rPr>
          <w:rFonts w:ascii="Book Antiqua" w:hAnsi="Book Antiqua"/>
          <w:vertAlign w:val="superscript"/>
          <w:lang w:val="es-PR"/>
        </w:rPr>
        <w:t>ra</w:t>
      </w:r>
      <w:r w:rsidRPr="005C6CA1">
        <w:rPr>
          <w:rFonts w:ascii="Book Antiqua" w:hAnsi="Book Antiqua"/>
          <w:vertAlign w:val="superscript"/>
          <w:lang w:val="es-PR"/>
        </w:rPr>
        <w:t>.</w:t>
      </w:r>
      <w:r w:rsidR="007A7D4F" w:rsidRPr="005C6CA1">
        <w:rPr>
          <w:rFonts w:ascii="Book Antiqua" w:hAnsi="Book Antiqua"/>
          <w:vertAlign w:val="superscript"/>
          <w:lang w:val="es-PR"/>
        </w:rPr>
        <w:t xml:space="preserve"> </w:t>
      </w:r>
      <w:r w:rsidR="007A7D4F" w:rsidRPr="005C6CA1">
        <w:rPr>
          <w:rFonts w:ascii="Book Antiqua" w:hAnsi="Book Antiqua"/>
          <w:lang w:val="es-PR"/>
        </w:rPr>
        <w:tab/>
        <w:t>Sesión</w:t>
      </w:r>
    </w:p>
    <w:p w14:paraId="574D61D7" w14:textId="77777777" w:rsidR="007A7D4F" w:rsidRPr="005C6CA1" w:rsidRDefault="007A7D4F" w:rsidP="007A7D4F">
      <w:pPr>
        <w:pStyle w:val="Title2"/>
        <w:suppressLineNumbers/>
        <w:rPr>
          <w:rFonts w:ascii="Book Antiqua" w:hAnsi="Book Antiqua"/>
          <w:lang w:val="es-PR"/>
        </w:rPr>
      </w:pPr>
      <w:r w:rsidRPr="005C6CA1">
        <w:rPr>
          <w:rFonts w:ascii="Book Antiqua" w:hAnsi="Book Antiqua"/>
          <w:lang w:val="es-PR"/>
        </w:rPr>
        <w:tab/>
        <w:t>Legislativa</w:t>
      </w:r>
      <w:r w:rsidRPr="005C6CA1">
        <w:rPr>
          <w:rFonts w:ascii="Book Antiqua" w:hAnsi="Book Antiqua"/>
          <w:lang w:val="es-PR"/>
        </w:rPr>
        <w:tab/>
      </w:r>
      <w:r w:rsidRPr="005C6CA1">
        <w:rPr>
          <w:rFonts w:ascii="Book Antiqua" w:hAnsi="Book Antiqua"/>
          <w:lang w:val="es-PR"/>
        </w:rPr>
        <w:tab/>
        <w:t>Ordinaria</w:t>
      </w:r>
    </w:p>
    <w:p w14:paraId="4EAF5563" w14:textId="77777777" w:rsidR="007A7D4F" w:rsidRPr="005C6CA1" w:rsidRDefault="007A7D4F" w:rsidP="007A7D4F">
      <w:pPr>
        <w:suppressLineNumbers/>
        <w:rPr>
          <w:lang w:val="es-PR"/>
        </w:rPr>
      </w:pPr>
    </w:p>
    <w:p w14:paraId="376BA077" w14:textId="77777777" w:rsidR="007A7D4F" w:rsidRPr="005C6CA1" w:rsidRDefault="007A7D4F" w:rsidP="007A7D4F">
      <w:pPr>
        <w:suppressLineNumbers/>
        <w:jc w:val="center"/>
        <w:rPr>
          <w:rFonts w:ascii="Book Antiqua" w:hAnsi="Book Antiqua"/>
          <w:b/>
          <w:sz w:val="36"/>
          <w:lang w:val="es-PR"/>
        </w:rPr>
      </w:pPr>
      <w:r w:rsidRPr="005C6CA1">
        <w:rPr>
          <w:rFonts w:ascii="Book Antiqua" w:hAnsi="Book Antiqua"/>
          <w:b/>
          <w:sz w:val="36"/>
          <w:lang w:val="es-PR"/>
        </w:rPr>
        <w:t>SENADO DE PUERTO RICO</w:t>
      </w:r>
    </w:p>
    <w:p w14:paraId="36F7C57B" w14:textId="77777777" w:rsidR="007A7D4F" w:rsidRPr="005C6CA1" w:rsidRDefault="007A7D4F" w:rsidP="007A7D4F">
      <w:pPr>
        <w:suppressLineNumbers/>
        <w:spacing w:before="240"/>
        <w:jc w:val="center"/>
        <w:rPr>
          <w:rFonts w:ascii="Book Antiqua" w:hAnsi="Book Antiqua"/>
          <w:b/>
          <w:sz w:val="52"/>
          <w:lang w:val="es-PR"/>
        </w:rPr>
      </w:pPr>
      <w:r w:rsidRPr="005C6CA1">
        <w:rPr>
          <w:rFonts w:ascii="Book Antiqua" w:hAnsi="Book Antiqua"/>
          <w:b/>
          <w:sz w:val="52"/>
          <w:lang w:val="es-PR"/>
        </w:rPr>
        <w:t xml:space="preserve">P. del S. </w:t>
      </w:r>
      <w:r w:rsidR="0078737C" w:rsidRPr="005C6CA1">
        <w:rPr>
          <w:rFonts w:ascii="Book Antiqua" w:hAnsi="Book Antiqua"/>
          <w:b/>
          <w:sz w:val="52"/>
          <w:lang w:val="es-PR"/>
        </w:rPr>
        <w:t>102</w:t>
      </w:r>
    </w:p>
    <w:p w14:paraId="5A5FC7C3" w14:textId="77777777" w:rsidR="007A7D4F" w:rsidRPr="005C6CA1" w:rsidRDefault="008C0C56" w:rsidP="007A7D4F">
      <w:pPr>
        <w:suppressLineNumbers/>
        <w:spacing w:before="120"/>
        <w:jc w:val="center"/>
        <w:rPr>
          <w:rFonts w:ascii="Book Antiqua" w:hAnsi="Book Antiqua"/>
          <w:lang w:val="es-PR"/>
        </w:rPr>
      </w:pPr>
      <w:r w:rsidRPr="005C6CA1">
        <w:rPr>
          <w:rFonts w:ascii="Book Antiqua" w:hAnsi="Book Antiqua"/>
          <w:lang w:val="es-PR"/>
        </w:rPr>
        <w:t>2</w:t>
      </w:r>
      <w:r w:rsidR="007A7D4F" w:rsidRPr="005C6CA1">
        <w:rPr>
          <w:rFonts w:ascii="Book Antiqua" w:hAnsi="Book Antiqua"/>
          <w:lang w:val="es-PR"/>
        </w:rPr>
        <w:t xml:space="preserve"> de enero de 202</w:t>
      </w:r>
      <w:r w:rsidR="002C0FF3" w:rsidRPr="005C6CA1">
        <w:rPr>
          <w:rFonts w:ascii="Book Antiqua" w:hAnsi="Book Antiqua"/>
          <w:lang w:val="es-PR"/>
        </w:rPr>
        <w:t>5</w:t>
      </w:r>
    </w:p>
    <w:p w14:paraId="277F7A01" w14:textId="77777777" w:rsidR="007A7D4F" w:rsidRPr="005C6CA1" w:rsidRDefault="007A7D4F" w:rsidP="007A7D4F">
      <w:pPr>
        <w:suppressLineNumbers/>
        <w:spacing w:before="120"/>
        <w:jc w:val="center"/>
        <w:rPr>
          <w:rFonts w:ascii="Book Antiqua" w:hAnsi="Book Antiqua"/>
          <w:i/>
          <w:lang w:val="es-PR"/>
        </w:rPr>
      </w:pPr>
      <w:r w:rsidRPr="005C6CA1">
        <w:rPr>
          <w:rFonts w:ascii="Book Antiqua" w:hAnsi="Book Antiqua"/>
          <w:lang w:val="es-PR"/>
        </w:rPr>
        <w:t xml:space="preserve">Presentado por el señor </w:t>
      </w:r>
      <w:r w:rsidRPr="005C6CA1">
        <w:rPr>
          <w:rFonts w:ascii="Book Antiqua" w:hAnsi="Book Antiqua"/>
          <w:i/>
          <w:lang w:val="es-PR"/>
        </w:rPr>
        <w:t>Ríos Santiago</w:t>
      </w:r>
    </w:p>
    <w:p w14:paraId="60783CFF" w14:textId="77777777" w:rsidR="003163B6" w:rsidRPr="005C6CA1" w:rsidRDefault="003163B6" w:rsidP="007A7D4F">
      <w:pPr>
        <w:suppressLineNumbers/>
        <w:spacing w:before="120"/>
        <w:jc w:val="center"/>
        <w:rPr>
          <w:rFonts w:ascii="Book Antiqua" w:hAnsi="Book Antiqua"/>
          <w:i/>
          <w:lang w:val="es-PR"/>
        </w:rPr>
      </w:pPr>
      <w:r w:rsidRPr="005C6CA1">
        <w:rPr>
          <w:rFonts w:ascii="Book Antiqua" w:hAnsi="Book Antiqua"/>
          <w:i/>
          <w:lang w:val="es-PR"/>
        </w:rPr>
        <w:t>Coautores los señores Reyes Berríos y Santos Ortiz</w:t>
      </w:r>
    </w:p>
    <w:p w14:paraId="7FC8EB28" w14:textId="77777777" w:rsidR="007A7D4F" w:rsidRPr="005C6CA1" w:rsidRDefault="007A7D4F" w:rsidP="007A7D4F">
      <w:pPr>
        <w:suppressLineNumbers/>
        <w:spacing w:before="120"/>
        <w:jc w:val="center"/>
        <w:rPr>
          <w:rFonts w:ascii="Book Antiqua" w:hAnsi="Book Antiqua"/>
          <w:i/>
          <w:lang w:val="es-PR"/>
        </w:rPr>
      </w:pPr>
      <w:r w:rsidRPr="005C6CA1">
        <w:rPr>
          <w:rFonts w:ascii="Book Antiqua" w:hAnsi="Book Antiqua"/>
          <w:i/>
          <w:lang w:val="es-PR"/>
        </w:rPr>
        <w:t>Referido a</w:t>
      </w:r>
      <w:r w:rsidR="00CA469F" w:rsidRPr="005C6CA1">
        <w:rPr>
          <w:rFonts w:ascii="Book Antiqua" w:hAnsi="Book Antiqua"/>
          <w:i/>
          <w:lang w:val="es-PR"/>
        </w:rPr>
        <w:t xml:space="preserve"> la Comisión de lo Jurídico</w:t>
      </w:r>
    </w:p>
    <w:p w14:paraId="59F26CA5" w14:textId="77777777" w:rsidR="007A7D4F" w:rsidRPr="005C6CA1" w:rsidRDefault="007A7D4F" w:rsidP="007A7D4F">
      <w:pPr>
        <w:suppressLineNumbers/>
        <w:jc w:val="both"/>
        <w:rPr>
          <w:rFonts w:ascii="Book Antiqua" w:hAnsi="Book Antiqua"/>
          <w:sz w:val="16"/>
          <w:szCs w:val="16"/>
          <w:lang w:val="es-PR"/>
        </w:rPr>
      </w:pPr>
    </w:p>
    <w:p w14:paraId="443ECD62" w14:textId="77777777" w:rsidR="007A7D4F" w:rsidRPr="005C6CA1" w:rsidRDefault="007A7D4F" w:rsidP="007A7D4F">
      <w:pPr>
        <w:suppressLineNumbers/>
        <w:jc w:val="center"/>
        <w:rPr>
          <w:rFonts w:ascii="Book Antiqua" w:hAnsi="Book Antiqua"/>
          <w:b/>
          <w:lang w:val="es-PR"/>
        </w:rPr>
      </w:pPr>
      <w:r w:rsidRPr="005C6CA1">
        <w:rPr>
          <w:rFonts w:ascii="Book Antiqua" w:hAnsi="Book Antiqua"/>
          <w:b/>
          <w:lang w:val="es-PR"/>
        </w:rPr>
        <w:t>LEY</w:t>
      </w:r>
    </w:p>
    <w:p w14:paraId="385A0178" w14:textId="77777777" w:rsidR="007A7D4F" w:rsidRPr="005C6CA1" w:rsidRDefault="007A7D4F" w:rsidP="007A7D4F">
      <w:pPr>
        <w:suppressLineNumbers/>
        <w:jc w:val="both"/>
        <w:rPr>
          <w:rFonts w:ascii="Book Antiqua" w:hAnsi="Book Antiqua"/>
          <w:sz w:val="16"/>
          <w:szCs w:val="16"/>
          <w:lang w:val="es-PR"/>
        </w:rPr>
      </w:pPr>
    </w:p>
    <w:p w14:paraId="6FF71C67" w14:textId="40A423E9" w:rsidR="007A7D4F" w:rsidRPr="005C6CA1" w:rsidRDefault="007A7D4F" w:rsidP="0077386F">
      <w:pPr>
        <w:suppressLineNumbers/>
        <w:spacing w:after="360"/>
        <w:ind w:left="360" w:hanging="360"/>
        <w:jc w:val="both"/>
        <w:rPr>
          <w:rFonts w:ascii="Book Antiqua" w:hAnsi="Book Antiqua"/>
          <w:lang w:val="es-PR"/>
        </w:rPr>
      </w:pPr>
      <w:r w:rsidRPr="005C6CA1">
        <w:rPr>
          <w:rFonts w:ascii="Book Antiqua" w:hAnsi="Book Antiqua"/>
          <w:lang w:val="es-PR"/>
        </w:rPr>
        <w:t xml:space="preserve">Para </w:t>
      </w:r>
      <w:bookmarkStart w:id="0" w:name="_Hlk220691637"/>
      <w:r w:rsidRPr="005C6CA1">
        <w:rPr>
          <w:rFonts w:ascii="Book Antiqua" w:hAnsi="Book Antiqua"/>
          <w:lang w:val="es-PR"/>
        </w:rPr>
        <w:t xml:space="preserve">enmendar los Artículos 30, 107, </w:t>
      </w:r>
      <w:r w:rsidR="00F1080C" w:rsidRPr="005C6CA1">
        <w:rPr>
          <w:rFonts w:ascii="Book Antiqua" w:hAnsi="Book Antiqua"/>
          <w:lang w:val="es-PR"/>
        </w:rPr>
        <w:t xml:space="preserve">132, </w:t>
      </w:r>
      <w:r w:rsidRPr="00B3105E">
        <w:rPr>
          <w:rFonts w:ascii="Book Antiqua" w:hAnsi="Book Antiqua"/>
          <w:strike/>
          <w:lang w:val="es-PR"/>
        </w:rPr>
        <w:t>219,</w:t>
      </w:r>
      <w:r w:rsidR="002C0FF3" w:rsidRPr="00B3105E">
        <w:rPr>
          <w:rFonts w:ascii="Book Antiqua" w:hAnsi="Book Antiqua"/>
          <w:strike/>
          <w:lang w:val="es-PR"/>
        </w:rPr>
        <w:t xml:space="preserve"> </w:t>
      </w:r>
      <w:r w:rsidRPr="005C6CA1">
        <w:rPr>
          <w:rFonts w:ascii="Book Antiqua" w:hAnsi="Book Antiqua"/>
          <w:lang w:val="es-PR"/>
        </w:rPr>
        <w:t>224</w:t>
      </w:r>
      <w:r w:rsidR="002C0FF3" w:rsidRPr="005C6CA1">
        <w:rPr>
          <w:rFonts w:ascii="Book Antiqua" w:hAnsi="Book Antiqua"/>
          <w:lang w:val="es-PR"/>
        </w:rPr>
        <w:t xml:space="preserve">, </w:t>
      </w:r>
      <w:r w:rsidRPr="005C6CA1">
        <w:rPr>
          <w:rFonts w:ascii="Book Antiqua" w:hAnsi="Book Antiqua"/>
          <w:lang w:val="es-PR"/>
        </w:rPr>
        <w:t>225</w:t>
      </w:r>
      <w:r w:rsidR="00F1080C" w:rsidRPr="005C6CA1">
        <w:rPr>
          <w:rFonts w:ascii="Book Antiqua" w:hAnsi="Book Antiqua"/>
          <w:lang w:val="es-PR"/>
        </w:rPr>
        <w:t>, 227, 241</w:t>
      </w:r>
      <w:r w:rsidR="00F65E39" w:rsidRPr="005C6CA1">
        <w:rPr>
          <w:rFonts w:ascii="Book Antiqua" w:hAnsi="Book Antiqua"/>
          <w:lang w:val="es-PR"/>
        </w:rPr>
        <w:t xml:space="preserve">, 245, </w:t>
      </w:r>
      <w:r w:rsidR="00F65E39" w:rsidRPr="005C6CA1">
        <w:rPr>
          <w:rFonts w:ascii="Book Antiqua" w:hAnsi="Book Antiqua"/>
          <w:strike/>
          <w:lang w:val="es-PR"/>
        </w:rPr>
        <w:t>257</w:t>
      </w:r>
      <w:r w:rsidR="00F65E39" w:rsidRPr="005C6CA1">
        <w:rPr>
          <w:rFonts w:ascii="Book Antiqua" w:hAnsi="Book Antiqua"/>
          <w:lang w:val="es-PR"/>
        </w:rPr>
        <w:t>, 259, 262 y 285</w:t>
      </w:r>
      <w:r w:rsidRPr="005C6CA1">
        <w:rPr>
          <w:rFonts w:ascii="Book Antiqua" w:hAnsi="Book Antiqua"/>
          <w:lang w:val="es-PR"/>
        </w:rPr>
        <w:t xml:space="preserve"> de la Ley</w:t>
      </w:r>
      <w:r w:rsidR="00AF587D">
        <w:rPr>
          <w:rFonts w:ascii="Book Antiqua" w:hAnsi="Book Antiqua"/>
          <w:lang w:val="es-PR"/>
        </w:rPr>
        <w:t xml:space="preserve"> </w:t>
      </w:r>
      <w:r w:rsidR="00AF587D">
        <w:rPr>
          <w:rFonts w:ascii="Book Antiqua" w:hAnsi="Book Antiqua"/>
          <w:i/>
          <w:iCs/>
          <w:u w:val="single"/>
          <w:lang w:val="es-PR"/>
        </w:rPr>
        <w:t>Núm.</w:t>
      </w:r>
      <w:r w:rsidRPr="005C6CA1">
        <w:rPr>
          <w:rFonts w:ascii="Book Antiqua" w:hAnsi="Book Antiqua"/>
          <w:lang w:val="es-PR"/>
        </w:rPr>
        <w:t xml:space="preserve"> 210-2015, según enmendada, conocida como “Ley del Registro de la Propiedad Inmobiliaria del Estado Libre Asociado de Puerto Rico”</w:t>
      </w:r>
      <w:r w:rsidR="00F65E39" w:rsidRPr="005C6CA1">
        <w:rPr>
          <w:rFonts w:ascii="Book Antiqua" w:hAnsi="Book Antiqua"/>
          <w:lang w:val="es-PR"/>
        </w:rPr>
        <w:t xml:space="preserve">, a los fines de mejorar la redacción de sus disposiciones, </w:t>
      </w:r>
      <w:r w:rsidR="00686E15">
        <w:rPr>
          <w:rFonts w:ascii="Book Antiqua" w:hAnsi="Book Antiqua"/>
          <w:i/>
          <w:iCs/>
          <w:u w:val="single"/>
          <w:lang w:val="es-PR"/>
        </w:rPr>
        <w:t xml:space="preserve">modernizar sus disposiciones, </w:t>
      </w:r>
      <w:r w:rsidR="00F65E39" w:rsidRPr="005C6CA1">
        <w:rPr>
          <w:rFonts w:ascii="Book Antiqua" w:hAnsi="Book Antiqua"/>
          <w:lang w:val="es-PR"/>
        </w:rPr>
        <w:t>especificar varias operaciones registrales</w:t>
      </w:r>
      <w:r w:rsidRPr="005C6CA1">
        <w:rPr>
          <w:rFonts w:ascii="Book Antiqua" w:hAnsi="Book Antiqua"/>
          <w:lang w:val="es-PR"/>
        </w:rPr>
        <w:t>; y para otros fines relacionados</w:t>
      </w:r>
      <w:bookmarkEnd w:id="0"/>
      <w:r w:rsidRPr="005C6CA1">
        <w:rPr>
          <w:rFonts w:ascii="Book Antiqua" w:hAnsi="Book Antiqua"/>
          <w:lang w:val="es-PR"/>
        </w:rPr>
        <w:t>.</w:t>
      </w:r>
    </w:p>
    <w:p w14:paraId="76098404" w14:textId="77777777" w:rsidR="007A7D4F" w:rsidRPr="005C6CA1" w:rsidRDefault="007A7D4F" w:rsidP="003032B3">
      <w:pPr>
        <w:suppressLineNumbers/>
        <w:spacing w:before="240" w:after="240"/>
        <w:ind w:firstLine="360"/>
        <w:jc w:val="center"/>
        <w:rPr>
          <w:rFonts w:ascii="Book Antiqua" w:hAnsi="Book Antiqua"/>
          <w:lang w:val="es-PR"/>
        </w:rPr>
      </w:pPr>
      <w:r w:rsidRPr="005C6CA1">
        <w:rPr>
          <w:rFonts w:ascii="Book Antiqua" w:hAnsi="Book Antiqua"/>
          <w:b/>
          <w:lang w:val="es-PR"/>
        </w:rPr>
        <w:t>EXPOSICIÓN DE MOTIVOS</w:t>
      </w:r>
    </w:p>
    <w:p w14:paraId="661A7D2B" w14:textId="1B6012D8" w:rsidR="007A7D4F" w:rsidRPr="005C6CA1" w:rsidRDefault="007A7D4F" w:rsidP="0077386F">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Con la aprobación de la Ley</w:t>
      </w:r>
      <w:r w:rsidR="002641A9">
        <w:rPr>
          <w:rFonts w:ascii="Book Antiqua" w:eastAsia="Calibri" w:hAnsi="Book Antiqua"/>
          <w:szCs w:val="24"/>
          <w:lang w:val="es-PR"/>
        </w:rPr>
        <w:t xml:space="preserve"> </w:t>
      </w:r>
      <w:r w:rsidR="002641A9">
        <w:rPr>
          <w:rFonts w:ascii="Book Antiqua" w:eastAsia="Calibri" w:hAnsi="Book Antiqua"/>
          <w:i/>
          <w:iCs/>
          <w:szCs w:val="24"/>
          <w:u w:val="single"/>
          <w:lang w:val="es-PR"/>
        </w:rPr>
        <w:t>Núm.</w:t>
      </w:r>
      <w:r w:rsidRPr="005C6CA1">
        <w:rPr>
          <w:rFonts w:ascii="Book Antiqua" w:eastAsia="Calibri" w:hAnsi="Book Antiqua" w:cs="Book Antiqua"/>
          <w:color w:val="000000"/>
          <w:szCs w:val="24"/>
          <w:lang w:val="es-PR"/>
        </w:rPr>
        <w:t xml:space="preserve"> </w:t>
      </w:r>
      <w:r w:rsidRPr="005C6CA1">
        <w:rPr>
          <w:rFonts w:ascii="Book Antiqua" w:eastAsia="Calibri" w:hAnsi="Book Antiqua"/>
          <w:szCs w:val="24"/>
          <w:lang w:val="es-PR"/>
        </w:rPr>
        <w:t xml:space="preserve">210-2015, </w:t>
      </w:r>
      <w:r w:rsidR="00D4562B" w:rsidRPr="005C6CA1">
        <w:rPr>
          <w:rFonts w:ascii="Book Antiqua" w:eastAsia="Calibri" w:hAnsi="Book Antiqua"/>
          <w:szCs w:val="24"/>
          <w:lang w:val="es-PR"/>
        </w:rPr>
        <w:t xml:space="preserve">según enmendada, </w:t>
      </w:r>
      <w:r w:rsidRPr="002641A9">
        <w:rPr>
          <w:rFonts w:ascii="Book Antiqua" w:eastAsia="Calibri" w:hAnsi="Book Antiqua"/>
          <w:strike/>
          <w:szCs w:val="24"/>
          <w:lang w:val="es-PR"/>
        </w:rPr>
        <w:t>conocida como “Ley del Registro de la Propiedad Inmobiliaria del Estado Libre Asociado de Puerto Rico”,</w:t>
      </w:r>
      <w:r w:rsidRPr="005C6CA1">
        <w:rPr>
          <w:rFonts w:ascii="Book Antiqua" w:eastAsia="Calibri" w:hAnsi="Book Antiqua"/>
          <w:szCs w:val="24"/>
          <w:lang w:val="es-PR"/>
        </w:rPr>
        <w:t xml:space="preserve"> se estableció en Puerto Rico el Registro Inmobiliario Digital. La funcionalidad del registro reside en el Sistema Karibe, el cual insertó al Registro de la Propiedad en la era de la tecnología. El Sistema Karibe es uno </w:t>
      </w:r>
      <w:r w:rsidR="00D4562B" w:rsidRPr="005C6CA1">
        <w:rPr>
          <w:rFonts w:ascii="Book Antiqua" w:eastAsia="Calibri" w:hAnsi="Book Antiqua"/>
          <w:szCs w:val="24"/>
          <w:lang w:val="es-PR"/>
        </w:rPr>
        <w:t>completamente</w:t>
      </w:r>
      <w:r w:rsidR="002C0FF3" w:rsidRPr="005C6CA1">
        <w:rPr>
          <w:rFonts w:ascii="Book Antiqua" w:eastAsia="Calibri" w:hAnsi="Book Antiqua"/>
          <w:szCs w:val="24"/>
          <w:lang w:val="es-PR"/>
        </w:rPr>
        <w:t xml:space="preserve"> </w:t>
      </w:r>
      <w:r w:rsidRPr="005C6CA1">
        <w:rPr>
          <w:rFonts w:ascii="Book Antiqua" w:eastAsia="Calibri" w:hAnsi="Book Antiqua"/>
          <w:szCs w:val="24"/>
          <w:lang w:val="es-PR"/>
        </w:rPr>
        <w:t>digitalizado y electrónico, el cual en unión a una nueva ley de aranceles promueve una mayor certeza en el tráfico jurídico de los bienes inmuebles.</w:t>
      </w:r>
    </w:p>
    <w:p w14:paraId="2140D43B" w14:textId="77777777" w:rsidR="007A7D4F" w:rsidRPr="005C6CA1" w:rsidRDefault="007A7D4F" w:rsidP="0077386F">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 xml:space="preserve">El Sistema Karibe ha tenido una gran acogida entre los notarios, profesionales del derecho y miembros de la banca hipotecaria en Puerto Rico. Dicho programa permite operaciones registrales de manera digital, permitiendo a los usuarios llevar a cabo </w:t>
      </w:r>
      <w:r w:rsidRPr="005C6CA1">
        <w:rPr>
          <w:rFonts w:ascii="Book Antiqua" w:eastAsia="Calibri" w:hAnsi="Book Antiqua"/>
          <w:szCs w:val="24"/>
          <w:lang w:val="es-PR"/>
        </w:rPr>
        <w:lastRenderedPageBreak/>
        <w:t>transacciones de forma telemática. Este programa opera de manera eficiente</w:t>
      </w:r>
      <w:r w:rsidR="002C0FF3" w:rsidRPr="005C6CA1">
        <w:rPr>
          <w:rFonts w:ascii="Book Antiqua" w:eastAsia="Calibri" w:hAnsi="Book Antiqua"/>
          <w:szCs w:val="24"/>
          <w:lang w:val="es-PR"/>
        </w:rPr>
        <w:t xml:space="preserve"> </w:t>
      </w:r>
      <w:r w:rsidR="00BE7A2C" w:rsidRPr="005C6CA1">
        <w:rPr>
          <w:rFonts w:ascii="Book Antiqua" w:eastAsia="Calibri" w:hAnsi="Book Antiqua"/>
          <w:szCs w:val="24"/>
          <w:lang w:val="es-PR"/>
        </w:rPr>
        <w:t xml:space="preserve">veinticuatro (24) </w:t>
      </w:r>
      <w:r w:rsidRPr="005C6CA1">
        <w:rPr>
          <w:rFonts w:ascii="Book Antiqua" w:eastAsia="Calibri" w:hAnsi="Book Antiqua"/>
          <w:szCs w:val="24"/>
          <w:lang w:val="es-PR"/>
        </w:rPr>
        <w:t xml:space="preserve">horas al día, </w:t>
      </w:r>
      <w:r w:rsidR="00BE7A2C" w:rsidRPr="005C6CA1">
        <w:rPr>
          <w:rFonts w:ascii="Book Antiqua" w:eastAsia="Calibri" w:hAnsi="Book Antiqua"/>
          <w:szCs w:val="24"/>
          <w:lang w:val="es-PR"/>
        </w:rPr>
        <w:t>siete (</w:t>
      </w:r>
      <w:r w:rsidRPr="005C6CA1">
        <w:rPr>
          <w:rFonts w:ascii="Book Antiqua" w:eastAsia="Calibri" w:hAnsi="Book Antiqua"/>
          <w:szCs w:val="24"/>
          <w:lang w:val="es-PR"/>
        </w:rPr>
        <w:t>7</w:t>
      </w:r>
      <w:r w:rsidR="00BE7A2C" w:rsidRPr="005C6CA1">
        <w:rPr>
          <w:rFonts w:ascii="Book Antiqua" w:eastAsia="Calibri" w:hAnsi="Book Antiqua"/>
          <w:szCs w:val="24"/>
          <w:lang w:val="es-PR"/>
        </w:rPr>
        <w:t>)</w:t>
      </w:r>
      <w:r w:rsidRPr="005C6CA1">
        <w:rPr>
          <w:rFonts w:ascii="Book Antiqua" w:eastAsia="Calibri" w:hAnsi="Book Antiqua"/>
          <w:szCs w:val="24"/>
          <w:lang w:val="es-PR"/>
        </w:rPr>
        <w:t xml:space="preserve"> días a la semana.   </w:t>
      </w:r>
    </w:p>
    <w:p w14:paraId="4F1AADB4" w14:textId="7F5ABA95" w:rsidR="007A7D4F" w:rsidRPr="005C6CA1" w:rsidRDefault="007A7D4F" w:rsidP="0077386F">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Sin embargo, aún con estos avances, para que la Ley</w:t>
      </w:r>
      <w:r w:rsidR="004C3BDF">
        <w:rPr>
          <w:rFonts w:ascii="Book Antiqua" w:eastAsia="Calibri" w:hAnsi="Book Antiqua"/>
          <w:szCs w:val="24"/>
          <w:lang w:val="es-PR"/>
        </w:rPr>
        <w:t xml:space="preserve"> </w:t>
      </w:r>
      <w:r w:rsidR="004C3BDF">
        <w:rPr>
          <w:rFonts w:ascii="Book Antiqua" w:eastAsia="Calibri" w:hAnsi="Book Antiqua"/>
          <w:i/>
          <w:iCs/>
          <w:szCs w:val="24"/>
          <w:u w:val="single"/>
          <w:lang w:val="es-PR"/>
        </w:rPr>
        <w:t>Núm.</w:t>
      </w:r>
      <w:r w:rsidRPr="005C6CA1">
        <w:rPr>
          <w:rFonts w:ascii="Book Antiqua" w:eastAsia="Calibri" w:hAnsi="Book Antiqua" w:cs="Book Antiqua"/>
          <w:color w:val="000000"/>
          <w:szCs w:val="24"/>
          <w:lang w:val="es-PR"/>
        </w:rPr>
        <w:t xml:space="preserve"> </w:t>
      </w:r>
      <w:r w:rsidRPr="005C6CA1">
        <w:rPr>
          <w:rFonts w:ascii="Book Antiqua" w:eastAsia="Calibri" w:hAnsi="Book Antiqua"/>
          <w:szCs w:val="24"/>
          <w:lang w:val="es-PR"/>
        </w:rPr>
        <w:t>210-2015</w:t>
      </w:r>
      <w:r w:rsidR="00D4562B" w:rsidRPr="00197239">
        <w:rPr>
          <w:rFonts w:ascii="Book Antiqua" w:eastAsia="Calibri" w:hAnsi="Book Antiqua"/>
          <w:strike/>
          <w:szCs w:val="24"/>
          <w:lang w:val="es-PR"/>
        </w:rPr>
        <w:t>, antes mencionada,</w:t>
      </w:r>
      <w:r w:rsidRPr="005C6CA1">
        <w:rPr>
          <w:rFonts w:ascii="Book Antiqua" w:eastAsia="Calibri" w:hAnsi="Book Antiqua"/>
          <w:szCs w:val="24"/>
          <w:lang w:val="es-PR"/>
        </w:rPr>
        <w:t xml:space="preserve"> sea aplicada de manera óptima y con mayor eficiencia, es necesario efectuar </w:t>
      </w:r>
      <w:r w:rsidRPr="005C6CA1">
        <w:rPr>
          <w:rFonts w:ascii="Book Antiqua" w:eastAsia="Calibri" w:hAnsi="Book Antiqua"/>
          <w:strike/>
          <w:szCs w:val="24"/>
          <w:lang w:val="es-PR"/>
        </w:rPr>
        <w:t>unas</w:t>
      </w:r>
      <w:r w:rsidRPr="005C6CA1">
        <w:rPr>
          <w:rFonts w:ascii="Book Antiqua" w:eastAsia="Calibri" w:hAnsi="Book Antiqua"/>
          <w:szCs w:val="24"/>
          <w:lang w:val="es-PR"/>
        </w:rPr>
        <w:t xml:space="preserve"> enmiendas</w:t>
      </w:r>
      <w:r w:rsidR="00455752" w:rsidRPr="005C6CA1">
        <w:rPr>
          <w:rFonts w:ascii="Book Antiqua" w:eastAsia="Calibri" w:hAnsi="Book Antiqua"/>
          <w:szCs w:val="24"/>
          <w:lang w:val="es-PR"/>
        </w:rPr>
        <w:t xml:space="preserve"> </w:t>
      </w:r>
      <w:r w:rsidR="00455752" w:rsidRPr="005C6CA1">
        <w:rPr>
          <w:rFonts w:ascii="Book Antiqua" w:eastAsia="Calibri" w:hAnsi="Book Antiqua"/>
          <w:i/>
          <w:iCs/>
          <w:szCs w:val="24"/>
          <w:u w:val="single"/>
          <w:lang w:val="es-PR"/>
        </w:rPr>
        <w:t>adicionales</w:t>
      </w:r>
      <w:r w:rsidRPr="005C6CA1">
        <w:rPr>
          <w:rFonts w:ascii="Book Antiqua" w:eastAsia="Calibri" w:hAnsi="Book Antiqua"/>
          <w:szCs w:val="24"/>
          <w:lang w:val="es-PR"/>
        </w:rPr>
        <w:t xml:space="preserve">. </w:t>
      </w:r>
      <w:r w:rsidRPr="00522268">
        <w:rPr>
          <w:rFonts w:ascii="Book Antiqua" w:eastAsia="Calibri" w:hAnsi="Book Antiqua"/>
          <w:strike/>
          <w:szCs w:val="24"/>
          <w:lang w:val="es-PR"/>
        </w:rPr>
        <w:t>Estas enmiendas</w:t>
      </w:r>
      <w:r w:rsidRPr="005C6CA1">
        <w:rPr>
          <w:rFonts w:ascii="Book Antiqua" w:eastAsia="Calibri" w:hAnsi="Book Antiqua"/>
          <w:szCs w:val="24"/>
          <w:lang w:val="es-PR"/>
        </w:rPr>
        <w:t xml:space="preserve"> </w:t>
      </w:r>
      <w:r w:rsidR="00455752" w:rsidRPr="005C6CA1">
        <w:rPr>
          <w:rFonts w:ascii="Book Antiqua" w:eastAsia="Calibri" w:hAnsi="Book Antiqua"/>
          <w:i/>
          <w:iCs/>
          <w:szCs w:val="24"/>
          <w:u w:val="single"/>
          <w:lang w:val="es-PR"/>
        </w:rPr>
        <w:t xml:space="preserve">Éstas </w:t>
      </w:r>
      <w:r w:rsidRPr="005C6CA1">
        <w:rPr>
          <w:rFonts w:ascii="Book Antiqua" w:eastAsia="Calibri" w:hAnsi="Book Antiqua"/>
          <w:szCs w:val="24"/>
          <w:lang w:val="es-PR"/>
        </w:rPr>
        <w:t xml:space="preserve">se proponen </w:t>
      </w:r>
      <w:r w:rsidRPr="005C6CA1">
        <w:rPr>
          <w:rFonts w:ascii="Book Antiqua" w:eastAsia="Calibri" w:hAnsi="Book Antiqua"/>
          <w:strike/>
          <w:szCs w:val="24"/>
          <w:lang w:val="es-PR"/>
        </w:rPr>
        <w:t xml:space="preserve">amparado </w:t>
      </w:r>
      <w:r w:rsidR="00455752" w:rsidRPr="005C6CA1">
        <w:rPr>
          <w:rFonts w:ascii="Book Antiqua" w:eastAsia="Calibri" w:hAnsi="Book Antiqua"/>
          <w:i/>
          <w:iCs/>
          <w:szCs w:val="24"/>
          <w:u w:val="single"/>
          <w:lang w:val="es-PR"/>
        </w:rPr>
        <w:t xml:space="preserve">con fundamento </w:t>
      </w:r>
      <w:r w:rsidRPr="005C6CA1">
        <w:rPr>
          <w:rFonts w:ascii="Book Antiqua" w:eastAsia="Calibri" w:hAnsi="Book Antiqua"/>
          <w:szCs w:val="24"/>
          <w:lang w:val="es-PR"/>
        </w:rPr>
        <w:t>en la experiencia adquirida en la aplicación de la Ley durante los</w:t>
      </w:r>
      <w:r w:rsidR="00660D3E" w:rsidRPr="005C6CA1">
        <w:rPr>
          <w:rFonts w:ascii="Book Antiqua" w:eastAsia="Calibri" w:hAnsi="Book Antiqua"/>
          <w:szCs w:val="24"/>
          <w:lang w:val="es-PR"/>
        </w:rPr>
        <w:t xml:space="preserve"> </w:t>
      </w:r>
      <w:r w:rsidR="009D1839" w:rsidRPr="005C6CA1">
        <w:rPr>
          <w:rFonts w:ascii="Book Antiqua" w:eastAsia="Calibri" w:hAnsi="Book Antiqua"/>
          <w:szCs w:val="24"/>
          <w:lang w:val="es-PR"/>
        </w:rPr>
        <w:t xml:space="preserve">ocho (8) </w:t>
      </w:r>
      <w:r w:rsidRPr="005C6CA1">
        <w:rPr>
          <w:rFonts w:ascii="Book Antiqua" w:eastAsia="Calibri" w:hAnsi="Book Antiqua"/>
          <w:szCs w:val="24"/>
          <w:lang w:val="es-PR"/>
        </w:rPr>
        <w:t>años transcurridos desde su vigencia en marzo de</w:t>
      </w:r>
      <w:r w:rsidR="00660D3E" w:rsidRPr="005C6CA1">
        <w:rPr>
          <w:rFonts w:ascii="Book Antiqua" w:eastAsia="Calibri" w:hAnsi="Book Antiqua"/>
          <w:szCs w:val="24"/>
          <w:lang w:val="es-PR"/>
        </w:rPr>
        <w:t xml:space="preserve"> 2016</w:t>
      </w:r>
      <w:r w:rsidRPr="005C6CA1">
        <w:rPr>
          <w:rFonts w:ascii="Book Antiqua" w:eastAsia="Calibri" w:hAnsi="Book Antiqua"/>
          <w:szCs w:val="24"/>
          <w:lang w:val="es-PR"/>
        </w:rPr>
        <w:t xml:space="preserve">. </w:t>
      </w:r>
    </w:p>
    <w:p w14:paraId="4D86BD2A" w14:textId="77777777" w:rsidR="007A7D4F" w:rsidRPr="005C6CA1" w:rsidRDefault="007A7D4F" w:rsidP="0077386F">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Entre estas, destacamos la enmienda propuesta al Artículo 30 de la Ley para permitir la división y adjudicación de derechos y acciones de bienes gananciales mediante documento judicial o notarial. Además, se enmienda el Artículo 107 de la Ley para disponer como requisito para la inscripción de una escritura de venta judicial la orden de confirmación de adjudicación o venta, y que la ausencia de dicho documento podrá ser objeto de notificación. Esta enmienda persigue dar movimiento a los documentos de venta judicial, que ante la falta de la orden de confirmación de adjudicación o venta no pueden inscribirse o notificarse; quedándose en el inventario de documentos presentados y en ocasiones afectando la inscripción de documentos posteriores. Asimismo, en aras de promover mayor uniformidad, esta Ley ordena precisar por Reglamento el contenido de la orden de confirmación de adjudicación o venta.</w:t>
      </w:r>
    </w:p>
    <w:p w14:paraId="4513C7E1" w14:textId="77777777" w:rsidR="007A7D4F" w:rsidRPr="005C6CA1" w:rsidRDefault="007A7D4F" w:rsidP="0077386F">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 xml:space="preserve">Por </w:t>
      </w:r>
      <w:r w:rsidR="00BA3832" w:rsidRPr="005C6CA1">
        <w:rPr>
          <w:rFonts w:ascii="Book Antiqua" w:eastAsia="Calibri" w:hAnsi="Book Antiqua"/>
          <w:szCs w:val="24"/>
          <w:lang w:val="es-PR"/>
        </w:rPr>
        <w:t>otro lado</w:t>
      </w:r>
      <w:r w:rsidRPr="005C6CA1">
        <w:rPr>
          <w:rFonts w:ascii="Book Antiqua" w:eastAsia="Calibri" w:hAnsi="Book Antiqua"/>
          <w:szCs w:val="24"/>
          <w:lang w:val="es-PR"/>
        </w:rPr>
        <w:t>, se restituyen las certificaciones literales</w:t>
      </w:r>
      <w:r w:rsidR="00660D3E" w:rsidRPr="005C6CA1">
        <w:rPr>
          <w:rFonts w:ascii="Book Antiqua" w:eastAsia="Calibri" w:hAnsi="Book Antiqua"/>
          <w:szCs w:val="24"/>
          <w:lang w:val="es-PR"/>
        </w:rPr>
        <w:t xml:space="preserve"> y de planos</w:t>
      </w:r>
      <w:r w:rsidRPr="005C6CA1">
        <w:rPr>
          <w:rFonts w:ascii="Book Antiqua" w:eastAsia="Calibri" w:hAnsi="Book Antiqua"/>
          <w:szCs w:val="24"/>
          <w:lang w:val="es-PR"/>
        </w:rPr>
        <w:t xml:space="preserve">, lo cual </w:t>
      </w:r>
      <w:r w:rsidR="00BE7A2C" w:rsidRPr="005C6CA1">
        <w:rPr>
          <w:rFonts w:ascii="Book Antiqua" w:eastAsia="Calibri" w:hAnsi="Book Antiqua"/>
          <w:szCs w:val="24"/>
          <w:lang w:val="es-PR"/>
        </w:rPr>
        <w:t xml:space="preserve">otorga </w:t>
      </w:r>
      <w:r w:rsidRPr="005C6CA1">
        <w:rPr>
          <w:rFonts w:ascii="Book Antiqua" w:eastAsia="Calibri" w:hAnsi="Book Antiqua"/>
          <w:szCs w:val="24"/>
          <w:lang w:val="es-PR"/>
        </w:rPr>
        <w:t xml:space="preserve">agilidad y eficiencia a las distintas secciones del Registro, a la vez que permite generar ingresos adicionales para el erario. Dichas certificaciones estarán disponibles una vez se aprueben las enmiendas necesarias al Reglamento y a la programación del </w:t>
      </w:r>
      <w:r w:rsidR="0015310E" w:rsidRPr="005C6CA1">
        <w:rPr>
          <w:rFonts w:ascii="Book Antiqua" w:eastAsia="Calibri" w:hAnsi="Book Antiqua"/>
          <w:szCs w:val="24"/>
          <w:lang w:val="es-PR"/>
        </w:rPr>
        <w:t>S</w:t>
      </w:r>
      <w:r w:rsidRPr="005C6CA1">
        <w:rPr>
          <w:rFonts w:ascii="Book Antiqua" w:eastAsia="Calibri" w:hAnsi="Book Antiqua"/>
          <w:szCs w:val="24"/>
          <w:lang w:val="es-PR"/>
        </w:rPr>
        <w:t xml:space="preserve">istema Karibe. Relacionado a las certificaciones registrales, se enmienda el Artículo 225 de la Ley para eliminar la caducidad de las solicitudes de certificaciones, eliminando así una carga onerosa al peticionario. </w:t>
      </w:r>
    </w:p>
    <w:p w14:paraId="22E7D17D" w14:textId="77777777" w:rsidR="00660D3E" w:rsidRPr="005C6CA1" w:rsidRDefault="00660D3E" w:rsidP="00660D3E">
      <w:pPr>
        <w:suppressLineNumbers/>
        <w:autoSpaceDE w:val="0"/>
        <w:autoSpaceDN w:val="0"/>
        <w:adjustRightInd w:val="0"/>
        <w:spacing w:before="120" w:after="120" w:line="360" w:lineRule="auto"/>
        <w:ind w:firstLine="540"/>
        <w:jc w:val="both"/>
        <w:rPr>
          <w:rFonts w:ascii="Book Antiqua" w:eastAsia="Calibri" w:hAnsi="Book Antiqua"/>
          <w:szCs w:val="24"/>
          <w:rtl/>
          <w:lang w:val="es-PR"/>
        </w:rPr>
      </w:pPr>
      <w:r w:rsidRPr="005C6CA1">
        <w:rPr>
          <w:rFonts w:ascii="Book Antiqua" w:eastAsia="Calibri" w:hAnsi="Book Antiqua"/>
          <w:szCs w:val="24"/>
          <w:lang w:val="es-PR"/>
        </w:rPr>
        <w:t xml:space="preserve">Por </w:t>
      </w:r>
      <w:r w:rsidR="00BA3832" w:rsidRPr="005C6CA1">
        <w:rPr>
          <w:rFonts w:ascii="Book Antiqua" w:eastAsia="Calibri" w:hAnsi="Book Antiqua"/>
          <w:szCs w:val="24"/>
          <w:lang w:val="es-PR"/>
        </w:rPr>
        <w:t>su parte</w:t>
      </w:r>
      <w:r w:rsidRPr="005C6CA1">
        <w:rPr>
          <w:rFonts w:ascii="Book Antiqua" w:eastAsia="Calibri" w:hAnsi="Book Antiqua"/>
          <w:szCs w:val="24"/>
          <w:lang w:val="es-PR"/>
        </w:rPr>
        <w:t>, en el Título XV sobre las Certificaciones Registrales</w:t>
      </w:r>
      <w:r w:rsidR="00BE7A2C" w:rsidRPr="005C6CA1">
        <w:rPr>
          <w:rFonts w:ascii="Book Antiqua" w:eastAsia="Calibri" w:hAnsi="Book Antiqua"/>
          <w:szCs w:val="24"/>
          <w:lang w:val="es-PR"/>
        </w:rPr>
        <w:t>,</w:t>
      </w:r>
      <w:r w:rsidRPr="005C6CA1">
        <w:rPr>
          <w:rFonts w:ascii="Book Antiqua" w:eastAsia="Calibri" w:hAnsi="Book Antiqua"/>
          <w:szCs w:val="24"/>
          <w:lang w:val="es-PR"/>
        </w:rPr>
        <w:t xml:space="preserve"> se enmiendan los Artículos </w:t>
      </w:r>
      <w:r w:rsidRPr="00B3105E">
        <w:rPr>
          <w:rFonts w:ascii="Book Antiqua" w:eastAsia="Calibri" w:hAnsi="Book Antiqua"/>
          <w:strike/>
          <w:szCs w:val="24"/>
          <w:lang w:val="es-PR"/>
        </w:rPr>
        <w:t>219,</w:t>
      </w:r>
      <w:r w:rsidRPr="005C6CA1">
        <w:rPr>
          <w:rFonts w:ascii="Book Antiqua" w:eastAsia="Calibri" w:hAnsi="Book Antiqua"/>
          <w:szCs w:val="24"/>
          <w:lang w:val="es-PR"/>
        </w:rPr>
        <w:t xml:space="preserve"> 224, 225 y 227. Las enmiendas al Artículo 225 de la Ley deroga la caducidad de las solicitudes de certificaciones, eliminando un trámite innecesario para el </w:t>
      </w:r>
      <w:r w:rsidRPr="005C6CA1">
        <w:rPr>
          <w:rFonts w:ascii="Book Antiqua" w:eastAsia="Calibri" w:hAnsi="Book Antiqua"/>
          <w:szCs w:val="24"/>
          <w:lang w:val="es-PR"/>
        </w:rPr>
        <w:lastRenderedPageBreak/>
        <w:t>peticionario. En cuanto a los planos archivados en el Registro, se enmienda el Artículo 227 para viabilizar la expedición por la vía electrónica de copias de los planos.</w:t>
      </w:r>
    </w:p>
    <w:p w14:paraId="325C7E94" w14:textId="77777777" w:rsidR="00660D3E" w:rsidRPr="005C6CA1" w:rsidRDefault="00660D3E" w:rsidP="00660D3E">
      <w:pPr>
        <w:suppressLineNumbers/>
        <w:autoSpaceDE w:val="0"/>
        <w:autoSpaceDN w:val="0"/>
        <w:adjustRightInd w:val="0"/>
        <w:spacing w:before="120" w:after="120" w:line="360" w:lineRule="auto"/>
        <w:ind w:firstLine="540"/>
        <w:jc w:val="both"/>
        <w:rPr>
          <w:rFonts w:ascii="Book Antiqua" w:hAnsi="Book Antiqua"/>
          <w:lang w:val="es-PR"/>
        </w:rPr>
      </w:pPr>
      <w:r w:rsidRPr="005C6CA1">
        <w:rPr>
          <w:rFonts w:ascii="Book Antiqua" w:eastAsia="Calibri" w:hAnsi="Book Antiqua"/>
          <w:szCs w:val="24"/>
          <w:lang w:val="es-PR"/>
        </w:rPr>
        <w:t xml:space="preserve">En atención a lo resuelto por el Tribunal Supremo de Puerto Rico en los casos de </w:t>
      </w:r>
      <w:proofErr w:type="spellStart"/>
      <w:r w:rsidRPr="005C6CA1">
        <w:rPr>
          <w:rFonts w:ascii="Book Antiqua" w:eastAsia="Calibri" w:hAnsi="Book Antiqua"/>
          <w:szCs w:val="24"/>
          <w:lang w:val="es-PR"/>
        </w:rPr>
        <w:t>Firstbank</w:t>
      </w:r>
      <w:proofErr w:type="spellEnd"/>
      <w:r w:rsidRPr="005C6CA1">
        <w:rPr>
          <w:rFonts w:ascii="Book Antiqua" w:eastAsia="Calibri" w:hAnsi="Book Antiqua"/>
          <w:szCs w:val="24"/>
          <w:lang w:val="es-PR"/>
        </w:rPr>
        <w:t xml:space="preserve"> Puerto Rico v. Registradora, </w:t>
      </w:r>
      <w:r w:rsidR="00633DF2" w:rsidRPr="005C6CA1">
        <w:rPr>
          <w:rFonts w:ascii="Book Antiqua" w:eastAsia="Calibri" w:hAnsi="Book Antiqua"/>
          <w:szCs w:val="24"/>
          <w:lang w:val="es-PR"/>
        </w:rPr>
        <w:t>208 DPR 64 (2021)</w:t>
      </w:r>
      <w:r w:rsidRPr="005C6CA1">
        <w:rPr>
          <w:rFonts w:ascii="Book Antiqua" w:eastAsia="Calibri" w:hAnsi="Book Antiqua"/>
          <w:szCs w:val="24"/>
          <w:lang w:val="es-PR"/>
        </w:rPr>
        <w:t xml:space="preserve">, reiterado por Oriental Bank v. Registrador, </w:t>
      </w:r>
      <w:r w:rsidR="00633DF2" w:rsidRPr="005C6CA1">
        <w:rPr>
          <w:rFonts w:ascii="Book Antiqua" w:eastAsia="Calibri" w:hAnsi="Book Antiqua"/>
          <w:szCs w:val="24"/>
          <w:lang w:val="es-PR"/>
        </w:rPr>
        <w:t>209 DPR 384 (2022)</w:t>
      </w:r>
      <w:r w:rsidRPr="005C6CA1">
        <w:rPr>
          <w:rFonts w:ascii="Book Antiqua" w:eastAsia="Calibri" w:hAnsi="Book Antiqua"/>
          <w:szCs w:val="24"/>
          <w:lang w:val="es-PR"/>
        </w:rPr>
        <w:t xml:space="preserve">, se enmienda el Artículo 245 de la Ley para eliminar el requisito de remitir al Registrador copia certificada en papel del documento presentado y calificado, el cual ya obra en el Registro. Además, se incluyen enmiendas técnicas para mejorar la redacción de dicho </w:t>
      </w:r>
      <w:r w:rsidR="00BE7A2C" w:rsidRPr="005C6CA1">
        <w:rPr>
          <w:rFonts w:ascii="Book Antiqua" w:eastAsia="Calibri" w:hAnsi="Book Antiqua"/>
          <w:szCs w:val="24"/>
          <w:lang w:val="es-PR"/>
        </w:rPr>
        <w:t>A</w:t>
      </w:r>
      <w:r w:rsidRPr="005C6CA1">
        <w:rPr>
          <w:rFonts w:ascii="Book Antiqua" w:eastAsia="Calibri" w:hAnsi="Book Antiqua"/>
          <w:szCs w:val="24"/>
          <w:lang w:val="es-PR"/>
        </w:rPr>
        <w:t>rtículo.</w:t>
      </w:r>
      <w:r w:rsidRPr="005C6CA1">
        <w:rPr>
          <w:rFonts w:ascii="Book Antiqua" w:hAnsi="Book Antiqua"/>
          <w:lang w:val="es-PR"/>
        </w:rPr>
        <w:t xml:space="preserve"> </w:t>
      </w:r>
    </w:p>
    <w:p w14:paraId="2170C943" w14:textId="77777777" w:rsidR="00DE348E" w:rsidRPr="005C6CA1" w:rsidRDefault="00660D3E" w:rsidP="00633DF2">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 xml:space="preserve">En asuntos relacionados </w:t>
      </w:r>
      <w:r w:rsidR="00BE7A2C" w:rsidRPr="005C6CA1">
        <w:rPr>
          <w:rFonts w:ascii="Book Antiqua" w:eastAsia="Calibri" w:hAnsi="Book Antiqua"/>
          <w:szCs w:val="24"/>
          <w:lang w:val="es-PR"/>
        </w:rPr>
        <w:t>con el</w:t>
      </w:r>
      <w:r w:rsidRPr="005C6CA1">
        <w:rPr>
          <w:rFonts w:ascii="Book Antiqua" w:eastAsia="Calibri" w:hAnsi="Book Antiqua"/>
          <w:szCs w:val="24"/>
          <w:lang w:val="es-PR"/>
        </w:rPr>
        <w:t xml:space="preserve"> Diario Electrónico de Operaciones, se enmiendan los Artículos </w:t>
      </w:r>
      <w:r w:rsidRPr="00F353BF">
        <w:rPr>
          <w:rFonts w:ascii="Book Antiqua" w:eastAsia="Calibri" w:hAnsi="Book Antiqua"/>
          <w:strike/>
          <w:szCs w:val="24"/>
          <w:lang w:val="es-PR"/>
        </w:rPr>
        <w:t>257,</w:t>
      </w:r>
      <w:r w:rsidRPr="005C6CA1">
        <w:rPr>
          <w:rFonts w:ascii="Book Antiqua" w:eastAsia="Calibri" w:hAnsi="Book Antiqua"/>
          <w:szCs w:val="24"/>
          <w:lang w:val="es-PR"/>
        </w:rPr>
        <w:t xml:space="preserve"> 259</w:t>
      </w:r>
      <w:r w:rsidR="00BA3832" w:rsidRPr="005C6CA1">
        <w:rPr>
          <w:rFonts w:ascii="Book Antiqua" w:eastAsia="Calibri" w:hAnsi="Book Antiqua"/>
          <w:szCs w:val="24"/>
          <w:lang w:val="es-PR"/>
        </w:rPr>
        <w:t xml:space="preserve"> </w:t>
      </w:r>
      <w:r w:rsidRPr="005C6CA1">
        <w:rPr>
          <w:rFonts w:ascii="Book Antiqua" w:eastAsia="Calibri" w:hAnsi="Book Antiqua"/>
          <w:szCs w:val="24"/>
          <w:lang w:val="es-PR"/>
        </w:rPr>
        <w:t xml:space="preserve">y 262 de la Ley. </w:t>
      </w:r>
      <w:r w:rsidRPr="005C6CA1">
        <w:rPr>
          <w:rFonts w:ascii="Book Antiqua" w:eastAsia="Calibri" w:hAnsi="Book Antiqua"/>
          <w:strike/>
          <w:szCs w:val="24"/>
          <w:lang w:val="es-PR"/>
        </w:rPr>
        <w:t xml:space="preserve">En cuanto al Artículo 257, la enmienda tiene como propósito </w:t>
      </w:r>
      <w:r w:rsidR="00633DF2" w:rsidRPr="005C6CA1">
        <w:rPr>
          <w:rFonts w:ascii="Book Antiqua" w:eastAsia="Calibri" w:hAnsi="Book Antiqua"/>
          <w:strike/>
          <w:szCs w:val="24"/>
          <w:lang w:val="es-PR"/>
        </w:rPr>
        <w:t>eliminar la prohibición establecida en torno a que en ningún caso se admitirán dos o más documentos que soliciten motivar inscripciones o anotaciones separadas, en un mismo asiento de presentación</w:t>
      </w:r>
      <w:r w:rsidRPr="005C6CA1">
        <w:rPr>
          <w:rFonts w:ascii="Book Antiqua" w:eastAsia="Calibri" w:hAnsi="Book Antiqua"/>
          <w:strike/>
          <w:szCs w:val="24"/>
          <w:lang w:val="es-PR"/>
        </w:rPr>
        <w:t>.</w:t>
      </w:r>
      <w:r w:rsidRPr="005C6CA1">
        <w:rPr>
          <w:rFonts w:ascii="Book Antiqua" w:eastAsia="Calibri" w:hAnsi="Book Antiqua"/>
          <w:szCs w:val="24"/>
          <w:lang w:val="es-PR"/>
        </w:rPr>
        <w:t xml:space="preserve"> La enmienda al Artículo 259 modifica </w:t>
      </w:r>
      <w:r w:rsidR="00BE7A2C" w:rsidRPr="005C6CA1">
        <w:rPr>
          <w:rFonts w:ascii="Book Antiqua" w:eastAsia="Calibri" w:hAnsi="Book Antiqua"/>
          <w:szCs w:val="24"/>
          <w:lang w:val="es-PR"/>
        </w:rPr>
        <w:t>el</w:t>
      </w:r>
      <w:r w:rsidRPr="005C6CA1">
        <w:rPr>
          <w:rFonts w:ascii="Book Antiqua" w:eastAsia="Calibri" w:hAnsi="Book Antiqua"/>
          <w:szCs w:val="24"/>
          <w:lang w:val="es-PR"/>
        </w:rPr>
        <w:t xml:space="preserve"> horario de la presentación presencial, lo cual responde a la experiencia adquirida con la presentación telemática.  </w:t>
      </w:r>
    </w:p>
    <w:p w14:paraId="7EE5CC7A" w14:textId="77777777" w:rsidR="00660D3E" w:rsidRPr="005C6CA1" w:rsidRDefault="00660D3E" w:rsidP="00DE348E">
      <w:pPr>
        <w:suppressLineNumbers/>
        <w:autoSpaceDE w:val="0"/>
        <w:autoSpaceDN w:val="0"/>
        <w:adjustRightInd w:val="0"/>
        <w:spacing w:before="120" w:after="120" w:line="360" w:lineRule="auto"/>
        <w:ind w:firstLine="540"/>
        <w:jc w:val="both"/>
        <w:rPr>
          <w:rFonts w:ascii="Book Antiqua" w:eastAsia="Calibri" w:hAnsi="Book Antiqua"/>
          <w:szCs w:val="24"/>
          <w:lang w:val="es-PR"/>
        </w:rPr>
      </w:pPr>
      <w:r w:rsidRPr="005C6CA1">
        <w:rPr>
          <w:rFonts w:ascii="Book Antiqua" w:eastAsia="Calibri" w:hAnsi="Book Antiqua"/>
          <w:szCs w:val="24"/>
          <w:lang w:val="es-PR"/>
        </w:rPr>
        <w:t>El Artículo 262 se enmienda para atender las situaciones en las que se presentan documentos sin los derechos correspondientes. En esos casos, se hará constar en el documento presentado o mediante documento complementario la disposición legal que viabiliza la exención reclamada</w:t>
      </w:r>
      <w:r w:rsidR="0015310E" w:rsidRPr="005C6CA1">
        <w:rPr>
          <w:rFonts w:ascii="Book Antiqua" w:eastAsia="Calibri" w:hAnsi="Book Antiqua"/>
          <w:szCs w:val="24"/>
          <w:lang w:val="es-PR"/>
        </w:rPr>
        <w:t>,</w:t>
      </w:r>
      <w:r w:rsidRPr="005C6CA1">
        <w:rPr>
          <w:rFonts w:ascii="Book Antiqua" w:eastAsia="Calibri" w:hAnsi="Book Antiqua"/>
          <w:szCs w:val="24"/>
          <w:lang w:val="es-PR"/>
        </w:rPr>
        <w:t xml:space="preserve"> la cual estará sujeta a la calificación del Registrador en torno a la procedencia de dicha exención.</w:t>
      </w:r>
      <w:r w:rsidR="00DE348E" w:rsidRPr="005C6CA1">
        <w:rPr>
          <w:rFonts w:ascii="Book Antiqua" w:eastAsia="Calibri" w:hAnsi="Book Antiqua" w:cs="Book Antiqua"/>
          <w:color w:val="000000"/>
          <w:szCs w:val="24"/>
          <w:lang w:val="es-PR"/>
        </w:rPr>
        <w:t xml:space="preserve"> </w:t>
      </w:r>
      <w:r w:rsidR="00DE348E" w:rsidRPr="005C6CA1">
        <w:rPr>
          <w:rFonts w:ascii="Book Antiqua" w:eastAsia="Calibri" w:hAnsi="Book Antiqua"/>
          <w:szCs w:val="24"/>
          <w:lang w:val="es-PR"/>
        </w:rPr>
        <w:t>Para finalizar, y en reconocimiento a la gran ayuda que han brindado los Registradores Especiales en adelantar la calificación e inscripción de documentos y reducir el volumen de documentos en atraso, se enmienda el Artículo 285 de la Ley para modificar el término de su contratación.</w:t>
      </w:r>
    </w:p>
    <w:p w14:paraId="50E26CEA" w14:textId="77F11964" w:rsidR="007A7D4F" w:rsidRPr="005C6CA1" w:rsidRDefault="00DE348E" w:rsidP="0077386F">
      <w:pPr>
        <w:suppressLineNumbers/>
        <w:autoSpaceDE w:val="0"/>
        <w:autoSpaceDN w:val="0"/>
        <w:adjustRightInd w:val="0"/>
        <w:spacing w:before="120" w:after="120" w:line="360" w:lineRule="auto"/>
        <w:ind w:firstLine="540"/>
        <w:jc w:val="both"/>
        <w:rPr>
          <w:rFonts w:ascii="Book Antiqua" w:eastAsia="Calibri" w:hAnsi="Book Antiqua" w:cs="Book Antiqua"/>
          <w:color w:val="000000"/>
          <w:szCs w:val="24"/>
          <w:lang w:val="es-PR"/>
        </w:rPr>
      </w:pPr>
      <w:r w:rsidRPr="005C6CA1">
        <w:rPr>
          <w:rFonts w:ascii="Book Antiqua" w:eastAsia="Calibri" w:hAnsi="Book Antiqua" w:cs="Book Antiqua"/>
          <w:color w:val="000000"/>
          <w:szCs w:val="24"/>
          <w:lang w:val="es-PR"/>
        </w:rPr>
        <w:t>Por todo lo antes expuesto</w:t>
      </w:r>
      <w:r w:rsidR="007A7D4F" w:rsidRPr="005C6CA1">
        <w:rPr>
          <w:rFonts w:ascii="Book Antiqua" w:eastAsia="Calibri" w:hAnsi="Book Antiqua" w:cs="Book Antiqua"/>
          <w:color w:val="000000"/>
          <w:szCs w:val="24"/>
          <w:lang w:val="es-PR"/>
        </w:rPr>
        <w:t>, esta Asamblea Legislativa considera que las enmiendas a la Ley</w:t>
      </w:r>
      <w:r w:rsidR="002C0FF3" w:rsidRPr="005C6CA1">
        <w:rPr>
          <w:rFonts w:ascii="Book Antiqua" w:eastAsia="Calibri" w:hAnsi="Book Antiqua" w:cs="Book Antiqua"/>
          <w:color w:val="000000"/>
          <w:szCs w:val="24"/>
          <w:lang w:val="es-PR"/>
        </w:rPr>
        <w:t xml:space="preserve"> </w:t>
      </w:r>
      <w:r w:rsidR="00B6258D">
        <w:rPr>
          <w:rFonts w:ascii="Book Antiqua" w:eastAsia="Calibri" w:hAnsi="Book Antiqua"/>
          <w:i/>
          <w:iCs/>
          <w:szCs w:val="24"/>
          <w:u w:val="single"/>
          <w:lang w:val="es-PR"/>
        </w:rPr>
        <w:t xml:space="preserve">Núm. </w:t>
      </w:r>
      <w:r w:rsidR="007A7D4F" w:rsidRPr="005C6CA1">
        <w:rPr>
          <w:rFonts w:ascii="Book Antiqua" w:eastAsia="Calibri" w:hAnsi="Book Antiqua" w:cs="Book Antiqua"/>
          <w:color w:val="000000"/>
          <w:szCs w:val="24"/>
          <w:lang w:val="es-PR"/>
        </w:rPr>
        <w:t xml:space="preserve">210-2015, son </w:t>
      </w:r>
      <w:r w:rsidR="007A7D4F" w:rsidRPr="00B3105E">
        <w:rPr>
          <w:rFonts w:ascii="Book Antiqua" w:eastAsia="Calibri" w:hAnsi="Book Antiqua" w:cs="Book Antiqua"/>
          <w:color w:val="000000"/>
          <w:szCs w:val="24"/>
          <w:lang w:val="es-PR"/>
        </w:rPr>
        <w:t>necesarias y propenden</w:t>
      </w:r>
      <w:r w:rsidR="007A7D4F" w:rsidRPr="005C6CA1">
        <w:rPr>
          <w:rFonts w:ascii="Book Antiqua" w:eastAsia="Calibri" w:hAnsi="Book Antiqua" w:cs="Book Antiqua"/>
          <w:color w:val="000000"/>
          <w:szCs w:val="24"/>
          <w:lang w:val="es-PR"/>
        </w:rPr>
        <w:t xml:space="preserve"> al mejor desempeño del Registro Inmobiliario de la Propiedad</w:t>
      </w:r>
      <w:r w:rsidR="00B3105E">
        <w:rPr>
          <w:rFonts w:ascii="Book Antiqua" w:eastAsia="Calibri" w:hAnsi="Book Antiqua" w:cs="Book Antiqua"/>
          <w:color w:val="000000"/>
          <w:szCs w:val="24"/>
          <w:lang w:val="es-PR"/>
        </w:rPr>
        <w:t xml:space="preserve"> </w:t>
      </w:r>
      <w:r w:rsidR="00B3105E">
        <w:rPr>
          <w:rFonts w:ascii="Book Antiqua" w:eastAsia="Calibri" w:hAnsi="Book Antiqua" w:cs="Book Antiqua"/>
          <w:i/>
          <w:iCs/>
          <w:color w:val="000000"/>
          <w:szCs w:val="24"/>
          <w:u w:val="single"/>
          <w:lang w:val="es-PR"/>
        </w:rPr>
        <w:t>como herramienta de desarrollo económico para Puerto Rico</w:t>
      </w:r>
      <w:r w:rsidR="007A7D4F" w:rsidRPr="005C6CA1">
        <w:rPr>
          <w:rFonts w:ascii="Book Antiqua" w:eastAsia="Calibri" w:hAnsi="Book Antiqua" w:cs="Book Antiqua"/>
          <w:color w:val="000000"/>
          <w:szCs w:val="24"/>
          <w:lang w:val="es-PR"/>
        </w:rPr>
        <w:t>.</w:t>
      </w:r>
    </w:p>
    <w:p w14:paraId="19792BF2" w14:textId="77777777" w:rsidR="007A7D4F" w:rsidRPr="005C6CA1" w:rsidRDefault="00FD373E" w:rsidP="0077386F">
      <w:pPr>
        <w:widowControl w:val="0"/>
        <w:suppressLineNumbers/>
        <w:spacing w:before="120" w:line="480" w:lineRule="auto"/>
        <w:jc w:val="both"/>
        <w:rPr>
          <w:rFonts w:ascii="Book Antiqua" w:eastAsia="Calibri" w:hAnsi="Book Antiqua"/>
          <w:b/>
          <w:bCs/>
          <w:szCs w:val="24"/>
          <w:lang w:val="es-PR"/>
        </w:rPr>
      </w:pPr>
      <w:r w:rsidRPr="005C6CA1">
        <w:rPr>
          <w:rFonts w:ascii="Book Antiqua" w:eastAsia="Calibri" w:hAnsi="Book Antiqua"/>
          <w:b/>
          <w:bCs/>
          <w:szCs w:val="24"/>
          <w:lang w:val="es-PR"/>
        </w:rPr>
        <w:br w:type="page"/>
      </w:r>
      <w:r w:rsidR="007A7D4F" w:rsidRPr="005C6CA1">
        <w:rPr>
          <w:rFonts w:ascii="Book Antiqua" w:eastAsia="Calibri" w:hAnsi="Book Antiqua"/>
          <w:b/>
          <w:bCs/>
          <w:szCs w:val="24"/>
          <w:lang w:val="es-PR"/>
        </w:rPr>
        <w:lastRenderedPageBreak/>
        <w:t>DECRÉTASE POR LA ASAMBLEA LEGISLATIVA DE PUERTO RICO:</w:t>
      </w:r>
    </w:p>
    <w:p w14:paraId="58979BB5" w14:textId="7DC50277" w:rsidR="007A7D4F" w:rsidRPr="005C6CA1" w:rsidRDefault="007A7D4F" w:rsidP="00BA3832">
      <w:pPr>
        <w:autoSpaceDE w:val="0"/>
        <w:autoSpaceDN w:val="0"/>
        <w:adjustRightInd w:val="0"/>
        <w:spacing w:line="504" w:lineRule="auto"/>
        <w:ind w:firstLine="720"/>
        <w:jc w:val="both"/>
        <w:rPr>
          <w:rFonts w:ascii="Book Antiqua" w:eastAsia="Calibri" w:hAnsi="Book Antiqua" w:cs="Book Antiqua"/>
          <w:color w:val="000000"/>
          <w:szCs w:val="24"/>
          <w:lang w:val="es-PR"/>
        </w:rPr>
      </w:pPr>
      <w:r w:rsidRPr="005C6CA1">
        <w:rPr>
          <w:rFonts w:ascii="Book Antiqua" w:eastAsia="Calibri" w:hAnsi="Book Antiqua"/>
          <w:color w:val="000000"/>
          <w:szCs w:val="24"/>
          <w:lang w:val="es-PR"/>
        </w:rPr>
        <w:t>Sección 1.- Se enmienda el Artículo 30 de la Ley</w:t>
      </w:r>
      <w:r w:rsidR="00522268">
        <w:rPr>
          <w:rFonts w:ascii="Book Antiqua" w:eastAsia="Calibri" w:hAnsi="Book Antiqua"/>
          <w:color w:val="000000"/>
          <w:szCs w:val="24"/>
          <w:lang w:val="es-PR"/>
        </w:rPr>
        <w:t xml:space="preserve"> </w:t>
      </w:r>
      <w:r w:rsidR="00522268">
        <w:rPr>
          <w:rFonts w:ascii="Book Antiqua" w:eastAsia="Calibri" w:hAnsi="Book Antiqua"/>
          <w:i/>
          <w:iCs/>
          <w:szCs w:val="24"/>
          <w:u w:val="single"/>
          <w:lang w:val="es-PR"/>
        </w:rPr>
        <w:t>Núm.</w:t>
      </w:r>
      <w:r w:rsidRPr="005C6CA1">
        <w:rPr>
          <w:rFonts w:ascii="Book Antiqua" w:eastAsia="Calibri" w:hAnsi="Book Antiqua"/>
          <w:color w:val="000000"/>
          <w:szCs w:val="24"/>
          <w:lang w:val="es-PR"/>
        </w:rPr>
        <w:t xml:space="preserve"> 210-2015, según enmendada, </w:t>
      </w:r>
      <w:r w:rsidRPr="00B6258D">
        <w:rPr>
          <w:rFonts w:ascii="Book Antiqua" w:eastAsia="Calibri" w:hAnsi="Book Antiqua" w:cs="Book Antiqua"/>
          <w:strike/>
          <w:color w:val="000000"/>
          <w:szCs w:val="24"/>
          <w:lang w:val="es-PR"/>
        </w:rPr>
        <w:t>conocida como “Ley del Registro de la Propiedad Inmobiliaria del Estado Libre Asociado de Puerto Rico”,</w:t>
      </w:r>
      <w:r w:rsidRPr="005C6CA1">
        <w:rPr>
          <w:rFonts w:ascii="Book Antiqua" w:eastAsia="Calibri" w:hAnsi="Book Antiqua" w:cs="Book Antiqua"/>
          <w:color w:val="000000"/>
          <w:szCs w:val="24"/>
          <w:lang w:val="es-PR"/>
        </w:rPr>
        <w:t xml:space="preserve"> para que </w:t>
      </w:r>
      <w:r w:rsidR="00455752" w:rsidRPr="005C6CA1">
        <w:rPr>
          <w:rFonts w:ascii="Book Antiqua" w:eastAsia="Calibri" w:hAnsi="Book Antiqua" w:cs="Book Antiqua"/>
          <w:i/>
          <w:iCs/>
          <w:color w:val="000000"/>
          <w:szCs w:val="24"/>
          <w:u w:val="single"/>
          <w:lang w:val="es-PR"/>
        </w:rPr>
        <w:t xml:space="preserve">se </w:t>
      </w:r>
      <w:r w:rsidRPr="005C6CA1">
        <w:rPr>
          <w:rFonts w:ascii="Book Antiqua" w:eastAsia="Calibri" w:hAnsi="Book Antiqua" w:cs="Book Antiqua"/>
          <w:color w:val="000000"/>
          <w:szCs w:val="24"/>
          <w:lang w:val="es-PR"/>
        </w:rPr>
        <w:t>lea como sigue:</w:t>
      </w:r>
    </w:p>
    <w:p w14:paraId="4B3D62D1" w14:textId="77777777" w:rsidR="007A7D4F" w:rsidRPr="005C6CA1" w:rsidRDefault="0077386F" w:rsidP="00BA3832">
      <w:pPr>
        <w:autoSpaceDE w:val="0"/>
        <w:autoSpaceDN w:val="0"/>
        <w:adjustRightInd w:val="0"/>
        <w:spacing w:line="504" w:lineRule="auto"/>
        <w:ind w:left="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“Artículo 30.</w:t>
      </w:r>
      <w:r w:rsidR="007A7D4F" w:rsidRPr="005C6CA1">
        <w:rPr>
          <w:rFonts w:ascii="Book Antiqua" w:eastAsia="Calibri" w:hAnsi="Book Antiqua"/>
          <w:color w:val="000000"/>
          <w:szCs w:val="24"/>
          <w:lang w:val="es-PR"/>
        </w:rPr>
        <w:t>-</w:t>
      </w:r>
      <w:r w:rsidRPr="005C6CA1">
        <w:rPr>
          <w:rFonts w:ascii="Book Antiqua" w:eastAsia="Calibri" w:hAnsi="Book Antiqua"/>
          <w:color w:val="000000"/>
          <w:szCs w:val="24"/>
          <w:lang w:val="es-PR"/>
        </w:rPr>
        <w:t xml:space="preserve"> </w:t>
      </w:r>
      <w:r w:rsidR="007A7D4F" w:rsidRPr="005C6CA1">
        <w:rPr>
          <w:rFonts w:ascii="Book Antiqua" w:eastAsia="Calibri" w:hAnsi="Book Antiqua"/>
          <w:color w:val="000000"/>
          <w:szCs w:val="24"/>
          <w:lang w:val="es-PR"/>
        </w:rPr>
        <w:t xml:space="preserve">División y adjudicación de </w:t>
      </w:r>
      <w:r w:rsidR="007A7D4F" w:rsidRPr="005C6CA1">
        <w:rPr>
          <w:rFonts w:ascii="Book Antiqua" w:eastAsia="Calibri" w:hAnsi="Book Antiqua"/>
          <w:szCs w:val="24"/>
          <w:lang w:val="es-PR"/>
        </w:rPr>
        <w:t>derechos y acciones en</w:t>
      </w:r>
      <w:r w:rsidR="00490926" w:rsidRPr="005C6CA1">
        <w:rPr>
          <w:rFonts w:ascii="Book Antiqua" w:eastAsia="Calibri" w:hAnsi="Book Antiqua"/>
          <w:szCs w:val="24"/>
          <w:lang w:val="es-PR"/>
        </w:rPr>
        <w:t xml:space="preserve"> </w:t>
      </w:r>
      <w:r w:rsidR="007A7D4F" w:rsidRPr="005C6CA1">
        <w:rPr>
          <w:rFonts w:ascii="Book Antiqua" w:eastAsia="Calibri" w:hAnsi="Book Antiqua"/>
          <w:color w:val="000000"/>
          <w:szCs w:val="24"/>
          <w:lang w:val="es-PR"/>
        </w:rPr>
        <w:t>bienes gananciales</w:t>
      </w:r>
      <w:r w:rsidR="0015310E" w:rsidRPr="005C6CA1">
        <w:rPr>
          <w:rFonts w:ascii="Book Antiqua" w:eastAsia="Calibri" w:hAnsi="Book Antiqua"/>
          <w:color w:val="000000"/>
          <w:szCs w:val="24"/>
          <w:lang w:val="es-PR"/>
        </w:rPr>
        <w:t>.</w:t>
      </w:r>
    </w:p>
    <w:p w14:paraId="0D04D3A1" w14:textId="77777777" w:rsidR="007A7D4F" w:rsidRPr="005C6CA1" w:rsidRDefault="007A7D4F" w:rsidP="00BA3832">
      <w:pPr>
        <w:autoSpaceDE w:val="0"/>
        <w:autoSpaceDN w:val="0"/>
        <w:adjustRightInd w:val="0"/>
        <w:spacing w:line="504"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 xml:space="preserve">Para transferir parte de la titularidad de un bien inmueble perteneciente a </w:t>
      </w:r>
      <w:r w:rsidRPr="005C6CA1">
        <w:rPr>
          <w:rFonts w:ascii="Book Antiqua" w:eastAsia="Calibri" w:hAnsi="Book Antiqua"/>
          <w:szCs w:val="24"/>
          <w:lang w:val="es-PR"/>
        </w:rPr>
        <w:t>titulares casados entre sí bajo el régimen económico de la sociedad legal de bienes gananciales lue</w:t>
      </w:r>
      <w:r w:rsidRPr="005C6CA1">
        <w:rPr>
          <w:rFonts w:ascii="Book Antiqua" w:eastAsia="Calibri" w:hAnsi="Book Antiqua"/>
          <w:color w:val="000000"/>
          <w:szCs w:val="24"/>
          <w:lang w:val="es-PR"/>
        </w:rPr>
        <w:t xml:space="preserve">go de </w:t>
      </w:r>
      <w:r w:rsidRPr="005C6CA1">
        <w:rPr>
          <w:rFonts w:ascii="Book Antiqua" w:eastAsia="Calibri" w:hAnsi="Book Antiqua"/>
          <w:szCs w:val="24"/>
          <w:lang w:val="es-PR"/>
        </w:rPr>
        <w:t>disuelta dicha sociedad</w:t>
      </w:r>
      <w:r w:rsidRPr="005C6CA1">
        <w:rPr>
          <w:rFonts w:ascii="Book Antiqua" w:eastAsia="Calibri" w:hAnsi="Book Antiqua"/>
          <w:color w:val="000000"/>
          <w:szCs w:val="24"/>
          <w:lang w:val="es-PR"/>
        </w:rPr>
        <w:t xml:space="preserve">, no será requisito la </w:t>
      </w:r>
      <w:r w:rsidRPr="005C6CA1">
        <w:rPr>
          <w:rFonts w:ascii="Book Antiqua" w:eastAsia="Calibri" w:hAnsi="Book Antiqua"/>
          <w:szCs w:val="24"/>
          <w:lang w:val="es-PR"/>
        </w:rPr>
        <w:t xml:space="preserve">previa </w:t>
      </w:r>
      <w:r w:rsidRPr="005C6CA1">
        <w:rPr>
          <w:rFonts w:ascii="Book Antiqua" w:eastAsia="Calibri" w:hAnsi="Book Antiqua"/>
          <w:color w:val="000000"/>
          <w:szCs w:val="24"/>
          <w:lang w:val="es-PR"/>
        </w:rPr>
        <w:t xml:space="preserve">división y adjudicación </w:t>
      </w:r>
      <w:r w:rsidRPr="005C6CA1">
        <w:rPr>
          <w:rFonts w:ascii="Book Antiqua" w:eastAsia="Calibri" w:hAnsi="Book Antiqua"/>
          <w:szCs w:val="24"/>
          <w:lang w:val="es-PR"/>
        </w:rPr>
        <w:t>del</w:t>
      </w:r>
      <w:r w:rsidRPr="005C6CA1">
        <w:rPr>
          <w:rFonts w:ascii="Book Antiqua" w:eastAsia="Calibri" w:hAnsi="Book Antiqua"/>
          <w:color w:val="000000"/>
          <w:szCs w:val="24"/>
          <w:lang w:val="es-PR"/>
        </w:rPr>
        <w:t xml:space="preserve"> inmueble entre </w:t>
      </w:r>
      <w:r w:rsidRPr="005C6CA1">
        <w:rPr>
          <w:rFonts w:ascii="Book Antiqua" w:eastAsia="Calibri" w:hAnsi="Book Antiqua"/>
          <w:szCs w:val="24"/>
          <w:lang w:val="es-PR"/>
        </w:rPr>
        <w:t>dichos titulares,</w:t>
      </w:r>
      <w:r w:rsidRPr="005C6CA1">
        <w:rPr>
          <w:rFonts w:ascii="Book Antiqua" w:eastAsia="Calibri" w:hAnsi="Book Antiqua"/>
          <w:color w:val="FF0000"/>
          <w:szCs w:val="24"/>
          <w:lang w:val="es-PR"/>
        </w:rPr>
        <w:t xml:space="preserve"> </w:t>
      </w:r>
      <w:r w:rsidRPr="005C6CA1">
        <w:rPr>
          <w:rFonts w:ascii="Book Antiqua" w:eastAsia="Calibri" w:hAnsi="Book Antiqua"/>
          <w:color w:val="000000"/>
          <w:szCs w:val="24"/>
          <w:lang w:val="es-PR"/>
        </w:rPr>
        <w:t>para que se inscriba a nombre de la parte interesada</w:t>
      </w:r>
      <w:r w:rsidRPr="005C6CA1">
        <w:rPr>
          <w:rFonts w:ascii="Book Antiqua" w:eastAsia="Calibri" w:hAnsi="Book Antiqua"/>
          <w:szCs w:val="24"/>
          <w:lang w:val="es-PR"/>
        </w:rPr>
        <w:t xml:space="preserve"> cualquier derecho o acción así cedido.</w:t>
      </w:r>
    </w:p>
    <w:p w14:paraId="0D3789F4" w14:textId="77777777" w:rsidR="007A7D4F" w:rsidRPr="005C6CA1" w:rsidRDefault="007A7D4F" w:rsidP="00BA3832">
      <w:pPr>
        <w:autoSpaceDE w:val="0"/>
        <w:autoSpaceDN w:val="0"/>
        <w:adjustRightInd w:val="0"/>
        <w:spacing w:line="504"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 xml:space="preserve">La inscripción de los derechos o acciones cedidas procederá mediante la presentación de un documento judicial, o mediante la presentación de </w:t>
      </w:r>
      <w:r w:rsidR="00633DF2" w:rsidRPr="005C6CA1">
        <w:rPr>
          <w:rFonts w:ascii="Book Antiqua" w:eastAsia="Calibri" w:hAnsi="Book Antiqua"/>
          <w:color w:val="000000"/>
          <w:szCs w:val="24"/>
          <w:lang w:val="es-PR"/>
        </w:rPr>
        <w:t>una escritura pública suscrita</w:t>
      </w:r>
      <w:r w:rsidRPr="005C6CA1">
        <w:rPr>
          <w:rFonts w:ascii="Book Antiqua" w:eastAsia="Calibri" w:hAnsi="Book Antiqua"/>
          <w:color w:val="000000"/>
          <w:szCs w:val="24"/>
          <w:lang w:val="es-PR"/>
        </w:rPr>
        <w:t xml:space="preserve"> por </w:t>
      </w:r>
      <w:r w:rsidR="008A53AF" w:rsidRPr="005C6CA1">
        <w:rPr>
          <w:rFonts w:ascii="Book Antiqua" w:eastAsia="Calibri" w:hAnsi="Book Antiqua"/>
          <w:color w:val="000000"/>
          <w:szCs w:val="24"/>
          <w:lang w:val="es-PR"/>
        </w:rPr>
        <w:t>ambas partes, o por el funcionario autorizado por el tribunal en sustitución de cualquiera de ellos, a esos efectos</w:t>
      </w:r>
      <w:r w:rsidRPr="005C6CA1">
        <w:rPr>
          <w:rFonts w:ascii="Book Antiqua" w:eastAsia="Calibri" w:hAnsi="Book Antiqua"/>
          <w:color w:val="000000"/>
          <w:szCs w:val="24"/>
          <w:lang w:val="es-PR"/>
        </w:rPr>
        <w:t xml:space="preserve">. En el documento que se presente se expresará claramente el nombre y circunstancias personales de la parte cesionaria, la descripción y los datos registrales de la finca, así como el valor de la cesión, sin expresión particular de cuotas específicas o fracciones de dominio, a menos que </w:t>
      </w:r>
      <w:r w:rsidR="0015310E" w:rsidRPr="005C6CA1">
        <w:rPr>
          <w:rFonts w:ascii="Book Antiqua" w:eastAsia="Calibri" w:hAnsi="Book Antiqua"/>
          <w:color w:val="000000"/>
          <w:szCs w:val="24"/>
          <w:lang w:val="es-PR"/>
        </w:rPr>
        <w:t>e</w:t>
      </w:r>
      <w:r w:rsidRPr="005C6CA1">
        <w:rPr>
          <w:rFonts w:ascii="Book Antiqua" w:eastAsia="Calibri" w:hAnsi="Book Antiqua"/>
          <w:color w:val="000000"/>
          <w:szCs w:val="24"/>
          <w:lang w:val="es-PR"/>
        </w:rPr>
        <w:t>stas ya surjan de las constancias del Registro.”</w:t>
      </w:r>
    </w:p>
    <w:p w14:paraId="26B40D8A" w14:textId="2301D502" w:rsidR="007A7D4F" w:rsidRPr="005C6CA1" w:rsidRDefault="007A7D4F" w:rsidP="00BA3832">
      <w:pPr>
        <w:autoSpaceDE w:val="0"/>
        <w:autoSpaceDN w:val="0"/>
        <w:adjustRightInd w:val="0"/>
        <w:spacing w:line="504" w:lineRule="auto"/>
        <w:ind w:firstLine="720"/>
        <w:jc w:val="both"/>
        <w:rPr>
          <w:rFonts w:ascii="Book Antiqua" w:eastAsia="Calibri" w:hAnsi="Book Antiqua" w:cs="Book Antiqua"/>
          <w:color w:val="000000"/>
          <w:szCs w:val="24"/>
          <w:lang w:val="es-PR"/>
        </w:rPr>
      </w:pPr>
      <w:r w:rsidRPr="005C6CA1">
        <w:rPr>
          <w:rFonts w:ascii="Book Antiqua" w:eastAsia="Calibri" w:hAnsi="Book Antiqua"/>
          <w:color w:val="000000"/>
          <w:szCs w:val="24"/>
          <w:lang w:val="es-PR"/>
        </w:rPr>
        <w:lastRenderedPageBreak/>
        <w:t xml:space="preserve">Sección </w:t>
      </w:r>
      <w:r w:rsidR="00446538" w:rsidRPr="005C6CA1">
        <w:rPr>
          <w:rFonts w:ascii="Book Antiqua" w:eastAsia="Calibri" w:hAnsi="Book Antiqua"/>
          <w:color w:val="000000"/>
          <w:szCs w:val="24"/>
          <w:lang w:val="es-PR"/>
        </w:rPr>
        <w:t>2</w:t>
      </w:r>
      <w:r w:rsidRPr="005C6CA1">
        <w:rPr>
          <w:rFonts w:ascii="Book Antiqua" w:eastAsia="Calibri" w:hAnsi="Book Antiqua"/>
          <w:color w:val="000000"/>
          <w:szCs w:val="24"/>
          <w:lang w:val="es-PR"/>
        </w:rPr>
        <w:t>.- Se enmienda el Artículo 107 de la Ley</w:t>
      </w:r>
      <w:r w:rsidRPr="005C6CA1">
        <w:rPr>
          <w:rFonts w:ascii="Book Antiqua" w:eastAsia="Calibri" w:hAnsi="Book Antiqua"/>
          <w:szCs w:val="24"/>
          <w:lang w:val="es-PR"/>
        </w:rPr>
        <w:t xml:space="preserve"> </w:t>
      </w:r>
      <w:r w:rsidR="006760A0">
        <w:rPr>
          <w:rFonts w:ascii="Book Antiqua" w:eastAsia="Calibri" w:hAnsi="Book Antiqua"/>
          <w:i/>
          <w:iCs/>
          <w:szCs w:val="24"/>
          <w:u w:val="single"/>
          <w:lang w:val="es-PR"/>
        </w:rPr>
        <w:t>Núm.</w:t>
      </w:r>
      <w:r w:rsidR="006760A0" w:rsidRPr="006760A0">
        <w:rPr>
          <w:rFonts w:ascii="Book Antiqua" w:eastAsia="Calibri" w:hAnsi="Book Antiqua"/>
          <w:szCs w:val="24"/>
          <w:lang w:val="es-PR"/>
        </w:rPr>
        <w:t xml:space="preserve"> </w:t>
      </w:r>
      <w:r w:rsidRPr="005C6CA1">
        <w:rPr>
          <w:rFonts w:ascii="Book Antiqua" w:eastAsia="Calibri" w:hAnsi="Book Antiqua"/>
          <w:color w:val="000000"/>
          <w:szCs w:val="24"/>
          <w:lang w:val="es-PR"/>
        </w:rPr>
        <w:t xml:space="preserve">210-2015, según enmendada, </w:t>
      </w:r>
      <w:r w:rsidRPr="003B790E">
        <w:rPr>
          <w:rFonts w:ascii="Book Antiqua" w:eastAsia="Calibri" w:hAnsi="Book Antiqua" w:cs="Book Antiqua"/>
          <w:strike/>
          <w:color w:val="000000"/>
          <w:szCs w:val="24"/>
          <w:lang w:val="es-PR"/>
        </w:rPr>
        <w:t>conocida como “Ley del Registro de la Propiedad Inmobiliaria del Estado Libre Asociado de Puerto Rico”,</w:t>
      </w:r>
      <w:r w:rsidRPr="005C6CA1">
        <w:rPr>
          <w:rFonts w:ascii="Book Antiqua" w:eastAsia="Calibri" w:hAnsi="Book Antiqua" w:cs="Book Antiqua"/>
          <w:color w:val="000000"/>
          <w:szCs w:val="24"/>
          <w:lang w:val="es-PR"/>
        </w:rPr>
        <w:t xml:space="preserve"> para que </w:t>
      </w:r>
      <w:r w:rsidR="00455752" w:rsidRPr="005C6CA1">
        <w:rPr>
          <w:rFonts w:ascii="Book Antiqua" w:eastAsia="Calibri" w:hAnsi="Book Antiqua" w:cs="Book Antiqua"/>
          <w:i/>
          <w:iCs/>
          <w:color w:val="000000"/>
          <w:szCs w:val="24"/>
          <w:u w:val="single"/>
          <w:lang w:val="es-PR"/>
        </w:rPr>
        <w:t>se</w:t>
      </w:r>
      <w:r w:rsidR="00455752" w:rsidRPr="005C6CA1">
        <w:rPr>
          <w:rFonts w:ascii="Book Antiqua" w:eastAsia="Calibri" w:hAnsi="Book Antiqua" w:cs="Book Antiqua"/>
          <w:color w:val="000000"/>
          <w:szCs w:val="24"/>
          <w:lang w:val="es-PR"/>
        </w:rPr>
        <w:t xml:space="preserve"> </w:t>
      </w:r>
      <w:r w:rsidRPr="005C6CA1">
        <w:rPr>
          <w:rFonts w:ascii="Book Antiqua" w:eastAsia="Calibri" w:hAnsi="Book Antiqua" w:cs="Book Antiqua"/>
          <w:color w:val="000000"/>
          <w:szCs w:val="24"/>
          <w:lang w:val="es-PR"/>
        </w:rPr>
        <w:t>lea como sigue:</w:t>
      </w:r>
    </w:p>
    <w:p w14:paraId="64782DF0" w14:textId="77777777" w:rsidR="007A7D4F" w:rsidRPr="005C6CA1" w:rsidRDefault="007A7D4F" w:rsidP="00BA3832">
      <w:pPr>
        <w:autoSpaceDE w:val="0"/>
        <w:autoSpaceDN w:val="0"/>
        <w:adjustRightInd w:val="0"/>
        <w:spacing w:line="480" w:lineRule="auto"/>
        <w:ind w:left="720"/>
        <w:jc w:val="both"/>
        <w:rPr>
          <w:rFonts w:ascii="Book Antiqua" w:eastAsia="Calibri" w:hAnsi="Book Antiqua"/>
          <w:color w:val="000000"/>
          <w:szCs w:val="24"/>
          <w:lang w:val="es-PR"/>
        </w:rPr>
      </w:pPr>
      <w:r w:rsidRPr="005C6CA1">
        <w:rPr>
          <w:rFonts w:ascii="Book Antiqua" w:eastAsia="Calibri" w:hAnsi="Book Antiqua"/>
          <w:b/>
          <w:color w:val="000000"/>
          <w:szCs w:val="24"/>
          <w:lang w:val="es-PR"/>
        </w:rPr>
        <w:t>“</w:t>
      </w:r>
      <w:r w:rsidR="0077386F" w:rsidRPr="005C6CA1">
        <w:rPr>
          <w:rFonts w:ascii="Book Antiqua" w:eastAsia="Calibri" w:hAnsi="Book Antiqua"/>
          <w:color w:val="000000"/>
          <w:szCs w:val="24"/>
          <w:lang w:val="es-PR"/>
        </w:rPr>
        <w:t>Artículo 107.</w:t>
      </w:r>
      <w:r w:rsidRPr="005C6CA1">
        <w:rPr>
          <w:rFonts w:ascii="Book Antiqua" w:eastAsia="Calibri" w:hAnsi="Book Antiqua"/>
          <w:color w:val="000000"/>
          <w:szCs w:val="24"/>
          <w:lang w:val="es-PR"/>
        </w:rPr>
        <w:t>-</w:t>
      </w:r>
      <w:r w:rsidR="0077386F" w:rsidRPr="005C6CA1">
        <w:rPr>
          <w:rFonts w:ascii="Book Antiqua" w:eastAsia="Calibri" w:hAnsi="Book Antiqua"/>
          <w:color w:val="000000"/>
          <w:szCs w:val="24"/>
          <w:lang w:val="es-PR"/>
        </w:rPr>
        <w:t xml:space="preserve"> </w:t>
      </w:r>
      <w:r w:rsidRPr="005C6CA1">
        <w:rPr>
          <w:rFonts w:ascii="Book Antiqua" w:eastAsia="Calibri" w:hAnsi="Book Antiqua"/>
          <w:color w:val="000000"/>
          <w:szCs w:val="24"/>
          <w:lang w:val="es-PR"/>
        </w:rPr>
        <w:t>Subasta; procedimientos posteriores; confirmación de la adjudicación; no confirmación y efecto</w:t>
      </w:r>
      <w:r w:rsidR="0015310E" w:rsidRPr="005C6CA1">
        <w:rPr>
          <w:rFonts w:ascii="Book Antiqua" w:eastAsia="Calibri" w:hAnsi="Book Antiqua"/>
          <w:color w:val="000000"/>
          <w:szCs w:val="24"/>
          <w:lang w:val="es-PR"/>
        </w:rPr>
        <w:t>.</w:t>
      </w:r>
    </w:p>
    <w:p w14:paraId="718742FA" w14:textId="085F1C27" w:rsidR="007A7D4F" w:rsidRPr="005C6CA1" w:rsidRDefault="007A7D4F" w:rsidP="00BA3832">
      <w:pPr>
        <w:autoSpaceDE w:val="0"/>
        <w:autoSpaceDN w:val="0"/>
        <w:adjustRightInd w:val="0"/>
        <w:spacing w:line="480"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 xml:space="preserve">Celebrada la subasta, el alguacil devolverá a la Secretaría del Tribunal el mandamiento y el acta junto con el edicto y demás documentos relativos a la subasta, incluyendo cualquier objeción al procedimiento hecho durante el mismo. El secretario pasará inmediatamente al tribunal todo el expediente del procedimiento y </w:t>
      </w:r>
      <w:r w:rsidR="000F3D48" w:rsidRPr="005C6CA1">
        <w:rPr>
          <w:rFonts w:ascii="Book Antiqua" w:eastAsia="Calibri" w:hAnsi="Book Antiqua"/>
          <w:color w:val="000000"/>
          <w:szCs w:val="24"/>
          <w:lang w:val="es-PR"/>
        </w:rPr>
        <w:t xml:space="preserve">este </w:t>
      </w:r>
      <w:r w:rsidRPr="005C6CA1">
        <w:rPr>
          <w:rFonts w:ascii="Book Antiqua" w:eastAsia="Calibri" w:hAnsi="Book Antiqua"/>
          <w:color w:val="000000"/>
          <w:szCs w:val="24"/>
          <w:lang w:val="es-PR"/>
        </w:rPr>
        <w:t>dentro de un término que no excederá de diez (10) días lo examinará para cerciorarse que en todos los trámites del procedimiento se cumplieron con todos los requisitos señalados en este Subtítulo, y así lo determinará. A petición de parte, el tribunal dictará una orden confirmando la adjudicación o venta de los bienes hipotecados</w:t>
      </w:r>
      <w:r w:rsidRPr="003039D0">
        <w:rPr>
          <w:rFonts w:ascii="Book Antiqua" w:eastAsia="Calibri" w:hAnsi="Book Antiqua"/>
          <w:strike/>
          <w:color w:val="000000"/>
          <w:szCs w:val="24"/>
          <w:lang w:val="es-PR"/>
        </w:rPr>
        <w:t>, sin la cual</w:t>
      </w:r>
      <w:r w:rsidR="0087011F">
        <w:rPr>
          <w:rFonts w:ascii="Book Antiqua" w:eastAsia="Calibri" w:hAnsi="Book Antiqua"/>
          <w:i/>
          <w:iCs/>
          <w:color w:val="000000"/>
          <w:szCs w:val="24"/>
          <w:u w:val="single"/>
          <w:lang w:val="es-PR"/>
        </w:rPr>
        <w:t>. Sin</w:t>
      </w:r>
      <w:r w:rsidRPr="0087011F">
        <w:rPr>
          <w:rFonts w:ascii="Book Antiqua" w:eastAsia="Calibri" w:hAnsi="Book Antiqua"/>
          <w:i/>
          <w:iCs/>
          <w:color w:val="000000"/>
          <w:szCs w:val="24"/>
          <w:u w:val="single"/>
          <w:lang w:val="es-PR"/>
        </w:rPr>
        <w:t xml:space="preserve"> </w:t>
      </w:r>
      <w:r w:rsidR="0087011F">
        <w:rPr>
          <w:rFonts w:ascii="Book Antiqua" w:eastAsia="Calibri" w:hAnsi="Book Antiqua"/>
          <w:i/>
          <w:iCs/>
          <w:color w:val="000000"/>
          <w:szCs w:val="24"/>
          <w:u w:val="single"/>
          <w:lang w:val="es-PR"/>
        </w:rPr>
        <w:t>esta orden</w:t>
      </w:r>
      <w:r w:rsidR="00B3105E" w:rsidRPr="004F39FB">
        <w:rPr>
          <w:rFonts w:ascii="Book Antiqua" w:eastAsia="Calibri" w:hAnsi="Book Antiqua"/>
          <w:color w:val="000000"/>
          <w:szCs w:val="24"/>
          <w:lang w:val="es-PR"/>
        </w:rPr>
        <w:t xml:space="preserve"> </w:t>
      </w:r>
      <w:r w:rsidRPr="005C6CA1">
        <w:rPr>
          <w:rFonts w:ascii="Book Antiqua" w:eastAsia="Calibri" w:hAnsi="Book Antiqua"/>
          <w:color w:val="000000"/>
          <w:szCs w:val="24"/>
          <w:lang w:val="es-PR"/>
        </w:rPr>
        <w:t xml:space="preserve">no </w:t>
      </w:r>
      <w:r w:rsidR="001828DE" w:rsidRPr="00B3105E">
        <w:rPr>
          <w:rFonts w:ascii="Book Antiqua" w:eastAsia="Calibri" w:hAnsi="Book Antiqua"/>
          <w:strike/>
          <w:color w:val="000000"/>
          <w:szCs w:val="24"/>
          <w:lang w:val="es-PR"/>
        </w:rPr>
        <w:t>se podrá autorizar la escritura de venta judicial ni</w:t>
      </w:r>
      <w:r w:rsidR="001828DE" w:rsidRPr="005C6CA1">
        <w:rPr>
          <w:rFonts w:ascii="Book Antiqua" w:eastAsia="Calibri" w:hAnsi="Book Antiqua"/>
          <w:color w:val="000000"/>
          <w:szCs w:val="24"/>
          <w:lang w:val="es-PR"/>
        </w:rPr>
        <w:t xml:space="preserve"> </w:t>
      </w:r>
      <w:r w:rsidRPr="005C6CA1">
        <w:rPr>
          <w:rFonts w:ascii="Book Antiqua" w:eastAsia="Calibri" w:hAnsi="Book Antiqua"/>
          <w:color w:val="000000"/>
          <w:szCs w:val="24"/>
          <w:lang w:val="es-PR"/>
        </w:rPr>
        <w:t>será inscribible en el Registro de la Propiedad la adjudicación o venta</w:t>
      </w:r>
      <w:r w:rsidRPr="00B3105E">
        <w:rPr>
          <w:rFonts w:ascii="Book Antiqua" w:eastAsia="Calibri" w:hAnsi="Book Antiqua"/>
          <w:strike/>
          <w:szCs w:val="24"/>
          <w:lang w:val="es-PR"/>
        </w:rPr>
        <w:t>, y cuyo</w:t>
      </w:r>
      <w:r w:rsidR="00B3105E">
        <w:rPr>
          <w:rFonts w:ascii="Book Antiqua" w:eastAsia="Calibri" w:hAnsi="Book Antiqua"/>
          <w:i/>
          <w:iCs/>
          <w:szCs w:val="24"/>
          <w:u w:val="single"/>
          <w:lang w:val="es-PR"/>
        </w:rPr>
        <w:t>.</w:t>
      </w:r>
      <w:r w:rsidRPr="005C6CA1">
        <w:rPr>
          <w:rFonts w:ascii="Book Antiqua" w:eastAsia="Calibri" w:hAnsi="Book Antiqua"/>
          <w:szCs w:val="24"/>
          <w:lang w:val="es-PR"/>
        </w:rPr>
        <w:t xml:space="preserve"> </w:t>
      </w:r>
      <w:r w:rsidR="00B3105E">
        <w:rPr>
          <w:rFonts w:ascii="Book Antiqua" w:eastAsia="Calibri" w:hAnsi="Book Antiqua"/>
          <w:i/>
          <w:iCs/>
          <w:szCs w:val="24"/>
          <w:u w:val="single"/>
          <w:lang w:val="es-PR"/>
        </w:rPr>
        <w:t>El</w:t>
      </w:r>
      <w:r w:rsidR="00B3105E" w:rsidRPr="00B3105E">
        <w:rPr>
          <w:rFonts w:ascii="Book Antiqua" w:eastAsia="Calibri" w:hAnsi="Book Antiqua"/>
          <w:i/>
          <w:iCs/>
          <w:szCs w:val="24"/>
          <w:lang w:val="es-PR"/>
        </w:rPr>
        <w:t xml:space="preserve"> </w:t>
      </w:r>
      <w:r w:rsidRPr="005C6CA1">
        <w:rPr>
          <w:rFonts w:ascii="Book Antiqua" w:eastAsia="Calibri" w:hAnsi="Book Antiqua"/>
          <w:szCs w:val="24"/>
          <w:lang w:val="es-PR"/>
        </w:rPr>
        <w:t>contenido</w:t>
      </w:r>
      <w:r w:rsidR="00B3105E">
        <w:rPr>
          <w:rFonts w:ascii="Book Antiqua" w:eastAsia="Calibri" w:hAnsi="Book Antiqua"/>
          <w:szCs w:val="24"/>
          <w:lang w:val="es-PR"/>
        </w:rPr>
        <w:t xml:space="preserve"> </w:t>
      </w:r>
      <w:r w:rsidR="00B3105E">
        <w:rPr>
          <w:rFonts w:ascii="Book Antiqua" w:eastAsia="Calibri" w:hAnsi="Book Antiqua"/>
          <w:i/>
          <w:iCs/>
          <w:szCs w:val="24"/>
          <w:lang w:val="es-PR"/>
        </w:rPr>
        <w:t xml:space="preserve">de esta </w:t>
      </w:r>
      <w:r w:rsidR="00464262">
        <w:rPr>
          <w:rFonts w:ascii="Book Antiqua" w:eastAsia="Calibri" w:hAnsi="Book Antiqua"/>
          <w:i/>
          <w:iCs/>
          <w:szCs w:val="24"/>
          <w:lang w:val="es-PR"/>
        </w:rPr>
        <w:t>o</w:t>
      </w:r>
      <w:r w:rsidR="00B3105E">
        <w:rPr>
          <w:rFonts w:ascii="Book Antiqua" w:eastAsia="Calibri" w:hAnsi="Book Antiqua"/>
          <w:i/>
          <w:iCs/>
          <w:szCs w:val="24"/>
          <w:lang w:val="es-PR"/>
        </w:rPr>
        <w:t>rden</w:t>
      </w:r>
      <w:r w:rsidRPr="005C6CA1">
        <w:rPr>
          <w:rFonts w:ascii="Book Antiqua" w:eastAsia="Calibri" w:hAnsi="Book Antiqua"/>
          <w:szCs w:val="24"/>
          <w:lang w:val="es-PR"/>
        </w:rPr>
        <w:t xml:space="preserve"> se establecerá por reglamento</w:t>
      </w:r>
      <w:r w:rsidR="00B3105E">
        <w:rPr>
          <w:rFonts w:ascii="Book Antiqua" w:eastAsia="Calibri" w:hAnsi="Book Antiqua"/>
          <w:szCs w:val="24"/>
          <w:lang w:val="es-PR"/>
        </w:rPr>
        <w:t xml:space="preserve"> </w:t>
      </w:r>
      <w:r w:rsidR="00B3105E">
        <w:rPr>
          <w:rFonts w:ascii="Book Antiqua" w:eastAsia="Calibri" w:hAnsi="Book Antiqua"/>
          <w:i/>
          <w:iCs/>
          <w:szCs w:val="24"/>
          <w:u w:val="single"/>
          <w:lang w:val="es-PR"/>
        </w:rPr>
        <w:t>de la Oficina de Administración de los Tribunales</w:t>
      </w:r>
      <w:proofErr w:type="gramStart"/>
      <w:r w:rsidRPr="005C6CA1">
        <w:rPr>
          <w:rFonts w:ascii="Book Antiqua" w:eastAsia="Calibri" w:hAnsi="Book Antiqua"/>
          <w:color w:val="000000"/>
          <w:szCs w:val="24"/>
          <w:lang w:val="es-PR"/>
        </w:rPr>
        <w:t>. ”</w:t>
      </w:r>
      <w:proofErr w:type="gramEnd"/>
    </w:p>
    <w:p w14:paraId="6D215526" w14:textId="3000FFE0" w:rsidR="000F3D48" w:rsidRPr="005C6CA1" w:rsidRDefault="000F3D48" w:rsidP="00BA3832">
      <w:pPr>
        <w:autoSpaceDE w:val="0"/>
        <w:autoSpaceDN w:val="0"/>
        <w:adjustRightInd w:val="0"/>
        <w:spacing w:line="480" w:lineRule="auto"/>
        <w:ind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 xml:space="preserve">Sección </w:t>
      </w:r>
      <w:r w:rsidR="00446538" w:rsidRPr="005C6CA1">
        <w:rPr>
          <w:rFonts w:ascii="Book Antiqua" w:eastAsia="Calibri" w:hAnsi="Book Antiqua"/>
          <w:color w:val="000000"/>
          <w:szCs w:val="24"/>
          <w:lang w:val="es-PR"/>
        </w:rPr>
        <w:t>3</w:t>
      </w:r>
      <w:r w:rsidRPr="005C6CA1">
        <w:rPr>
          <w:rFonts w:ascii="Book Antiqua" w:eastAsia="Calibri" w:hAnsi="Book Antiqua"/>
          <w:color w:val="000000"/>
          <w:szCs w:val="24"/>
          <w:lang w:val="es-PR"/>
        </w:rPr>
        <w:t xml:space="preserve">. – Se enmienda el Artículo 132 de la Ley </w:t>
      </w:r>
      <w:r w:rsidR="009B5002">
        <w:rPr>
          <w:rFonts w:ascii="Book Antiqua" w:eastAsia="Calibri" w:hAnsi="Book Antiqua"/>
          <w:i/>
          <w:iCs/>
          <w:szCs w:val="24"/>
          <w:u w:val="single"/>
          <w:lang w:val="es-PR"/>
        </w:rPr>
        <w:t>Núm.</w:t>
      </w:r>
      <w:r w:rsidR="009B5002" w:rsidRPr="009B5002">
        <w:rPr>
          <w:rFonts w:ascii="Book Antiqua" w:eastAsia="Calibri" w:hAnsi="Book Antiqua"/>
          <w:szCs w:val="24"/>
          <w:lang w:val="es-PR"/>
        </w:rPr>
        <w:t xml:space="preserve"> </w:t>
      </w:r>
      <w:r w:rsidRPr="005C6CA1">
        <w:rPr>
          <w:rFonts w:ascii="Book Antiqua" w:eastAsia="Calibri" w:hAnsi="Book Antiqua"/>
          <w:color w:val="000000"/>
          <w:szCs w:val="24"/>
          <w:lang w:val="es-PR"/>
        </w:rPr>
        <w:t xml:space="preserve">210-2015, según enmendada, </w:t>
      </w:r>
      <w:r w:rsidRPr="009B5002">
        <w:rPr>
          <w:rFonts w:ascii="Book Antiqua" w:eastAsia="Calibri" w:hAnsi="Book Antiqua"/>
          <w:strike/>
          <w:color w:val="000000"/>
          <w:szCs w:val="24"/>
          <w:lang w:val="es-PR"/>
        </w:rPr>
        <w:t xml:space="preserve">conocida como “Ley </w:t>
      </w:r>
      <w:r w:rsidR="0015310E" w:rsidRPr="009B5002">
        <w:rPr>
          <w:rFonts w:ascii="Book Antiqua" w:eastAsia="Calibri" w:hAnsi="Book Antiqua"/>
          <w:strike/>
          <w:color w:val="000000"/>
          <w:szCs w:val="24"/>
          <w:lang w:val="es-PR"/>
        </w:rPr>
        <w:t>d</w:t>
      </w:r>
      <w:r w:rsidRPr="009B5002">
        <w:rPr>
          <w:rFonts w:ascii="Book Antiqua" w:eastAsia="Calibri" w:hAnsi="Book Antiqua"/>
          <w:strike/>
          <w:color w:val="000000"/>
          <w:szCs w:val="24"/>
          <w:lang w:val="es-PR"/>
        </w:rPr>
        <w:t>el Registro de la Propiedad Inmobiliaria del Estado Libre Asociado de Puerto Rico”,</w:t>
      </w:r>
      <w:r w:rsidRPr="005C6CA1">
        <w:rPr>
          <w:rFonts w:ascii="Book Antiqua" w:eastAsia="Calibri" w:hAnsi="Book Antiqua"/>
          <w:color w:val="000000"/>
          <w:szCs w:val="24"/>
          <w:lang w:val="es-PR"/>
        </w:rPr>
        <w:t xml:space="preserve"> para que </w:t>
      </w:r>
      <w:r w:rsidR="00455752" w:rsidRPr="005C6CA1">
        <w:rPr>
          <w:rFonts w:ascii="Book Antiqua" w:eastAsia="Calibri" w:hAnsi="Book Antiqua"/>
          <w:i/>
          <w:iCs/>
          <w:color w:val="000000"/>
          <w:szCs w:val="24"/>
          <w:u w:val="single"/>
          <w:lang w:val="es-PR"/>
        </w:rPr>
        <w:t xml:space="preserve">se </w:t>
      </w:r>
      <w:r w:rsidRPr="005C6CA1">
        <w:rPr>
          <w:rFonts w:ascii="Book Antiqua" w:eastAsia="Calibri" w:hAnsi="Book Antiqua"/>
          <w:color w:val="000000"/>
          <w:szCs w:val="24"/>
          <w:lang w:val="es-PR"/>
        </w:rPr>
        <w:t>lea como sigue:</w:t>
      </w:r>
    </w:p>
    <w:p w14:paraId="32CC7509" w14:textId="77777777" w:rsidR="000F3D48" w:rsidRPr="005C6CA1" w:rsidRDefault="000F3D48" w:rsidP="00BA3832">
      <w:pPr>
        <w:autoSpaceDE w:val="0"/>
        <w:autoSpaceDN w:val="0"/>
        <w:adjustRightInd w:val="0"/>
        <w:spacing w:line="480" w:lineRule="auto"/>
        <w:ind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“Artículo 132. – Legatario; inscripción a su favor</w:t>
      </w:r>
    </w:p>
    <w:p w14:paraId="68B2B934" w14:textId="77777777" w:rsidR="000F3D48" w:rsidRPr="005C6CA1" w:rsidRDefault="000F3D48" w:rsidP="00BA3832">
      <w:pPr>
        <w:autoSpaceDE w:val="0"/>
        <w:autoSpaceDN w:val="0"/>
        <w:adjustRightInd w:val="0"/>
        <w:spacing w:line="480"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lastRenderedPageBreak/>
        <w:t>El legatario podrá inscribir su título sobre los bienes inmuebles específicamente legados, mediante una escritura de pago de legado en la que comparezcan todos los herederos</w:t>
      </w:r>
      <w:r w:rsidR="00DD5AD1" w:rsidRPr="005C6CA1">
        <w:rPr>
          <w:rFonts w:ascii="Book Antiqua" w:eastAsia="Calibri" w:hAnsi="Book Antiqua"/>
          <w:color w:val="000000"/>
          <w:szCs w:val="24"/>
          <w:lang w:val="es-PR"/>
        </w:rPr>
        <w:t xml:space="preserve"> legitimarios</w:t>
      </w:r>
      <w:r w:rsidRPr="005C6CA1">
        <w:rPr>
          <w:rFonts w:ascii="Book Antiqua" w:eastAsia="Calibri" w:hAnsi="Book Antiqua"/>
          <w:color w:val="000000"/>
          <w:szCs w:val="24"/>
          <w:lang w:val="es-PR"/>
        </w:rPr>
        <w:t xml:space="preserve"> y el legatario. En ausencia de herederos</w:t>
      </w:r>
      <w:r w:rsidR="00DD5AD1" w:rsidRPr="005C6CA1">
        <w:rPr>
          <w:rFonts w:ascii="Book Antiqua" w:eastAsia="Calibri" w:hAnsi="Book Antiqua"/>
          <w:color w:val="000000"/>
          <w:szCs w:val="24"/>
          <w:lang w:val="es-PR"/>
        </w:rPr>
        <w:t xml:space="preserve"> legitimarios</w:t>
      </w:r>
      <w:r w:rsidRPr="005C6CA1">
        <w:rPr>
          <w:rFonts w:ascii="Book Antiqua" w:eastAsia="Calibri" w:hAnsi="Book Antiqua"/>
          <w:color w:val="000000"/>
          <w:szCs w:val="24"/>
          <w:lang w:val="es-PR"/>
        </w:rPr>
        <w:t>, la escritura de pago de legado deberá ser otorgada por el albacea y el legatario. En aquellos casos en que el albacea y el legatario sean la misma persona, y no existan herederos legitimarios, se presentará un Acta de Aceptación de Legado</w:t>
      </w:r>
      <w:r w:rsidR="00633DF2" w:rsidRPr="005C6CA1">
        <w:rPr>
          <w:rFonts w:ascii="Book Antiqua" w:eastAsia="Calibri" w:hAnsi="Book Antiqua"/>
          <w:color w:val="000000"/>
          <w:szCs w:val="24"/>
          <w:lang w:val="es-PR"/>
        </w:rPr>
        <w:t xml:space="preserve"> firmada por el legatario</w:t>
      </w:r>
      <w:r w:rsidRPr="005C6CA1">
        <w:rPr>
          <w:rFonts w:ascii="Book Antiqua" w:eastAsia="Calibri" w:hAnsi="Book Antiqua"/>
          <w:color w:val="000000"/>
          <w:szCs w:val="24"/>
          <w:lang w:val="es-PR"/>
        </w:rPr>
        <w:t>. La copia certificada de la escritura de pago de legado o acta de aceptación deberá ser presentada en el registro acompañada de los siguientes documentos certificados:</w:t>
      </w:r>
    </w:p>
    <w:p w14:paraId="2B77DF0D" w14:textId="77777777" w:rsidR="000F3D48" w:rsidRPr="005C6CA1" w:rsidRDefault="002C0FF3" w:rsidP="00BA3832">
      <w:pPr>
        <w:autoSpaceDE w:val="0"/>
        <w:autoSpaceDN w:val="0"/>
        <w:adjustRightInd w:val="0"/>
        <w:spacing w:line="480" w:lineRule="auto"/>
        <w:ind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w:t>
      </w:r>
      <w:r w:rsidR="00DD5AD1" w:rsidRPr="005C6CA1">
        <w:rPr>
          <w:rFonts w:ascii="Book Antiqua" w:eastAsia="Calibri" w:hAnsi="Book Antiqua"/>
          <w:color w:val="000000"/>
          <w:szCs w:val="24"/>
          <w:lang w:val="es-PR"/>
        </w:rPr>
        <w:t>”</w:t>
      </w:r>
    </w:p>
    <w:p w14:paraId="30B4C36D" w14:textId="77777777" w:rsidR="007A7D4F" w:rsidRPr="00B3105E" w:rsidRDefault="007A7D4F" w:rsidP="00BA3832">
      <w:pPr>
        <w:autoSpaceDE w:val="0"/>
        <w:autoSpaceDN w:val="0"/>
        <w:adjustRightInd w:val="0"/>
        <w:spacing w:line="480" w:lineRule="auto"/>
        <w:ind w:firstLine="720"/>
        <w:jc w:val="both"/>
        <w:rPr>
          <w:rFonts w:ascii="Book Antiqua" w:eastAsia="Calibri" w:hAnsi="Book Antiqua" w:cs="Book Antiqua"/>
          <w:strike/>
          <w:color w:val="000000"/>
          <w:szCs w:val="24"/>
          <w:lang w:val="es-PR"/>
        </w:rPr>
      </w:pPr>
      <w:r w:rsidRPr="00B3105E">
        <w:rPr>
          <w:rFonts w:ascii="Book Antiqua" w:eastAsia="Calibri" w:hAnsi="Book Antiqua"/>
          <w:strike/>
          <w:color w:val="000000"/>
          <w:szCs w:val="24"/>
          <w:lang w:val="es-PR"/>
        </w:rPr>
        <w:t>Sección</w:t>
      </w:r>
      <w:r w:rsidR="00633DF2" w:rsidRPr="00B3105E">
        <w:rPr>
          <w:rFonts w:ascii="Book Antiqua" w:eastAsia="Calibri" w:hAnsi="Book Antiqua"/>
          <w:strike/>
          <w:color w:val="000000"/>
          <w:szCs w:val="24"/>
          <w:lang w:val="es-PR"/>
        </w:rPr>
        <w:t xml:space="preserve"> 4</w:t>
      </w:r>
      <w:r w:rsidRPr="00B3105E">
        <w:rPr>
          <w:rFonts w:ascii="Book Antiqua" w:eastAsia="Calibri" w:hAnsi="Book Antiqua"/>
          <w:strike/>
          <w:color w:val="000000"/>
          <w:szCs w:val="24"/>
          <w:lang w:val="es-PR"/>
        </w:rPr>
        <w:t xml:space="preserve">.- Se enmienda el Artículo 219 de la Ley 210-2015, según enmendada, </w:t>
      </w:r>
      <w:r w:rsidRPr="00B3105E">
        <w:rPr>
          <w:rFonts w:ascii="Book Antiqua" w:eastAsia="Calibri" w:hAnsi="Book Antiqua" w:cs="Book Antiqua"/>
          <w:strike/>
          <w:color w:val="000000"/>
          <w:szCs w:val="24"/>
          <w:lang w:val="es-PR"/>
        </w:rPr>
        <w:t xml:space="preserve">conocida como “Ley del Registro de la Propiedad Inmobiliaria del Estado Libre Asociado de Puerto Rico”, para que </w:t>
      </w:r>
      <w:r w:rsidR="00455752" w:rsidRPr="00B3105E">
        <w:rPr>
          <w:rFonts w:ascii="Book Antiqua" w:eastAsia="Calibri" w:hAnsi="Book Antiqua" w:cs="Book Antiqua"/>
          <w:i/>
          <w:iCs/>
          <w:strike/>
          <w:color w:val="000000"/>
          <w:szCs w:val="24"/>
          <w:u w:val="single"/>
          <w:lang w:val="es-PR"/>
        </w:rPr>
        <w:t>se</w:t>
      </w:r>
      <w:r w:rsidR="00455752" w:rsidRPr="00B3105E">
        <w:rPr>
          <w:rFonts w:ascii="Book Antiqua" w:eastAsia="Calibri" w:hAnsi="Book Antiqua" w:cs="Book Antiqua"/>
          <w:strike/>
          <w:color w:val="000000"/>
          <w:szCs w:val="24"/>
          <w:lang w:val="es-PR"/>
        </w:rPr>
        <w:t xml:space="preserve"> </w:t>
      </w:r>
      <w:r w:rsidRPr="00B3105E">
        <w:rPr>
          <w:rFonts w:ascii="Book Antiqua" w:eastAsia="Calibri" w:hAnsi="Book Antiqua" w:cs="Book Antiqua"/>
          <w:strike/>
          <w:color w:val="000000"/>
          <w:szCs w:val="24"/>
          <w:lang w:val="es-PR"/>
        </w:rPr>
        <w:t>lea como sigue:</w:t>
      </w:r>
    </w:p>
    <w:p w14:paraId="21B9EDF0" w14:textId="77777777" w:rsidR="00DD5AD1" w:rsidRPr="00B3105E" w:rsidRDefault="00DD5AD1" w:rsidP="00BA3832">
      <w:pPr>
        <w:autoSpaceDE w:val="0"/>
        <w:autoSpaceDN w:val="0"/>
        <w:adjustRightInd w:val="0"/>
        <w:spacing w:line="480" w:lineRule="auto"/>
        <w:ind w:firstLine="720"/>
        <w:jc w:val="both"/>
        <w:rPr>
          <w:rFonts w:ascii="Book Antiqua" w:eastAsia="Calibri" w:hAnsi="Book Antiqua" w:cs="Book Antiqua"/>
          <w:strike/>
          <w:color w:val="000000"/>
          <w:szCs w:val="24"/>
          <w:lang w:val="es-PR"/>
        </w:rPr>
      </w:pPr>
      <w:r w:rsidRPr="00B3105E">
        <w:rPr>
          <w:rFonts w:ascii="Book Antiqua" w:eastAsia="Calibri" w:hAnsi="Book Antiqua" w:cs="Book Antiqua"/>
          <w:strike/>
          <w:color w:val="000000"/>
          <w:szCs w:val="24"/>
          <w:lang w:val="es-PR"/>
        </w:rPr>
        <w:t>“Artículo 219.- Clases de certificaciones</w:t>
      </w:r>
      <w:r w:rsidR="004F1F30" w:rsidRPr="00B3105E">
        <w:rPr>
          <w:rFonts w:ascii="Book Antiqua" w:eastAsia="Calibri" w:hAnsi="Book Antiqua" w:cs="Book Antiqua"/>
          <w:strike/>
          <w:color w:val="000000"/>
          <w:szCs w:val="24"/>
          <w:lang w:val="es-PR"/>
        </w:rPr>
        <w:t>.</w:t>
      </w:r>
    </w:p>
    <w:p w14:paraId="74E9D2A5" w14:textId="77777777" w:rsidR="007A7D4F" w:rsidRPr="00B3105E" w:rsidRDefault="007A7D4F" w:rsidP="00BA3832">
      <w:pPr>
        <w:widowControl w:val="0"/>
        <w:autoSpaceDE w:val="0"/>
        <w:autoSpaceDN w:val="0"/>
        <w:adjustRightInd w:val="0"/>
        <w:spacing w:line="480" w:lineRule="auto"/>
        <w:ind w:left="720"/>
        <w:jc w:val="both"/>
        <w:rPr>
          <w:rFonts w:ascii="Book Antiqua" w:hAnsi="Book Antiqua"/>
          <w:strike/>
          <w:vanish/>
          <w:color w:val="000000"/>
          <w:szCs w:val="24"/>
          <w:lang w:val="es-PR"/>
        </w:rPr>
      </w:pPr>
      <w:r w:rsidRPr="00B3105E">
        <w:rPr>
          <w:rFonts w:ascii="Book Antiqua" w:hAnsi="Book Antiqua"/>
          <w:strike/>
          <w:vanish/>
          <w:color w:val="000000"/>
          <w:szCs w:val="24"/>
          <w:lang w:val="es-PR"/>
        </w:rPr>
        <w:t xml:space="preserve">Artículo 219. </w:t>
      </w:r>
      <w:r w:rsidRPr="00B3105E">
        <w:rPr>
          <w:rFonts w:ascii="Book Antiqua" w:hAnsi="Book Antiqua"/>
          <w:b/>
          <w:strike/>
          <w:vanish/>
          <w:color w:val="000000"/>
          <w:szCs w:val="24"/>
          <w:lang w:val="es-PR"/>
        </w:rPr>
        <w:t xml:space="preserve">- </w:t>
      </w:r>
      <w:r w:rsidRPr="00B3105E">
        <w:rPr>
          <w:rFonts w:ascii="Book Antiqua" w:hAnsi="Book Antiqua"/>
          <w:strike/>
          <w:vanish/>
          <w:color w:val="000000"/>
          <w:szCs w:val="24"/>
          <w:lang w:val="es-PR"/>
        </w:rPr>
        <w:t>Clases de certificaciones</w:t>
      </w:r>
    </w:p>
    <w:p w14:paraId="49430890" w14:textId="77777777" w:rsidR="007A7D4F" w:rsidRPr="00B3105E" w:rsidRDefault="007A7D4F" w:rsidP="00BA3832">
      <w:pPr>
        <w:autoSpaceDE w:val="0"/>
        <w:autoSpaceDN w:val="0"/>
        <w:adjustRightInd w:val="0"/>
        <w:spacing w:line="480" w:lineRule="auto"/>
        <w:ind w:firstLine="720"/>
        <w:jc w:val="both"/>
        <w:rPr>
          <w:rFonts w:ascii="Book Antiqua" w:eastAsia="Calibri" w:hAnsi="Book Antiqua"/>
          <w:strike/>
          <w:color w:val="000000"/>
          <w:szCs w:val="24"/>
          <w:lang w:val="es-PR"/>
        </w:rPr>
      </w:pPr>
      <w:r w:rsidRPr="00B3105E">
        <w:rPr>
          <w:rFonts w:ascii="Book Antiqua" w:eastAsia="Calibri" w:hAnsi="Book Antiqua"/>
          <w:strike/>
          <w:szCs w:val="24"/>
          <w:lang w:val="es-PR"/>
        </w:rPr>
        <w:t>Los</w:t>
      </w:r>
      <w:r w:rsidRPr="00B3105E">
        <w:rPr>
          <w:rFonts w:ascii="Book Antiqua" w:eastAsia="Calibri" w:hAnsi="Book Antiqua"/>
          <w:strike/>
          <w:color w:val="FF0000"/>
          <w:szCs w:val="24"/>
          <w:lang w:val="es-PR"/>
        </w:rPr>
        <w:t xml:space="preserve"> </w:t>
      </w:r>
      <w:r w:rsidRPr="00B3105E">
        <w:rPr>
          <w:rFonts w:ascii="Book Antiqua" w:eastAsia="Calibri" w:hAnsi="Book Antiqua"/>
          <w:strike/>
          <w:color w:val="000000"/>
          <w:szCs w:val="24"/>
          <w:lang w:val="es-PR"/>
        </w:rPr>
        <w:t>registradores podrán expedir cualquiera de las siguientes clases de certificaciones:</w:t>
      </w:r>
    </w:p>
    <w:p w14:paraId="2BAC69A2" w14:textId="77777777" w:rsidR="007A7D4F" w:rsidRPr="00B3105E" w:rsidRDefault="007A7D4F" w:rsidP="00BA3832">
      <w:pPr>
        <w:autoSpaceDE w:val="0"/>
        <w:autoSpaceDN w:val="0"/>
        <w:adjustRightInd w:val="0"/>
        <w:spacing w:line="480" w:lineRule="auto"/>
        <w:ind w:left="720"/>
        <w:jc w:val="both"/>
        <w:rPr>
          <w:rFonts w:ascii="Book Antiqua" w:eastAsia="Calibri" w:hAnsi="Book Antiqua"/>
          <w:strike/>
          <w:color w:val="000000"/>
          <w:szCs w:val="24"/>
          <w:lang w:val="es-PR"/>
        </w:rPr>
      </w:pPr>
      <w:r w:rsidRPr="00B3105E">
        <w:rPr>
          <w:rFonts w:ascii="Book Antiqua" w:eastAsia="Calibri" w:hAnsi="Book Antiqua"/>
          <w:strike/>
          <w:color w:val="000000"/>
          <w:szCs w:val="24"/>
          <w:lang w:val="es-PR"/>
        </w:rPr>
        <w:t>1. Con estudio y relación de los asientos vigentes.</w:t>
      </w:r>
    </w:p>
    <w:p w14:paraId="105D4638" w14:textId="77777777" w:rsidR="00DD5AD1" w:rsidRPr="00B3105E" w:rsidRDefault="007A7D4F" w:rsidP="00BA3832">
      <w:pPr>
        <w:autoSpaceDE w:val="0"/>
        <w:autoSpaceDN w:val="0"/>
        <w:adjustRightInd w:val="0"/>
        <w:spacing w:line="480" w:lineRule="auto"/>
        <w:ind w:left="720"/>
        <w:jc w:val="both"/>
        <w:rPr>
          <w:rFonts w:ascii="Book Antiqua" w:eastAsia="Calibri" w:hAnsi="Book Antiqua"/>
          <w:strike/>
          <w:color w:val="000000"/>
          <w:szCs w:val="24"/>
          <w:lang w:val="es-PR"/>
        </w:rPr>
      </w:pPr>
      <w:r w:rsidRPr="00B3105E">
        <w:rPr>
          <w:rFonts w:ascii="Book Antiqua" w:eastAsia="Calibri" w:hAnsi="Book Antiqua"/>
          <w:strike/>
          <w:color w:val="000000"/>
          <w:szCs w:val="24"/>
          <w:lang w:val="es-PR"/>
        </w:rPr>
        <w:t>2. Negativas.</w:t>
      </w:r>
      <w:r w:rsidR="00A732EB" w:rsidRPr="00B3105E">
        <w:rPr>
          <w:rFonts w:ascii="Book Antiqua" w:eastAsia="Calibri" w:hAnsi="Book Antiqua"/>
          <w:strike/>
          <w:color w:val="000000"/>
          <w:szCs w:val="24"/>
          <w:lang w:val="es-PR"/>
        </w:rPr>
        <w:t>”</w:t>
      </w:r>
    </w:p>
    <w:p w14:paraId="655B8811" w14:textId="1A1A5A1C" w:rsidR="007A7D4F" w:rsidRPr="005C6CA1" w:rsidRDefault="007A7D4F" w:rsidP="00BA3832">
      <w:pPr>
        <w:widowControl w:val="0"/>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Sección</w:t>
      </w:r>
      <w:r w:rsidR="009E0314" w:rsidRPr="005C6CA1">
        <w:rPr>
          <w:rFonts w:ascii="Book Antiqua" w:eastAsia="Calibri" w:hAnsi="Book Antiqua"/>
          <w:szCs w:val="24"/>
          <w:lang w:val="es-PR"/>
        </w:rPr>
        <w:t xml:space="preserve"> </w:t>
      </w:r>
      <w:r w:rsidR="00A732EB" w:rsidRPr="00A84A39">
        <w:rPr>
          <w:rFonts w:ascii="Book Antiqua" w:eastAsia="Calibri" w:hAnsi="Book Antiqua"/>
          <w:strike/>
          <w:szCs w:val="24"/>
          <w:lang w:val="es-PR"/>
        </w:rPr>
        <w:t>5</w:t>
      </w:r>
      <w:r w:rsidR="00A84A39">
        <w:rPr>
          <w:rFonts w:ascii="Book Antiqua" w:eastAsia="Calibri" w:hAnsi="Book Antiqua"/>
          <w:szCs w:val="24"/>
          <w:lang w:val="es-PR"/>
        </w:rPr>
        <w:t xml:space="preserve"> </w:t>
      </w:r>
      <w:r w:rsidR="00A84A39" w:rsidRPr="00A84A39">
        <w:rPr>
          <w:rFonts w:ascii="Book Antiqua" w:eastAsia="Calibri" w:hAnsi="Book Antiqua"/>
          <w:i/>
          <w:iCs/>
          <w:szCs w:val="24"/>
          <w:u w:val="single"/>
          <w:lang w:val="es-PR"/>
        </w:rPr>
        <w:t>4</w:t>
      </w:r>
      <w:r w:rsidRPr="005C6CA1">
        <w:rPr>
          <w:rFonts w:ascii="Book Antiqua" w:eastAsia="Calibri" w:hAnsi="Book Antiqua"/>
          <w:szCs w:val="24"/>
          <w:lang w:val="es-PR"/>
        </w:rPr>
        <w:t>.- Se enmienda el Artículo 224 de la Ley</w:t>
      </w:r>
      <w:r w:rsidR="009E0314" w:rsidRPr="005C6CA1">
        <w:rPr>
          <w:rFonts w:ascii="Book Antiqua" w:eastAsia="Calibri" w:hAnsi="Book Antiqua"/>
          <w:szCs w:val="24"/>
          <w:lang w:val="es-PR"/>
        </w:rPr>
        <w:t xml:space="preserve"> </w:t>
      </w:r>
      <w:r w:rsidR="00005BC3">
        <w:rPr>
          <w:rFonts w:ascii="Book Antiqua" w:eastAsia="Calibri" w:hAnsi="Book Antiqua"/>
          <w:i/>
          <w:iCs/>
          <w:szCs w:val="24"/>
          <w:u w:val="single"/>
          <w:lang w:val="es-PR"/>
        </w:rPr>
        <w:t>Núm.</w:t>
      </w:r>
      <w:r w:rsidR="00005BC3" w:rsidRPr="00005BC3">
        <w:rPr>
          <w:rFonts w:ascii="Book Antiqua" w:eastAsia="Calibri" w:hAnsi="Book Antiqua"/>
          <w:szCs w:val="24"/>
          <w:lang w:val="es-PR"/>
        </w:rPr>
        <w:t xml:space="preserve"> </w:t>
      </w:r>
      <w:r w:rsidRPr="005C6CA1">
        <w:rPr>
          <w:rFonts w:ascii="Book Antiqua" w:eastAsia="Calibri" w:hAnsi="Book Antiqua"/>
          <w:szCs w:val="24"/>
          <w:lang w:val="es-PR"/>
        </w:rPr>
        <w:t xml:space="preserve">210-2015, según enmendada, </w:t>
      </w:r>
      <w:r w:rsidRPr="0082284C">
        <w:rPr>
          <w:rFonts w:ascii="Book Antiqua" w:eastAsia="Calibri" w:hAnsi="Book Antiqua"/>
          <w:strike/>
          <w:szCs w:val="24"/>
          <w:lang w:val="es-PR"/>
        </w:rPr>
        <w:t>conocida como “Ley del Registro de la Propiedad Inmobiliaria del Estado Libre Asociado de Puerto Rico”,</w:t>
      </w:r>
      <w:r w:rsidRPr="005C6CA1">
        <w:rPr>
          <w:rFonts w:ascii="Book Antiqua" w:eastAsia="Calibri" w:hAnsi="Book Antiqua"/>
          <w:szCs w:val="24"/>
          <w:lang w:val="es-PR"/>
        </w:rPr>
        <w:t xml:space="preserve"> para que </w:t>
      </w:r>
      <w:r w:rsidR="00455752" w:rsidRPr="005C6CA1">
        <w:rPr>
          <w:rFonts w:ascii="Book Antiqua" w:eastAsia="Calibri" w:hAnsi="Book Antiqua"/>
          <w:i/>
          <w:iCs/>
          <w:szCs w:val="24"/>
          <w:u w:val="single"/>
          <w:lang w:val="es-PR"/>
        </w:rPr>
        <w:t>se</w:t>
      </w:r>
      <w:r w:rsidR="00455752" w:rsidRPr="005C6CA1">
        <w:rPr>
          <w:rFonts w:ascii="Book Antiqua" w:eastAsia="Calibri" w:hAnsi="Book Antiqua"/>
          <w:szCs w:val="24"/>
          <w:lang w:val="es-PR"/>
        </w:rPr>
        <w:t xml:space="preserve"> </w:t>
      </w:r>
      <w:r w:rsidRPr="005C6CA1">
        <w:rPr>
          <w:rFonts w:ascii="Book Antiqua" w:eastAsia="Calibri" w:hAnsi="Book Antiqua"/>
          <w:szCs w:val="24"/>
          <w:lang w:val="es-PR"/>
        </w:rPr>
        <w:t>lea como sigue:</w:t>
      </w:r>
    </w:p>
    <w:p w14:paraId="037FD716" w14:textId="77777777" w:rsidR="007A7D4F" w:rsidRPr="005C6CA1" w:rsidRDefault="007A7D4F" w:rsidP="00BA3832">
      <w:pPr>
        <w:widowControl w:val="0"/>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 xml:space="preserve">“Artículo </w:t>
      </w:r>
      <w:r w:rsidR="0077386F" w:rsidRPr="005C6CA1">
        <w:rPr>
          <w:rFonts w:ascii="Book Antiqua" w:eastAsia="Calibri" w:hAnsi="Book Antiqua"/>
          <w:szCs w:val="24"/>
          <w:lang w:val="es-PR"/>
        </w:rPr>
        <w:t>224.</w:t>
      </w:r>
      <w:r w:rsidRPr="005C6CA1">
        <w:rPr>
          <w:rFonts w:ascii="Book Antiqua" w:eastAsia="Calibri" w:hAnsi="Book Antiqua"/>
          <w:szCs w:val="24"/>
          <w:lang w:val="es-PR"/>
        </w:rPr>
        <w:t>-</w:t>
      </w:r>
      <w:r w:rsidR="0077386F" w:rsidRPr="005C6CA1">
        <w:rPr>
          <w:rFonts w:ascii="Book Antiqua" w:eastAsia="Calibri" w:hAnsi="Book Antiqua"/>
          <w:szCs w:val="24"/>
          <w:lang w:val="es-PR"/>
        </w:rPr>
        <w:t xml:space="preserve"> </w:t>
      </w:r>
      <w:r w:rsidRPr="005C6CA1">
        <w:rPr>
          <w:rFonts w:ascii="Book Antiqua" w:eastAsia="Calibri" w:hAnsi="Book Antiqua"/>
          <w:szCs w:val="24"/>
          <w:lang w:val="es-PR"/>
        </w:rPr>
        <w:t>Devolución de solicitudes</w:t>
      </w:r>
    </w:p>
    <w:p w14:paraId="5A6B117A"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szCs w:val="24"/>
          <w:lang w:val="es-PR"/>
        </w:rPr>
      </w:pPr>
      <w:r w:rsidRPr="005C6CA1">
        <w:rPr>
          <w:rFonts w:ascii="Book Antiqua" w:eastAsia="Calibri" w:hAnsi="Book Antiqua"/>
          <w:szCs w:val="24"/>
          <w:lang w:val="es-PR"/>
        </w:rPr>
        <w:lastRenderedPageBreak/>
        <w:t xml:space="preserve">El Registrador devolverá las solicitudes </w:t>
      </w:r>
      <w:r w:rsidR="00A732EB" w:rsidRPr="005C6CA1">
        <w:rPr>
          <w:rFonts w:ascii="Book Antiqua" w:eastAsia="Calibri" w:hAnsi="Book Antiqua"/>
          <w:szCs w:val="24"/>
          <w:lang w:val="es-PR"/>
        </w:rPr>
        <w:t xml:space="preserve">de certificaciones </w:t>
      </w:r>
      <w:r w:rsidRPr="005C6CA1">
        <w:rPr>
          <w:rFonts w:ascii="Book Antiqua" w:eastAsia="Calibri" w:hAnsi="Book Antiqua"/>
          <w:szCs w:val="24"/>
          <w:lang w:val="es-PR"/>
        </w:rPr>
        <w:t xml:space="preserve">de los interesados o las órdenes de los tribunales, cuando no expresen con claridad y precisión la clase de certificación que se solicita, los bienes, personas o período a </w:t>
      </w:r>
      <w:r w:rsidR="00DD5AD1" w:rsidRPr="005C6CA1">
        <w:rPr>
          <w:rFonts w:ascii="Book Antiqua" w:eastAsia="Calibri" w:hAnsi="Book Antiqua"/>
          <w:szCs w:val="24"/>
          <w:lang w:val="es-PR"/>
        </w:rPr>
        <w:t>que</w:t>
      </w:r>
      <w:r w:rsidR="00EF3A7B" w:rsidRPr="005C6CA1">
        <w:rPr>
          <w:rFonts w:ascii="Book Antiqua" w:eastAsia="Calibri" w:hAnsi="Book Antiqua"/>
          <w:szCs w:val="24"/>
          <w:lang w:val="es-PR"/>
        </w:rPr>
        <w:t xml:space="preserve"> </w:t>
      </w:r>
      <w:r w:rsidR="00DD5AD1" w:rsidRPr="005C6CA1">
        <w:rPr>
          <w:rFonts w:ascii="Book Antiqua" w:eastAsia="Calibri" w:hAnsi="Book Antiqua"/>
          <w:szCs w:val="24"/>
          <w:lang w:val="es-PR"/>
        </w:rPr>
        <w:t>estas</w:t>
      </w:r>
      <w:r w:rsidRPr="005C6CA1">
        <w:rPr>
          <w:rFonts w:ascii="Book Antiqua" w:eastAsia="Calibri" w:hAnsi="Book Antiqua"/>
          <w:szCs w:val="24"/>
          <w:lang w:val="es-PR"/>
        </w:rPr>
        <w:t xml:space="preserve"> se refieran, cuando tenga duda sobre los bienes o asientos a que deba referirse la certificación, o cuando a su entender con ello pueda cometerse un error o causar confusión. Con dicha devolución, deberá expresar el motivo por el cual deniega la certificación.”</w:t>
      </w:r>
    </w:p>
    <w:p w14:paraId="588A4EC9" w14:textId="2D8375AC" w:rsidR="007A7D4F" w:rsidRPr="005C6CA1" w:rsidRDefault="007A7D4F" w:rsidP="00BA3832">
      <w:pPr>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Sección</w:t>
      </w:r>
      <w:r w:rsidR="00A41109" w:rsidRPr="005C6CA1">
        <w:rPr>
          <w:rFonts w:ascii="Book Antiqua" w:eastAsia="Calibri" w:hAnsi="Book Antiqua"/>
          <w:szCs w:val="24"/>
          <w:lang w:val="es-PR"/>
        </w:rPr>
        <w:t xml:space="preserve"> </w:t>
      </w:r>
      <w:r w:rsidR="00A732EB" w:rsidRPr="00A84A39">
        <w:rPr>
          <w:rFonts w:ascii="Book Antiqua" w:eastAsia="Calibri" w:hAnsi="Book Antiqua"/>
          <w:strike/>
          <w:szCs w:val="24"/>
          <w:lang w:val="es-PR"/>
        </w:rPr>
        <w:t>6</w:t>
      </w:r>
      <w:r w:rsidR="00A84A39">
        <w:rPr>
          <w:rFonts w:ascii="Book Antiqua" w:eastAsia="Calibri" w:hAnsi="Book Antiqua"/>
          <w:szCs w:val="24"/>
          <w:lang w:val="es-PR"/>
        </w:rPr>
        <w:t xml:space="preserve"> </w:t>
      </w:r>
      <w:r w:rsidR="00A84A39" w:rsidRPr="00A84A39">
        <w:rPr>
          <w:rFonts w:ascii="Book Antiqua" w:eastAsia="Calibri" w:hAnsi="Book Antiqua"/>
          <w:i/>
          <w:iCs/>
          <w:szCs w:val="24"/>
          <w:u w:val="single"/>
          <w:lang w:val="es-PR"/>
        </w:rPr>
        <w:t>5</w:t>
      </w:r>
      <w:r w:rsidRPr="005C6CA1">
        <w:rPr>
          <w:rFonts w:ascii="Book Antiqua" w:eastAsia="Calibri" w:hAnsi="Book Antiqua"/>
          <w:szCs w:val="24"/>
          <w:lang w:val="es-PR"/>
        </w:rPr>
        <w:t xml:space="preserve">.- Se enmienda el Artículo 225 de la Ley </w:t>
      </w:r>
      <w:r w:rsidR="008B0C47">
        <w:rPr>
          <w:rFonts w:ascii="Book Antiqua" w:eastAsia="Calibri" w:hAnsi="Book Antiqua"/>
          <w:i/>
          <w:iCs/>
          <w:szCs w:val="24"/>
          <w:u w:val="single"/>
          <w:lang w:val="es-PR"/>
        </w:rPr>
        <w:t>Núm.</w:t>
      </w:r>
      <w:r w:rsidR="008B0C47" w:rsidRPr="008B0C47">
        <w:rPr>
          <w:rFonts w:ascii="Book Antiqua" w:eastAsia="Calibri" w:hAnsi="Book Antiqua"/>
          <w:szCs w:val="24"/>
          <w:lang w:val="es-PR"/>
        </w:rPr>
        <w:t xml:space="preserve"> </w:t>
      </w:r>
      <w:r w:rsidRPr="005C6CA1">
        <w:rPr>
          <w:rFonts w:ascii="Book Antiqua" w:eastAsia="Calibri" w:hAnsi="Book Antiqua"/>
          <w:szCs w:val="24"/>
          <w:lang w:val="es-PR"/>
        </w:rPr>
        <w:t xml:space="preserve">210-2015, según enmendada, </w:t>
      </w:r>
      <w:r w:rsidRPr="008B0C47">
        <w:rPr>
          <w:rFonts w:ascii="Book Antiqua" w:eastAsia="Calibri" w:hAnsi="Book Antiqua"/>
          <w:strike/>
          <w:szCs w:val="24"/>
          <w:lang w:val="es-PR"/>
        </w:rPr>
        <w:t>conocida como “Ley del Registro de la Propiedad Inmobiliaria del Estado Libre Asociado de Puerto Rico”,</w:t>
      </w:r>
      <w:r w:rsidRPr="005C6CA1">
        <w:rPr>
          <w:rFonts w:ascii="Book Antiqua" w:eastAsia="Calibri" w:hAnsi="Book Antiqua"/>
          <w:szCs w:val="24"/>
          <w:lang w:val="es-PR"/>
        </w:rPr>
        <w:t xml:space="preserve"> </w:t>
      </w:r>
      <w:r w:rsidR="0035718A" w:rsidRPr="005C6CA1">
        <w:rPr>
          <w:rFonts w:ascii="Book Antiqua" w:eastAsia="Calibri" w:hAnsi="Book Antiqua"/>
          <w:szCs w:val="24"/>
          <w:lang w:val="es-PR"/>
        </w:rPr>
        <w:t xml:space="preserve">para que </w:t>
      </w:r>
      <w:r w:rsidR="0035718A" w:rsidRPr="005C6CA1">
        <w:rPr>
          <w:rFonts w:ascii="Book Antiqua" w:eastAsia="Calibri" w:hAnsi="Book Antiqua"/>
          <w:i/>
          <w:iCs/>
          <w:szCs w:val="24"/>
          <w:u w:val="single"/>
          <w:lang w:val="es-PR"/>
        </w:rPr>
        <w:t>se</w:t>
      </w:r>
      <w:r w:rsidR="0035718A" w:rsidRPr="005C6CA1">
        <w:rPr>
          <w:rFonts w:ascii="Book Antiqua" w:eastAsia="Calibri" w:hAnsi="Book Antiqua"/>
          <w:szCs w:val="24"/>
          <w:lang w:val="es-PR"/>
        </w:rPr>
        <w:t xml:space="preserve"> lea </w:t>
      </w:r>
      <w:r w:rsidRPr="005C6CA1">
        <w:rPr>
          <w:rFonts w:ascii="Book Antiqua" w:eastAsia="Calibri" w:hAnsi="Book Antiqua"/>
          <w:szCs w:val="24"/>
          <w:lang w:val="es-PR"/>
        </w:rPr>
        <w:t>como sigue:</w:t>
      </w:r>
    </w:p>
    <w:p w14:paraId="4CFD4A36" w14:textId="77777777" w:rsidR="007A7D4F" w:rsidRPr="005C6CA1" w:rsidRDefault="0077386F" w:rsidP="00BA3832">
      <w:pPr>
        <w:autoSpaceDE w:val="0"/>
        <w:autoSpaceDN w:val="0"/>
        <w:adjustRightInd w:val="0"/>
        <w:spacing w:line="480" w:lineRule="auto"/>
        <w:ind w:firstLine="720"/>
        <w:jc w:val="both"/>
        <w:rPr>
          <w:rFonts w:ascii="Book Antiqua" w:eastAsia="Calibri" w:hAnsi="Book Antiqua"/>
          <w:bCs/>
          <w:szCs w:val="24"/>
          <w:lang w:val="es-PR"/>
        </w:rPr>
      </w:pPr>
      <w:r w:rsidRPr="005C6CA1">
        <w:rPr>
          <w:rFonts w:ascii="Book Antiqua" w:eastAsia="Calibri" w:hAnsi="Book Antiqua"/>
          <w:szCs w:val="24"/>
          <w:lang w:val="es-PR"/>
        </w:rPr>
        <w:t>“Artículo 225.</w:t>
      </w:r>
      <w:r w:rsidR="007A7D4F" w:rsidRPr="005C6CA1">
        <w:rPr>
          <w:rFonts w:ascii="Book Antiqua" w:eastAsia="Calibri" w:hAnsi="Book Antiqua"/>
          <w:szCs w:val="24"/>
          <w:lang w:val="es-PR"/>
        </w:rPr>
        <w:t>- Plazo de expedición</w:t>
      </w:r>
      <w:r w:rsidR="00A41109" w:rsidRPr="005C6CA1">
        <w:rPr>
          <w:rFonts w:ascii="Book Antiqua" w:eastAsia="Calibri" w:hAnsi="Book Antiqua"/>
          <w:bCs/>
          <w:szCs w:val="24"/>
          <w:lang w:val="es-PR"/>
        </w:rPr>
        <w:t>.</w:t>
      </w:r>
    </w:p>
    <w:p w14:paraId="2C14E79D"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szCs w:val="24"/>
          <w:lang w:val="es-PR"/>
        </w:rPr>
      </w:pPr>
      <w:r w:rsidRPr="005C6CA1">
        <w:rPr>
          <w:rFonts w:ascii="Book Antiqua" w:eastAsia="Calibri" w:hAnsi="Book Antiqua"/>
          <w:szCs w:val="24"/>
          <w:lang w:val="es-PR"/>
        </w:rPr>
        <w:t xml:space="preserve">Las certificaciones deberán expedirse en un plazo no mayor de </w:t>
      </w:r>
      <w:r w:rsidRPr="00B3105E">
        <w:rPr>
          <w:rFonts w:ascii="Book Antiqua" w:eastAsia="Calibri" w:hAnsi="Book Antiqua"/>
          <w:strike/>
          <w:szCs w:val="24"/>
          <w:lang w:val="es-PR"/>
        </w:rPr>
        <w:t>sesenta (60)</w:t>
      </w:r>
      <w:r w:rsidRPr="005C6CA1">
        <w:rPr>
          <w:rFonts w:ascii="Book Antiqua" w:eastAsia="Calibri" w:hAnsi="Book Antiqua"/>
          <w:szCs w:val="24"/>
          <w:lang w:val="es-PR"/>
        </w:rPr>
        <w:t xml:space="preserve"> </w:t>
      </w:r>
      <w:r w:rsidR="00B3105E">
        <w:rPr>
          <w:rFonts w:ascii="Book Antiqua" w:eastAsia="Calibri" w:hAnsi="Book Antiqua"/>
          <w:i/>
          <w:iCs/>
          <w:szCs w:val="24"/>
          <w:u w:val="single"/>
          <w:lang w:val="es-PR"/>
        </w:rPr>
        <w:t xml:space="preserve">treinta (30) </w:t>
      </w:r>
      <w:r w:rsidRPr="005C6CA1">
        <w:rPr>
          <w:rFonts w:ascii="Book Antiqua" w:eastAsia="Calibri" w:hAnsi="Book Antiqua"/>
          <w:szCs w:val="24"/>
          <w:lang w:val="es-PR"/>
        </w:rPr>
        <w:t>días contados a partir de la fecha de su solicitud, salvo justa causa</w:t>
      </w:r>
      <w:r w:rsidR="009D15E3" w:rsidRPr="005C6CA1">
        <w:rPr>
          <w:rFonts w:ascii="Book Antiqua" w:eastAsia="Calibri" w:hAnsi="Book Antiqua"/>
          <w:b/>
          <w:szCs w:val="24"/>
          <w:lang w:val="es-PR"/>
        </w:rPr>
        <w:t>.</w:t>
      </w:r>
      <w:r w:rsidRPr="005C6CA1">
        <w:rPr>
          <w:rFonts w:ascii="Book Antiqua" w:eastAsia="Calibri" w:hAnsi="Book Antiqua"/>
          <w:szCs w:val="24"/>
          <w:lang w:val="es-PR"/>
        </w:rPr>
        <w:t>”</w:t>
      </w:r>
    </w:p>
    <w:p w14:paraId="39063E63" w14:textId="610C0C3D" w:rsidR="00DD5AD1" w:rsidRPr="005C6CA1" w:rsidRDefault="00DD5AD1" w:rsidP="00BA3832">
      <w:pPr>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 xml:space="preserve">Sección </w:t>
      </w:r>
      <w:r w:rsidR="00A732EB" w:rsidRPr="00A84A39">
        <w:rPr>
          <w:rFonts w:ascii="Book Antiqua" w:eastAsia="Calibri" w:hAnsi="Book Antiqua"/>
          <w:strike/>
          <w:szCs w:val="24"/>
          <w:lang w:val="es-PR"/>
        </w:rPr>
        <w:t>7</w:t>
      </w:r>
      <w:r w:rsidR="00A84A39">
        <w:rPr>
          <w:rFonts w:ascii="Book Antiqua" w:eastAsia="Calibri" w:hAnsi="Book Antiqua"/>
          <w:szCs w:val="24"/>
          <w:lang w:val="es-PR"/>
        </w:rPr>
        <w:t xml:space="preserve"> </w:t>
      </w:r>
      <w:r w:rsidR="00A84A39" w:rsidRPr="00A84A39">
        <w:rPr>
          <w:rFonts w:ascii="Book Antiqua" w:eastAsia="Calibri" w:hAnsi="Book Antiqua"/>
          <w:i/>
          <w:iCs/>
          <w:szCs w:val="24"/>
          <w:u w:val="single"/>
          <w:lang w:val="es-PR"/>
        </w:rPr>
        <w:t>6</w:t>
      </w:r>
      <w:r w:rsidRPr="005C6CA1">
        <w:rPr>
          <w:rFonts w:ascii="Book Antiqua" w:eastAsia="Calibri" w:hAnsi="Book Antiqua"/>
          <w:szCs w:val="24"/>
          <w:lang w:val="es-PR"/>
        </w:rPr>
        <w:t>.- Se enmienda el Artículo 227 de la Ley</w:t>
      </w:r>
      <w:r w:rsidR="0094456B">
        <w:rPr>
          <w:rFonts w:ascii="Book Antiqua" w:eastAsia="Calibri" w:hAnsi="Book Antiqua"/>
          <w:szCs w:val="24"/>
          <w:lang w:val="es-PR"/>
        </w:rPr>
        <w:t xml:space="preserve"> </w:t>
      </w:r>
      <w:r w:rsidR="0094456B">
        <w:rPr>
          <w:rFonts w:ascii="Book Antiqua" w:eastAsia="Calibri" w:hAnsi="Book Antiqua"/>
          <w:i/>
          <w:iCs/>
          <w:szCs w:val="24"/>
          <w:u w:val="single"/>
          <w:lang w:val="es-PR"/>
        </w:rPr>
        <w:t>Núm.</w:t>
      </w:r>
      <w:r w:rsidRPr="005C6CA1">
        <w:rPr>
          <w:rFonts w:ascii="Book Antiqua" w:eastAsia="Calibri" w:hAnsi="Book Antiqua"/>
          <w:szCs w:val="24"/>
          <w:lang w:val="es-PR"/>
        </w:rPr>
        <w:t xml:space="preserve"> 210-2015, según enmendada, </w:t>
      </w:r>
      <w:r w:rsidRPr="008A560A">
        <w:rPr>
          <w:rFonts w:ascii="Book Antiqua" w:eastAsia="Calibri" w:hAnsi="Book Antiqua"/>
          <w:strike/>
          <w:szCs w:val="24"/>
          <w:lang w:val="es-PR"/>
        </w:rPr>
        <w:t>conocida como “Ley del Registro de la Propiedad Inmobiliaria del Estado Libre Asociado de Puerto Rico”,</w:t>
      </w:r>
      <w:r w:rsidRPr="005C6CA1">
        <w:rPr>
          <w:rFonts w:ascii="Book Antiqua" w:eastAsia="Calibri" w:hAnsi="Book Antiqua"/>
          <w:szCs w:val="24"/>
          <w:lang w:val="es-PR"/>
        </w:rPr>
        <w:t xml:space="preserve"> </w:t>
      </w:r>
      <w:r w:rsidR="0035718A" w:rsidRPr="005C6CA1">
        <w:rPr>
          <w:rFonts w:ascii="Book Antiqua" w:eastAsia="Calibri" w:hAnsi="Book Antiqua"/>
          <w:szCs w:val="24"/>
          <w:lang w:val="es-PR"/>
        </w:rPr>
        <w:t xml:space="preserve">para que </w:t>
      </w:r>
      <w:r w:rsidR="0035718A" w:rsidRPr="005C6CA1">
        <w:rPr>
          <w:rFonts w:ascii="Book Antiqua" w:eastAsia="Calibri" w:hAnsi="Book Antiqua"/>
          <w:i/>
          <w:iCs/>
          <w:szCs w:val="24"/>
          <w:u w:val="single"/>
          <w:lang w:val="es-PR"/>
        </w:rPr>
        <w:t>se</w:t>
      </w:r>
      <w:r w:rsidR="0035718A" w:rsidRPr="005C6CA1">
        <w:rPr>
          <w:rFonts w:ascii="Book Antiqua" w:eastAsia="Calibri" w:hAnsi="Book Antiqua"/>
          <w:szCs w:val="24"/>
          <w:lang w:val="es-PR"/>
        </w:rPr>
        <w:t xml:space="preserve"> lea </w:t>
      </w:r>
      <w:r w:rsidRPr="005C6CA1">
        <w:rPr>
          <w:rFonts w:ascii="Book Antiqua" w:eastAsia="Calibri" w:hAnsi="Book Antiqua"/>
          <w:szCs w:val="24"/>
          <w:lang w:val="es-PR"/>
        </w:rPr>
        <w:t>como sigue:</w:t>
      </w:r>
    </w:p>
    <w:p w14:paraId="3F943953" w14:textId="77777777" w:rsidR="00DD5AD1" w:rsidRPr="001C50DD" w:rsidRDefault="00DD5AD1" w:rsidP="00BA3832">
      <w:pPr>
        <w:autoSpaceDE w:val="0"/>
        <w:autoSpaceDN w:val="0"/>
        <w:adjustRightInd w:val="0"/>
        <w:spacing w:line="480" w:lineRule="auto"/>
        <w:ind w:firstLine="720"/>
        <w:jc w:val="both"/>
        <w:rPr>
          <w:rFonts w:ascii="Book Antiqua" w:eastAsia="Calibri" w:hAnsi="Book Antiqua"/>
          <w:strike/>
          <w:szCs w:val="24"/>
          <w:lang w:val="es-PR"/>
        </w:rPr>
      </w:pPr>
      <w:r w:rsidRPr="005C6CA1">
        <w:rPr>
          <w:rFonts w:ascii="Book Antiqua" w:eastAsia="Calibri" w:hAnsi="Book Antiqua"/>
          <w:szCs w:val="24"/>
          <w:lang w:val="es-PR"/>
        </w:rPr>
        <w:t>“</w:t>
      </w:r>
      <w:r w:rsidRPr="001C50DD">
        <w:rPr>
          <w:rFonts w:ascii="Book Antiqua" w:eastAsia="Calibri" w:hAnsi="Book Antiqua"/>
          <w:szCs w:val="24"/>
          <w:lang w:val="es-PR"/>
        </w:rPr>
        <w:t>Artículo 227.-</w:t>
      </w:r>
      <w:r w:rsidRPr="001C50DD">
        <w:rPr>
          <w:rFonts w:ascii="Book Antiqua" w:eastAsia="Calibri" w:hAnsi="Book Antiqua"/>
          <w:strike/>
          <w:szCs w:val="24"/>
          <w:lang w:val="es-PR"/>
        </w:rPr>
        <w:t xml:space="preserve"> Certificaciones de plano</w:t>
      </w:r>
      <w:r w:rsidR="00A678C2" w:rsidRPr="001C50DD">
        <w:rPr>
          <w:rFonts w:ascii="Book Antiqua" w:eastAsia="Calibri" w:hAnsi="Book Antiqua"/>
          <w:strike/>
          <w:szCs w:val="24"/>
          <w:lang w:val="es-PR"/>
        </w:rPr>
        <w:t>s.</w:t>
      </w:r>
    </w:p>
    <w:p w14:paraId="34680B6E" w14:textId="77777777" w:rsidR="00B3105E" w:rsidRPr="001C50DD" w:rsidRDefault="009166F3" w:rsidP="00BA3832">
      <w:pPr>
        <w:autoSpaceDE w:val="0"/>
        <w:autoSpaceDN w:val="0"/>
        <w:adjustRightInd w:val="0"/>
        <w:spacing w:line="480" w:lineRule="auto"/>
        <w:ind w:left="720" w:firstLine="720"/>
        <w:jc w:val="both"/>
        <w:rPr>
          <w:rFonts w:ascii="Book Antiqua" w:eastAsia="Calibri" w:hAnsi="Book Antiqua"/>
          <w:strike/>
          <w:szCs w:val="24"/>
          <w:lang w:val="es-PR"/>
        </w:rPr>
      </w:pPr>
      <w:r w:rsidRPr="001C50DD">
        <w:rPr>
          <w:rFonts w:ascii="Book Antiqua" w:eastAsia="Calibri" w:hAnsi="Book Antiqua"/>
          <w:strike/>
          <w:szCs w:val="24"/>
          <w:lang w:val="es-PR"/>
        </w:rPr>
        <w:t>A solicitud de parte interesada, el Registro de la Propiedad expedirá copia de los planos archivados. En cuanto a los planos en formato físico, la expedición estará sujeta a que la misma no comprometa su integridad física y a que se pueda expedir digitalmente por la vía electrónica. La solicitud y forma de expedición de las copias se hará conforme a lo establecido por Reglamento</w:t>
      </w:r>
      <w:r w:rsidR="00B3541D" w:rsidRPr="001C50DD">
        <w:rPr>
          <w:rFonts w:ascii="Book Antiqua" w:eastAsia="Calibri" w:hAnsi="Book Antiqua"/>
          <w:strike/>
          <w:szCs w:val="24"/>
          <w:lang w:val="es-PR"/>
        </w:rPr>
        <w:t>.</w:t>
      </w:r>
    </w:p>
    <w:p w14:paraId="168B527B" w14:textId="77777777" w:rsidR="00B3105E" w:rsidRDefault="00B3105E" w:rsidP="00BA3832">
      <w:pPr>
        <w:autoSpaceDE w:val="0"/>
        <w:autoSpaceDN w:val="0"/>
        <w:adjustRightInd w:val="0"/>
        <w:spacing w:line="480" w:lineRule="auto"/>
        <w:ind w:left="720" w:firstLine="720"/>
        <w:jc w:val="both"/>
        <w:rPr>
          <w:rFonts w:ascii="Book Antiqua" w:eastAsia="Calibri" w:hAnsi="Book Antiqua"/>
          <w:i/>
          <w:iCs/>
          <w:szCs w:val="24"/>
          <w:u w:val="single"/>
          <w:lang w:val="es-PR"/>
        </w:rPr>
      </w:pPr>
      <w:r>
        <w:rPr>
          <w:rFonts w:ascii="Book Antiqua" w:eastAsia="Calibri" w:hAnsi="Book Antiqua"/>
          <w:i/>
          <w:iCs/>
          <w:szCs w:val="24"/>
          <w:u w:val="single"/>
          <w:lang w:val="es-PR"/>
        </w:rPr>
        <w:lastRenderedPageBreak/>
        <w:t xml:space="preserve">-Publicidad y expedición de planos. </w:t>
      </w:r>
    </w:p>
    <w:p w14:paraId="79E7F226" w14:textId="77777777" w:rsidR="00B3105E" w:rsidRDefault="00B3105E" w:rsidP="00BA3832">
      <w:pPr>
        <w:autoSpaceDE w:val="0"/>
        <w:autoSpaceDN w:val="0"/>
        <w:adjustRightInd w:val="0"/>
        <w:spacing w:line="480" w:lineRule="auto"/>
        <w:ind w:left="720" w:firstLine="720"/>
        <w:jc w:val="both"/>
        <w:rPr>
          <w:rFonts w:ascii="Book Antiqua" w:eastAsia="Calibri" w:hAnsi="Book Antiqua"/>
          <w:i/>
          <w:iCs/>
          <w:szCs w:val="24"/>
          <w:u w:val="single"/>
          <w:lang w:val="es-PR"/>
        </w:rPr>
      </w:pPr>
      <w:r>
        <w:rPr>
          <w:rFonts w:ascii="Book Antiqua" w:eastAsia="Calibri" w:hAnsi="Book Antiqua"/>
          <w:i/>
          <w:iCs/>
          <w:szCs w:val="24"/>
          <w:u w:val="single"/>
          <w:lang w:val="es-PR"/>
        </w:rPr>
        <w:t>El Registro de la Propiedad proveerá acceso público a los planos inscritos en su sistema de informática registral a través de dos (2) maneras distintas:</w:t>
      </w:r>
    </w:p>
    <w:p w14:paraId="5241A838" w14:textId="77777777" w:rsidR="00B3105E" w:rsidRPr="00B3105E" w:rsidRDefault="00B3105E" w:rsidP="00B3105E">
      <w:pPr>
        <w:numPr>
          <w:ilvl w:val="0"/>
          <w:numId w:val="3"/>
        </w:numPr>
        <w:autoSpaceDE w:val="0"/>
        <w:autoSpaceDN w:val="0"/>
        <w:adjustRightInd w:val="0"/>
        <w:spacing w:line="480" w:lineRule="auto"/>
        <w:jc w:val="both"/>
        <w:rPr>
          <w:rFonts w:ascii="Book Antiqua" w:eastAsia="Calibri" w:hAnsi="Book Antiqua"/>
          <w:szCs w:val="24"/>
          <w:lang w:val="es-PR"/>
        </w:rPr>
      </w:pPr>
      <w:r>
        <w:rPr>
          <w:rFonts w:ascii="Book Antiqua" w:eastAsia="Calibri" w:hAnsi="Book Antiqua"/>
          <w:i/>
          <w:iCs/>
          <w:szCs w:val="24"/>
          <w:u w:val="single"/>
          <w:lang w:val="es-PR"/>
        </w:rPr>
        <w:t xml:space="preserve">Copia Informativa de Plano: Cualquier persona podrá solicitar y obtener, a través de los medios telemáticos que disponga el Registro, una copia digital no certificada de cualquier plano inscrito. Esta copia tendrá un carácter puramente informativo, no dará fe pública de su contenido y su propósito será facilitar el acceso público a la configuración física de los inmuebles. El </w:t>
      </w:r>
      <w:proofErr w:type="gramStart"/>
      <w:r>
        <w:rPr>
          <w:rFonts w:ascii="Book Antiqua" w:eastAsia="Calibri" w:hAnsi="Book Antiqua"/>
          <w:i/>
          <w:iCs/>
          <w:szCs w:val="24"/>
          <w:u w:val="single"/>
          <w:lang w:val="es-PR"/>
        </w:rPr>
        <w:t>Secretario</w:t>
      </w:r>
      <w:proofErr w:type="gramEnd"/>
      <w:r>
        <w:rPr>
          <w:rFonts w:ascii="Book Antiqua" w:eastAsia="Calibri" w:hAnsi="Book Antiqua"/>
          <w:i/>
          <w:iCs/>
          <w:szCs w:val="24"/>
          <w:u w:val="single"/>
          <w:lang w:val="es-PR"/>
        </w:rPr>
        <w:t xml:space="preserve"> de Justicia, mediante reglamento, establecerá el formato y las características de su copia, la cual deberá contener una leyenda o marca de agua que indique claramente su naturaleza informativa.</w:t>
      </w:r>
    </w:p>
    <w:p w14:paraId="3BDF5578" w14:textId="0ECFB7B0" w:rsidR="009166F3" w:rsidRPr="005C6CA1" w:rsidRDefault="00B3105E" w:rsidP="00B3105E">
      <w:pPr>
        <w:numPr>
          <w:ilvl w:val="0"/>
          <w:numId w:val="3"/>
        </w:numPr>
        <w:autoSpaceDE w:val="0"/>
        <w:autoSpaceDN w:val="0"/>
        <w:adjustRightInd w:val="0"/>
        <w:spacing w:line="480" w:lineRule="auto"/>
        <w:jc w:val="both"/>
        <w:rPr>
          <w:rFonts w:ascii="Book Antiqua" w:eastAsia="Calibri" w:hAnsi="Book Antiqua"/>
          <w:szCs w:val="24"/>
          <w:lang w:val="es-PR"/>
        </w:rPr>
      </w:pPr>
      <w:r>
        <w:rPr>
          <w:rFonts w:ascii="Book Antiqua" w:eastAsia="Calibri" w:hAnsi="Book Antiqua"/>
          <w:i/>
          <w:iCs/>
          <w:szCs w:val="24"/>
          <w:u w:val="single"/>
          <w:lang w:val="es-PR"/>
        </w:rPr>
        <w:t xml:space="preserve">Certificación Registral de Plano: Cuando se requiera un documento con fe pública registral para un trámite judicial o administrativo, el Registrador podrá expedir </w:t>
      </w:r>
      <w:r w:rsidR="001C50DD">
        <w:rPr>
          <w:rFonts w:ascii="Book Antiqua" w:eastAsia="Calibri" w:hAnsi="Book Antiqua"/>
          <w:i/>
          <w:iCs/>
          <w:szCs w:val="24"/>
          <w:u w:val="single"/>
          <w:lang w:val="es-PR"/>
        </w:rPr>
        <w:t>una Certificación Registral de Plano. La certificación, emitida de conformidad con lo dispuesto en esta Ley, acreditará que el plano expedido es una copia fiel y exacta del que obra inscrito en el Registro y corresponde a la finca y al negocio jurídico en virtud del cual fue presentado</w:t>
      </w:r>
      <w:proofErr w:type="gramStart"/>
      <w:r w:rsidR="001C50DD">
        <w:rPr>
          <w:rFonts w:ascii="Book Antiqua" w:eastAsia="Calibri" w:hAnsi="Book Antiqua"/>
          <w:i/>
          <w:iCs/>
          <w:szCs w:val="24"/>
          <w:u w:val="single"/>
          <w:lang w:val="es-PR"/>
        </w:rPr>
        <w:t>.</w:t>
      </w:r>
      <w:r>
        <w:rPr>
          <w:rFonts w:ascii="Book Antiqua" w:eastAsia="Calibri" w:hAnsi="Book Antiqua"/>
          <w:i/>
          <w:iCs/>
          <w:szCs w:val="24"/>
          <w:u w:val="single"/>
          <w:lang w:val="es-PR"/>
        </w:rPr>
        <w:t xml:space="preserve"> </w:t>
      </w:r>
      <w:r w:rsidR="00682CBB" w:rsidRPr="005C6CA1">
        <w:rPr>
          <w:rFonts w:ascii="Book Antiqua" w:eastAsia="Calibri" w:hAnsi="Book Antiqua"/>
          <w:szCs w:val="24"/>
          <w:lang w:val="es-PR"/>
        </w:rPr>
        <w:t>”</w:t>
      </w:r>
      <w:proofErr w:type="gramEnd"/>
    </w:p>
    <w:p w14:paraId="01DEB05E" w14:textId="68E75548" w:rsidR="007A7D4F" w:rsidRPr="005C6CA1" w:rsidRDefault="007A7D4F" w:rsidP="00BA3832">
      <w:pPr>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Sección</w:t>
      </w:r>
      <w:r w:rsidR="00A732EB" w:rsidRPr="005C6CA1">
        <w:rPr>
          <w:rFonts w:ascii="Book Antiqua" w:eastAsia="Calibri" w:hAnsi="Book Antiqua"/>
          <w:szCs w:val="24"/>
          <w:lang w:val="es-PR"/>
        </w:rPr>
        <w:t xml:space="preserve"> </w:t>
      </w:r>
      <w:r w:rsidR="00A732EB" w:rsidRPr="00A84A39">
        <w:rPr>
          <w:rFonts w:ascii="Book Antiqua" w:eastAsia="Calibri" w:hAnsi="Book Antiqua"/>
          <w:strike/>
          <w:szCs w:val="24"/>
          <w:lang w:val="es-PR"/>
        </w:rPr>
        <w:t>8</w:t>
      </w:r>
      <w:r w:rsidR="00A84A39">
        <w:rPr>
          <w:rFonts w:ascii="Book Antiqua" w:eastAsia="Calibri" w:hAnsi="Book Antiqua"/>
          <w:szCs w:val="24"/>
          <w:lang w:val="es-PR"/>
        </w:rPr>
        <w:t xml:space="preserve"> </w:t>
      </w:r>
      <w:r w:rsidR="00A84A39" w:rsidRPr="00A84A39">
        <w:rPr>
          <w:rFonts w:ascii="Book Antiqua" w:eastAsia="Calibri" w:hAnsi="Book Antiqua"/>
          <w:i/>
          <w:iCs/>
          <w:szCs w:val="24"/>
          <w:u w:val="single"/>
          <w:lang w:val="es-PR"/>
        </w:rPr>
        <w:t>7</w:t>
      </w:r>
      <w:r w:rsidRPr="005C6CA1">
        <w:rPr>
          <w:rFonts w:ascii="Book Antiqua" w:eastAsia="Calibri" w:hAnsi="Book Antiqua"/>
          <w:szCs w:val="24"/>
          <w:lang w:val="es-PR"/>
        </w:rPr>
        <w:t>.- Se enmienda el Artículo 241 de la Ley</w:t>
      </w:r>
      <w:r w:rsidR="00BA7DAE">
        <w:rPr>
          <w:rFonts w:ascii="Book Antiqua" w:eastAsia="Calibri" w:hAnsi="Book Antiqua"/>
          <w:szCs w:val="24"/>
          <w:lang w:val="es-PR"/>
        </w:rPr>
        <w:t xml:space="preserve"> </w:t>
      </w:r>
      <w:r w:rsidR="00BA7DAE">
        <w:rPr>
          <w:rFonts w:ascii="Book Antiqua" w:eastAsia="Calibri" w:hAnsi="Book Antiqua"/>
          <w:i/>
          <w:iCs/>
          <w:szCs w:val="24"/>
          <w:u w:val="single"/>
          <w:lang w:val="es-PR"/>
        </w:rPr>
        <w:t>Núm.</w:t>
      </w:r>
      <w:r w:rsidRPr="005C6CA1">
        <w:rPr>
          <w:rFonts w:ascii="Book Antiqua" w:eastAsia="Calibri" w:hAnsi="Book Antiqua"/>
          <w:szCs w:val="24"/>
          <w:lang w:val="es-PR"/>
        </w:rPr>
        <w:t xml:space="preserve"> 210-2015, según enmendada, </w:t>
      </w:r>
      <w:r w:rsidRPr="00BA7DAE">
        <w:rPr>
          <w:rFonts w:ascii="Book Antiqua" w:eastAsia="Calibri" w:hAnsi="Book Antiqua"/>
          <w:strike/>
          <w:szCs w:val="24"/>
          <w:lang w:val="es-PR"/>
        </w:rPr>
        <w:t>conocida como “Ley del Registro de la Propiedad Inmobiliaria del Estado Libre Asociado de Puerto Rico”</w:t>
      </w:r>
      <w:bookmarkStart w:id="1" w:name="_Hlk54799250"/>
      <w:r w:rsidRPr="00BA7DAE">
        <w:rPr>
          <w:rFonts w:ascii="Book Antiqua" w:eastAsia="Calibri" w:hAnsi="Book Antiqua"/>
          <w:strike/>
          <w:szCs w:val="24"/>
          <w:lang w:val="es-PR"/>
        </w:rPr>
        <w:t>,</w:t>
      </w:r>
      <w:bookmarkEnd w:id="1"/>
      <w:r w:rsidRPr="005C6CA1">
        <w:rPr>
          <w:rFonts w:ascii="Book Antiqua" w:eastAsia="Calibri" w:hAnsi="Book Antiqua"/>
          <w:szCs w:val="24"/>
          <w:lang w:val="es-PR"/>
        </w:rPr>
        <w:t xml:space="preserve"> </w:t>
      </w:r>
      <w:r w:rsidR="0035718A" w:rsidRPr="005C6CA1">
        <w:rPr>
          <w:rFonts w:ascii="Book Antiqua" w:eastAsia="Calibri" w:hAnsi="Book Antiqua"/>
          <w:szCs w:val="24"/>
          <w:lang w:val="es-PR"/>
        </w:rPr>
        <w:t xml:space="preserve">para que </w:t>
      </w:r>
      <w:r w:rsidR="0035718A" w:rsidRPr="005C6CA1">
        <w:rPr>
          <w:rFonts w:ascii="Book Antiqua" w:eastAsia="Calibri" w:hAnsi="Book Antiqua"/>
          <w:i/>
          <w:iCs/>
          <w:szCs w:val="24"/>
          <w:u w:val="single"/>
          <w:lang w:val="es-PR"/>
        </w:rPr>
        <w:t>se</w:t>
      </w:r>
      <w:r w:rsidR="0035718A" w:rsidRPr="005C6CA1">
        <w:rPr>
          <w:rFonts w:ascii="Book Antiqua" w:eastAsia="Calibri" w:hAnsi="Book Antiqua"/>
          <w:szCs w:val="24"/>
          <w:lang w:val="es-PR"/>
        </w:rPr>
        <w:t xml:space="preserve"> lea </w:t>
      </w:r>
      <w:r w:rsidRPr="005C6CA1">
        <w:rPr>
          <w:rFonts w:ascii="Book Antiqua" w:eastAsia="Calibri" w:hAnsi="Book Antiqua"/>
          <w:szCs w:val="24"/>
          <w:lang w:val="es-PR"/>
        </w:rPr>
        <w:t>como sigue:</w:t>
      </w:r>
    </w:p>
    <w:p w14:paraId="5720BC78" w14:textId="77777777" w:rsidR="007A7D4F" w:rsidRPr="005C6CA1" w:rsidRDefault="007A7D4F" w:rsidP="00BA3832">
      <w:pPr>
        <w:autoSpaceDE w:val="0"/>
        <w:autoSpaceDN w:val="0"/>
        <w:adjustRightInd w:val="0"/>
        <w:spacing w:line="480" w:lineRule="auto"/>
        <w:ind w:left="720"/>
        <w:jc w:val="both"/>
        <w:rPr>
          <w:rFonts w:ascii="Book Antiqua" w:eastAsia="Calibri" w:hAnsi="Book Antiqua"/>
          <w:szCs w:val="24"/>
          <w:lang w:val="es-PR"/>
        </w:rPr>
      </w:pPr>
      <w:r w:rsidRPr="005C6CA1">
        <w:rPr>
          <w:rFonts w:ascii="Book Antiqua" w:eastAsia="Calibri" w:hAnsi="Book Antiqua"/>
          <w:color w:val="000000"/>
          <w:szCs w:val="24"/>
          <w:lang w:val="es-PR"/>
        </w:rPr>
        <w:t>“Artícul</w:t>
      </w:r>
      <w:r w:rsidR="00452852" w:rsidRPr="005C6CA1">
        <w:rPr>
          <w:rFonts w:ascii="Book Antiqua" w:eastAsia="Calibri" w:hAnsi="Book Antiqua"/>
          <w:color w:val="000000"/>
          <w:szCs w:val="24"/>
          <w:lang w:val="es-PR"/>
        </w:rPr>
        <w:t>o 241</w:t>
      </w:r>
      <w:r w:rsidRPr="005C6CA1">
        <w:rPr>
          <w:rFonts w:ascii="Book Antiqua" w:eastAsia="Calibri" w:hAnsi="Book Antiqua"/>
          <w:color w:val="000000"/>
          <w:szCs w:val="24"/>
          <w:lang w:val="es-PR"/>
        </w:rPr>
        <w:t>.</w:t>
      </w:r>
      <w:r w:rsidR="00452852" w:rsidRPr="005C6CA1">
        <w:rPr>
          <w:rFonts w:ascii="Book Antiqua" w:eastAsia="Calibri" w:hAnsi="Book Antiqua"/>
          <w:color w:val="000000"/>
          <w:szCs w:val="24"/>
          <w:lang w:val="es-PR"/>
        </w:rPr>
        <w:t xml:space="preserve">- </w:t>
      </w:r>
      <w:r w:rsidRPr="005C6CA1">
        <w:rPr>
          <w:rFonts w:ascii="Book Antiqua" w:eastAsia="Calibri" w:hAnsi="Book Antiqua"/>
          <w:color w:val="000000"/>
          <w:szCs w:val="24"/>
          <w:lang w:val="es-PR"/>
        </w:rPr>
        <w:t xml:space="preserve">Recalificación; plazo de presentación; contenido, calificación </w:t>
      </w:r>
      <w:r w:rsidRPr="005C6CA1">
        <w:rPr>
          <w:rFonts w:ascii="Book Antiqua" w:eastAsia="Calibri" w:hAnsi="Book Antiqua"/>
          <w:szCs w:val="24"/>
          <w:lang w:val="es-PR"/>
        </w:rPr>
        <w:t>consentida</w:t>
      </w:r>
      <w:r w:rsidR="00452852" w:rsidRPr="005C6CA1">
        <w:rPr>
          <w:rFonts w:ascii="Book Antiqua" w:eastAsia="Calibri" w:hAnsi="Book Antiqua"/>
          <w:szCs w:val="24"/>
          <w:lang w:val="es-PR"/>
        </w:rPr>
        <w:t>.</w:t>
      </w:r>
    </w:p>
    <w:p w14:paraId="1DEB3BE3" w14:textId="502EF92C" w:rsidR="007A7D4F" w:rsidRPr="005C6CA1" w:rsidRDefault="007A7D4F" w:rsidP="00BA3832">
      <w:pPr>
        <w:autoSpaceDE w:val="0"/>
        <w:autoSpaceDN w:val="0"/>
        <w:adjustRightInd w:val="0"/>
        <w:spacing w:line="480" w:lineRule="auto"/>
        <w:ind w:left="720" w:firstLine="720"/>
        <w:jc w:val="both"/>
        <w:rPr>
          <w:rFonts w:ascii="Book Antiqua" w:eastAsia="Calibri" w:hAnsi="Book Antiqua"/>
          <w:szCs w:val="24"/>
          <w:lang w:val="es-PR"/>
        </w:rPr>
      </w:pPr>
      <w:r w:rsidRPr="005C6CA1">
        <w:rPr>
          <w:rFonts w:ascii="Book Antiqua" w:eastAsia="Calibri" w:hAnsi="Book Antiqua"/>
          <w:szCs w:val="24"/>
          <w:lang w:val="es-PR"/>
        </w:rPr>
        <w:lastRenderedPageBreak/>
        <w:t>El notario, funcionario autorizado o el interesado que no esté conforme con la calificació</w:t>
      </w:r>
      <w:r w:rsidR="009D15E3" w:rsidRPr="005C6CA1">
        <w:rPr>
          <w:rFonts w:ascii="Book Antiqua" w:eastAsia="Calibri" w:hAnsi="Book Antiqua"/>
          <w:szCs w:val="24"/>
          <w:lang w:val="es-PR"/>
        </w:rPr>
        <w:t>n</w:t>
      </w:r>
      <w:r w:rsidRPr="005C6CA1">
        <w:rPr>
          <w:rFonts w:ascii="Book Antiqua" w:eastAsia="Calibri" w:hAnsi="Book Antiqua"/>
          <w:szCs w:val="24"/>
          <w:lang w:val="es-PR"/>
        </w:rPr>
        <w:t xml:space="preserve"> hecha por el Registrador podrá, dentro del término </w:t>
      </w:r>
      <w:r w:rsidRPr="00A84A39">
        <w:rPr>
          <w:rFonts w:ascii="Book Antiqua" w:eastAsia="Calibri" w:hAnsi="Book Antiqua"/>
          <w:szCs w:val="24"/>
          <w:lang w:val="es-PR"/>
        </w:rPr>
        <w:t xml:space="preserve">improrrogable </w:t>
      </w:r>
      <w:r w:rsidRPr="005C6CA1">
        <w:rPr>
          <w:rFonts w:ascii="Book Antiqua" w:eastAsia="Calibri" w:hAnsi="Book Antiqua"/>
          <w:szCs w:val="24"/>
          <w:lang w:val="es-PR"/>
        </w:rPr>
        <w:t xml:space="preserve">de veinte (20) días siguientes a la fecha de la notificación, presentar un escrito de recalificación </w:t>
      </w:r>
      <w:r w:rsidRPr="00D9493E">
        <w:rPr>
          <w:rFonts w:ascii="Book Antiqua" w:eastAsia="Calibri" w:hAnsi="Book Antiqua"/>
          <w:strike/>
          <w:szCs w:val="24"/>
          <w:lang w:val="es-PR"/>
        </w:rPr>
        <w:t>exponiendo</w:t>
      </w:r>
      <w:r w:rsidR="00D9493E">
        <w:rPr>
          <w:rFonts w:ascii="Book Antiqua" w:eastAsia="Calibri" w:hAnsi="Book Antiqua"/>
          <w:i/>
          <w:iCs/>
          <w:szCs w:val="24"/>
          <w:u w:val="single"/>
          <w:lang w:val="es-PR"/>
        </w:rPr>
        <w:t>. Expondrá</w:t>
      </w:r>
      <w:r w:rsidRPr="005C6CA1">
        <w:rPr>
          <w:rFonts w:ascii="Book Antiqua" w:eastAsia="Calibri" w:hAnsi="Book Antiqua"/>
          <w:szCs w:val="24"/>
          <w:lang w:val="es-PR"/>
        </w:rPr>
        <w:t xml:space="preserve"> sus objeciones a la calificación realizada, limitado dicho escrito a los fundamentos jurídicos en los que basa sus objeciones a la calificación, y una solicitud específica de lo que </w:t>
      </w:r>
      <w:proofErr w:type="gramStart"/>
      <w:r w:rsidRPr="005C6CA1">
        <w:rPr>
          <w:rFonts w:ascii="Book Antiqua" w:eastAsia="Calibri" w:hAnsi="Book Antiqua"/>
          <w:szCs w:val="24"/>
          <w:lang w:val="es-PR"/>
        </w:rPr>
        <w:t>interesa</w:t>
      </w:r>
      <w:r w:rsidRPr="00B34D01">
        <w:rPr>
          <w:rFonts w:ascii="Book Antiqua" w:eastAsia="Calibri" w:hAnsi="Book Antiqua"/>
          <w:strike/>
          <w:szCs w:val="24"/>
          <w:lang w:val="es-PR"/>
        </w:rPr>
        <w:t>,</w:t>
      </w:r>
      <w:r w:rsidR="00B34D01">
        <w:rPr>
          <w:rFonts w:ascii="Book Antiqua" w:eastAsia="Calibri" w:hAnsi="Book Antiqua"/>
          <w:i/>
          <w:iCs/>
          <w:szCs w:val="24"/>
          <w:u w:val="single"/>
          <w:lang w:val="es-PR"/>
        </w:rPr>
        <w:t>.</w:t>
      </w:r>
      <w:proofErr w:type="gramEnd"/>
      <w:r w:rsidR="00B34D01">
        <w:rPr>
          <w:rFonts w:ascii="Book Antiqua" w:eastAsia="Calibri" w:hAnsi="Book Antiqua"/>
          <w:i/>
          <w:iCs/>
          <w:szCs w:val="24"/>
          <w:u w:val="single"/>
          <w:lang w:val="es-PR"/>
        </w:rPr>
        <w:t xml:space="preserve"> Esto,</w:t>
      </w:r>
      <w:r w:rsidRPr="005C6CA1">
        <w:rPr>
          <w:rFonts w:ascii="Book Antiqua" w:eastAsia="Calibri" w:hAnsi="Book Antiqua"/>
          <w:szCs w:val="24"/>
          <w:lang w:val="es-PR"/>
        </w:rPr>
        <w:t xml:space="preserve"> a los únicos y exclusivos fines </w:t>
      </w:r>
      <w:r w:rsidR="00FA45EB">
        <w:rPr>
          <w:rFonts w:ascii="Book Antiqua" w:eastAsia="Calibri" w:hAnsi="Book Antiqua"/>
          <w:i/>
          <w:iCs/>
          <w:szCs w:val="24"/>
          <w:u w:val="single"/>
          <w:lang w:val="es-PR"/>
        </w:rPr>
        <w:t>de</w:t>
      </w:r>
      <w:r w:rsidR="00FA45EB" w:rsidRPr="00FA45EB">
        <w:rPr>
          <w:rFonts w:ascii="Book Antiqua" w:eastAsia="Calibri" w:hAnsi="Book Antiqua"/>
          <w:szCs w:val="24"/>
          <w:lang w:val="es-PR"/>
        </w:rPr>
        <w:t xml:space="preserve"> </w:t>
      </w:r>
      <w:r w:rsidRPr="005C6CA1">
        <w:rPr>
          <w:rFonts w:ascii="Book Antiqua" w:eastAsia="Calibri" w:hAnsi="Book Antiqua"/>
          <w:szCs w:val="24"/>
          <w:lang w:val="es-PR"/>
        </w:rPr>
        <w:t>que el registrador reconsidere su determinación y recalifique el documento notificado. Los notarios y funcionarios autorizados únicamente podrán hacerlo por la vía electrónica del sistema de informática registral. El escrito de recalificación deberá ser recibido en la sección del Registro de la Propiedad correspondiente dentro del referido término. Transcurrido el término de veinte (20) días se entenderán consentidos los defectos señalados por el Registrador.</w:t>
      </w:r>
    </w:p>
    <w:p w14:paraId="64653A58" w14:textId="4FB49C4E" w:rsidR="007A7D4F" w:rsidRPr="005C6CA1" w:rsidRDefault="007A7D4F" w:rsidP="00BA3832">
      <w:pPr>
        <w:autoSpaceDE w:val="0"/>
        <w:autoSpaceDN w:val="0"/>
        <w:adjustRightInd w:val="0"/>
        <w:spacing w:line="480" w:lineRule="auto"/>
        <w:ind w:left="720" w:firstLine="720"/>
        <w:jc w:val="both"/>
        <w:rPr>
          <w:rFonts w:ascii="Book Antiqua" w:hAnsi="Book Antiqua"/>
          <w:szCs w:val="24"/>
          <w:lang w:val="es-PR"/>
        </w:rPr>
      </w:pPr>
      <w:r w:rsidRPr="00A84A39">
        <w:rPr>
          <w:rFonts w:ascii="Book Antiqua" w:eastAsia="Calibri" w:hAnsi="Book Antiqua"/>
          <w:strike/>
          <w:szCs w:val="24"/>
          <w:lang w:val="es-PR"/>
        </w:rPr>
        <w:t xml:space="preserve">Estos requisitos son de estricto cumplimiento. </w:t>
      </w:r>
      <w:r w:rsidRPr="005C6CA1">
        <w:rPr>
          <w:rFonts w:ascii="Book Antiqua" w:eastAsia="Calibri" w:hAnsi="Book Antiqua"/>
          <w:szCs w:val="24"/>
          <w:lang w:val="es-PR"/>
        </w:rPr>
        <w:t xml:space="preserve">Si el escrito de recalificación no cumple con los requisitos antes indicados, se entenderá como no presentado, a todos los efectos legales pertinentes, y le será devuelto a la mayor brevedad posible al presentante. El escrito </w:t>
      </w:r>
      <w:r w:rsidRPr="00B217E2">
        <w:rPr>
          <w:rFonts w:ascii="Book Antiqua" w:eastAsia="Calibri" w:hAnsi="Book Antiqua"/>
          <w:strike/>
          <w:szCs w:val="24"/>
          <w:lang w:val="es-PR"/>
        </w:rPr>
        <w:t>as</w:t>
      </w:r>
      <m:oMath>
        <m:r>
          <w:rPr>
            <w:rFonts w:ascii="Cambria Math" w:eastAsia="Calibri" w:hAnsi="Cambria Math"/>
            <w:strike/>
            <w:szCs w:val="24"/>
            <w:lang w:val="es-ES"/>
          </w:rPr>
          <m:t>í</m:t>
        </m:r>
      </m:oMath>
      <w:r w:rsidRPr="005C6CA1">
        <w:rPr>
          <w:rFonts w:ascii="Book Antiqua" w:hAnsi="Book Antiqua"/>
          <w:szCs w:val="24"/>
          <w:lang w:val="es-PR"/>
        </w:rPr>
        <w:t xml:space="preserve"> </w:t>
      </w:r>
      <w:r w:rsidR="00B217E2">
        <w:rPr>
          <w:rFonts w:ascii="Book Antiqua" w:hAnsi="Book Antiqua"/>
          <w:i/>
          <w:iCs/>
          <w:szCs w:val="24"/>
          <w:u w:val="single"/>
          <w:lang w:val="es-PR"/>
        </w:rPr>
        <w:t>así</w:t>
      </w:r>
      <w:r w:rsidR="00B217E2" w:rsidRPr="00B217E2">
        <w:rPr>
          <w:rFonts w:ascii="Book Antiqua" w:hAnsi="Book Antiqua"/>
          <w:szCs w:val="24"/>
          <w:lang w:val="es-PR"/>
        </w:rPr>
        <w:t xml:space="preserve"> </w:t>
      </w:r>
      <w:r w:rsidRPr="005C6CA1">
        <w:rPr>
          <w:rFonts w:ascii="Book Antiqua" w:hAnsi="Book Antiqua"/>
          <w:szCs w:val="24"/>
          <w:lang w:val="es-PR"/>
        </w:rPr>
        <w:t>devuelto, bajo los fundamentos antes expuestos, no interrumpirá de manera alguna el término al que se hace referencia en el párrafo anterior.</w:t>
      </w:r>
    </w:p>
    <w:p w14:paraId="1A7C3BBB"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szCs w:val="24"/>
          <w:lang w:val="es-PR"/>
        </w:rPr>
      </w:pPr>
      <w:r w:rsidRPr="005C6CA1">
        <w:rPr>
          <w:rFonts w:ascii="Book Antiqua" w:eastAsia="Calibri" w:hAnsi="Book Antiqua"/>
          <w:szCs w:val="24"/>
          <w:lang w:val="es-PR"/>
        </w:rPr>
        <w:t>Una vez consentida la calificación, si el interesado corrige los defectos notificados dentro del término restante de los sesenta (60) días establecidos en el Artículo</w:t>
      </w:r>
      <w:r w:rsidR="004D15AD" w:rsidRPr="005C6CA1">
        <w:rPr>
          <w:rFonts w:ascii="Book Antiqua" w:eastAsia="Calibri" w:hAnsi="Book Antiqua"/>
          <w:szCs w:val="24"/>
          <w:lang w:val="es-PR"/>
        </w:rPr>
        <w:t xml:space="preserve"> 238</w:t>
      </w:r>
      <w:r w:rsidRPr="005C6CA1">
        <w:rPr>
          <w:rFonts w:ascii="Book Antiqua" w:eastAsia="Calibri" w:hAnsi="Book Antiqua"/>
          <w:szCs w:val="24"/>
          <w:lang w:val="es-PR"/>
        </w:rPr>
        <w:t xml:space="preserve"> de esta Ley, solamente podrá recurrir gubernativamente de la </w:t>
      </w:r>
      <w:r w:rsidRPr="005C6CA1">
        <w:rPr>
          <w:rFonts w:ascii="Book Antiqua" w:eastAsia="Calibri" w:hAnsi="Book Antiqua"/>
          <w:szCs w:val="24"/>
          <w:lang w:val="es-PR"/>
        </w:rPr>
        <w:lastRenderedPageBreak/>
        <w:t>denegatoria a los únicos efectos de determinar si los defectos notificados fueron corregidos.</w:t>
      </w:r>
    </w:p>
    <w:p w14:paraId="2B0C2EC8"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szCs w:val="24"/>
          <w:lang w:val="es-PR"/>
        </w:rPr>
      </w:pPr>
      <w:r w:rsidRPr="005C6CA1">
        <w:rPr>
          <w:rFonts w:ascii="Book Antiqua" w:eastAsia="Calibri" w:hAnsi="Book Antiqua"/>
          <w:szCs w:val="24"/>
          <w:lang w:val="es-PR"/>
        </w:rPr>
        <w:t>La inscripción de cualquier documento que haya sido notificado en tres ocasiones por los mismos defectos y que sea presentado una cuarta vez sin haberse corregido los mismos, será denegada de plano por el Registrador, sin ulterior trámite y de manera final y firme. El Registrador notificará dicha denegatoria al notario o funcionario y podrá dar comienzo a la tramitación de una acción ética en su contra.”</w:t>
      </w:r>
    </w:p>
    <w:p w14:paraId="0D6B6AD4" w14:textId="12451015" w:rsidR="009166F3" w:rsidRPr="005C6CA1" w:rsidRDefault="009166F3" w:rsidP="00BA3832">
      <w:pPr>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Sección</w:t>
      </w:r>
      <w:r w:rsidR="00A732EB" w:rsidRPr="005C6CA1">
        <w:rPr>
          <w:rFonts w:ascii="Book Antiqua" w:eastAsia="Calibri" w:hAnsi="Book Antiqua"/>
          <w:szCs w:val="24"/>
          <w:lang w:val="es-PR"/>
        </w:rPr>
        <w:t xml:space="preserve"> </w:t>
      </w:r>
      <w:r w:rsidR="00A732EB" w:rsidRPr="00A84A39">
        <w:rPr>
          <w:rFonts w:ascii="Book Antiqua" w:eastAsia="Calibri" w:hAnsi="Book Antiqua"/>
          <w:strike/>
          <w:szCs w:val="24"/>
          <w:lang w:val="es-PR"/>
        </w:rPr>
        <w:t>9</w:t>
      </w:r>
      <w:r w:rsidR="00A84A39">
        <w:rPr>
          <w:rFonts w:ascii="Book Antiqua" w:eastAsia="Calibri" w:hAnsi="Book Antiqua"/>
          <w:szCs w:val="24"/>
          <w:lang w:val="es-PR"/>
        </w:rPr>
        <w:t xml:space="preserve"> </w:t>
      </w:r>
      <w:r w:rsidR="00A84A39" w:rsidRPr="00A84A39">
        <w:rPr>
          <w:rFonts w:ascii="Book Antiqua" w:eastAsia="Calibri" w:hAnsi="Book Antiqua"/>
          <w:i/>
          <w:iCs/>
          <w:szCs w:val="24"/>
          <w:u w:val="single"/>
          <w:lang w:val="es-PR"/>
        </w:rPr>
        <w:t>8</w:t>
      </w:r>
      <w:r w:rsidRPr="005C6CA1">
        <w:rPr>
          <w:rFonts w:ascii="Book Antiqua" w:eastAsia="Calibri" w:hAnsi="Book Antiqua"/>
          <w:szCs w:val="24"/>
          <w:lang w:val="es-PR"/>
        </w:rPr>
        <w:t xml:space="preserve">.- Se enmienda el Artículo 245 de la Ley </w:t>
      </w:r>
      <w:r w:rsidR="0060653E">
        <w:rPr>
          <w:rFonts w:ascii="Book Antiqua" w:eastAsia="Calibri" w:hAnsi="Book Antiqua"/>
          <w:i/>
          <w:iCs/>
          <w:szCs w:val="24"/>
          <w:u w:val="single"/>
          <w:lang w:val="es-PR"/>
        </w:rPr>
        <w:t>Núm.</w:t>
      </w:r>
      <w:r w:rsidR="0060653E" w:rsidRPr="0060653E">
        <w:rPr>
          <w:rFonts w:ascii="Book Antiqua" w:eastAsia="Calibri" w:hAnsi="Book Antiqua"/>
          <w:szCs w:val="24"/>
          <w:lang w:val="es-PR"/>
        </w:rPr>
        <w:t xml:space="preserve"> </w:t>
      </w:r>
      <w:r w:rsidRPr="005C6CA1">
        <w:rPr>
          <w:rFonts w:ascii="Book Antiqua" w:eastAsia="Calibri" w:hAnsi="Book Antiqua"/>
          <w:szCs w:val="24"/>
          <w:lang w:val="es-PR"/>
        </w:rPr>
        <w:t xml:space="preserve">210-2015, según enmendada, </w:t>
      </w:r>
      <w:r w:rsidRPr="0060653E">
        <w:rPr>
          <w:rFonts w:ascii="Book Antiqua" w:eastAsia="Calibri" w:hAnsi="Book Antiqua"/>
          <w:strike/>
          <w:szCs w:val="24"/>
          <w:lang w:val="es-PR"/>
        </w:rPr>
        <w:t>conocida como “Ley del Registro de la Propiedad Inmobiliaria del Estado Libre Asociado de Puerto Rico”,</w:t>
      </w:r>
      <w:r w:rsidRPr="005C6CA1">
        <w:rPr>
          <w:rFonts w:ascii="Book Antiqua" w:eastAsia="Calibri" w:hAnsi="Book Antiqua"/>
          <w:szCs w:val="24"/>
          <w:lang w:val="es-PR"/>
        </w:rPr>
        <w:t xml:space="preserve"> </w:t>
      </w:r>
      <w:r w:rsidR="0035718A" w:rsidRPr="005C6CA1">
        <w:rPr>
          <w:rFonts w:ascii="Book Antiqua" w:eastAsia="Calibri" w:hAnsi="Book Antiqua"/>
          <w:szCs w:val="24"/>
          <w:lang w:val="es-PR"/>
        </w:rPr>
        <w:t xml:space="preserve">para que </w:t>
      </w:r>
      <w:r w:rsidR="0035718A" w:rsidRPr="005C6CA1">
        <w:rPr>
          <w:rFonts w:ascii="Book Antiqua" w:eastAsia="Calibri" w:hAnsi="Book Antiqua"/>
          <w:i/>
          <w:iCs/>
          <w:szCs w:val="24"/>
          <w:u w:val="single"/>
          <w:lang w:val="es-PR"/>
        </w:rPr>
        <w:t>se</w:t>
      </w:r>
      <w:r w:rsidR="0035718A" w:rsidRPr="005C6CA1">
        <w:rPr>
          <w:rFonts w:ascii="Book Antiqua" w:eastAsia="Calibri" w:hAnsi="Book Antiqua"/>
          <w:szCs w:val="24"/>
          <w:lang w:val="es-PR"/>
        </w:rPr>
        <w:t xml:space="preserve"> lea </w:t>
      </w:r>
      <w:r w:rsidRPr="005C6CA1">
        <w:rPr>
          <w:rFonts w:ascii="Book Antiqua" w:eastAsia="Calibri" w:hAnsi="Book Antiqua"/>
          <w:szCs w:val="24"/>
          <w:lang w:val="es-PR"/>
        </w:rPr>
        <w:t>como sigue:</w:t>
      </w:r>
    </w:p>
    <w:p w14:paraId="6CEDF505" w14:textId="77777777" w:rsidR="009166F3" w:rsidRPr="005C6CA1" w:rsidRDefault="009166F3" w:rsidP="00BA3832">
      <w:pPr>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“Artículo 245.- Plazo de interposición; contenido del recurso; procedimiento.</w:t>
      </w:r>
    </w:p>
    <w:p w14:paraId="7FDDAEE2" w14:textId="77777777" w:rsidR="009166F3" w:rsidRPr="005C6CA1" w:rsidRDefault="009166F3" w:rsidP="00BA3832">
      <w:pPr>
        <w:numPr>
          <w:ilvl w:val="0"/>
          <w:numId w:val="2"/>
        </w:numPr>
        <w:autoSpaceDE w:val="0"/>
        <w:autoSpaceDN w:val="0"/>
        <w:adjustRightInd w:val="0"/>
        <w:spacing w:line="480" w:lineRule="auto"/>
        <w:jc w:val="both"/>
        <w:rPr>
          <w:rFonts w:ascii="Book Antiqua" w:eastAsia="Calibri" w:hAnsi="Book Antiqua"/>
          <w:szCs w:val="24"/>
          <w:lang w:val="es-PR"/>
        </w:rPr>
      </w:pPr>
      <w:r w:rsidRPr="005C6CA1">
        <w:rPr>
          <w:rFonts w:ascii="Book Antiqua" w:eastAsia="Calibri" w:hAnsi="Book Antiqua"/>
          <w:szCs w:val="24"/>
          <w:lang w:val="es-PR"/>
        </w:rPr>
        <w:t xml:space="preserve">Recurso Gubernativo </w:t>
      </w:r>
    </w:p>
    <w:p w14:paraId="768B0DDB" w14:textId="6C8C2717" w:rsidR="009166F3" w:rsidRPr="005C6CA1" w:rsidRDefault="009166F3" w:rsidP="00BA3832">
      <w:pPr>
        <w:autoSpaceDE w:val="0"/>
        <w:autoSpaceDN w:val="0"/>
        <w:adjustRightInd w:val="0"/>
        <w:spacing w:line="480" w:lineRule="auto"/>
        <w:ind w:left="720" w:firstLine="360"/>
        <w:jc w:val="both"/>
        <w:rPr>
          <w:rFonts w:ascii="Book Antiqua" w:eastAsia="Calibri" w:hAnsi="Book Antiqua"/>
          <w:szCs w:val="24"/>
          <w:lang w:val="es-PR"/>
        </w:rPr>
      </w:pPr>
      <w:r w:rsidRPr="005C6CA1">
        <w:rPr>
          <w:rFonts w:ascii="Book Antiqua" w:eastAsia="Calibri" w:hAnsi="Book Antiqua"/>
          <w:szCs w:val="24"/>
          <w:lang w:val="es-PR"/>
        </w:rPr>
        <w:t xml:space="preserve">El notario, funcionario autorizado o el interesado, podrá </w:t>
      </w:r>
      <w:r w:rsidRPr="00E73158">
        <w:rPr>
          <w:rFonts w:ascii="Book Antiqua" w:eastAsia="Calibri" w:hAnsi="Book Antiqua"/>
          <w:strike/>
          <w:szCs w:val="24"/>
          <w:lang w:val="es-PR"/>
        </w:rPr>
        <w:t>radicar</w:t>
      </w:r>
      <w:r w:rsidRPr="005C6CA1">
        <w:rPr>
          <w:rFonts w:ascii="Book Antiqua" w:eastAsia="Calibri" w:hAnsi="Book Antiqua"/>
          <w:szCs w:val="24"/>
          <w:lang w:val="es-PR"/>
        </w:rPr>
        <w:t xml:space="preserve"> </w:t>
      </w:r>
      <w:r w:rsidR="00E73158">
        <w:rPr>
          <w:rFonts w:ascii="Book Antiqua" w:eastAsia="Calibri" w:hAnsi="Book Antiqua"/>
          <w:i/>
          <w:iCs/>
          <w:szCs w:val="24"/>
          <w:u w:val="single"/>
          <w:lang w:val="es-PR"/>
        </w:rPr>
        <w:t xml:space="preserve">presentar </w:t>
      </w:r>
      <w:r w:rsidRPr="005C6CA1">
        <w:rPr>
          <w:rFonts w:ascii="Book Antiqua" w:eastAsia="Calibri" w:hAnsi="Book Antiqua"/>
          <w:szCs w:val="24"/>
          <w:lang w:val="es-PR"/>
        </w:rPr>
        <w:t xml:space="preserve">recurso gubernativo ante el Tribunal Supremo de Puerto Rico dentro del término improrrogable de veinte (20) días a partir de la notificación de la denegatoria, y simultáneamente notificará al Registrador con copia del escrito. Si el recurso es </w:t>
      </w:r>
      <w:r w:rsidRPr="00615908">
        <w:rPr>
          <w:rFonts w:ascii="Book Antiqua" w:eastAsia="Calibri" w:hAnsi="Book Antiqua"/>
          <w:strike/>
          <w:szCs w:val="24"/>
          <w:lang w:val="es-PR"/>
        </w:rPr>
        <w:t>radicado</w:t>
      </w:r>
      <w:r w:rsidRPr="005C6CA1">
        <w:rPr>
          <w:rFonts w:ascii="Book Antiqua" w:eastAsia="Calibri" w:hAnsi="Book Antiqua"/>
          <w:szCs w:val="24"/>
          <w:lang w:val="es-PR"/>
        </w:rPr>
        <w:t xml:space="preserve"> </w:t>
      </w:r>
      <w:r w:rsidR="00615908">
        <w:rPr>
          <w:rFonts w:ascii="Book Antiqua" w:eastAsia="Calibri" w:hAnsi="Book Antiqua"/>
          <w:i/>
          <w:iCs/>
          <w:szCs w:val="24"/>
          <w:u w:val="single"/>
          <w:lang w:val="es-PR"/>
        </w:rPr>
        <w:t>presentado</w:t>
      </w:r>
      <w:r w:rsidR="00615908" w:rsidRPr="00615908">
        <w:rPr>
          <w:rFonts w:ascii="Book Antiqua" w:eastAsia="Calibri" w:hAnsi="Book Antiqua"/>
          <w:szCs w:val="24"/>
          <w:lang w:val="es-PR"/>
        </w:rPr>
        <w:t xml:space="preserve"> </w:t>
      </w:r>
      <w:r w:rsidRPr="005C6CA1">
        <w:rPr>
          <w:rFonts w:ascii="Book Antiqua" w:eastAsia="Calibri" w:hAnsi="Book Antiqua"/>
          <w:szCs w:val="24"/>
          <w:lang w:val="es-PR"/>
        </w:rPr>
        <w:t xml:space="preserve">por el notario o funcionario autorizado, lo hará por la vía electrónica del sistema de informática registral. </w:t>
      </w:r>
      <w:r w:rsidR="008E2489" w:rsidRPr="005C6CA1">
        <w:rPr>
          <w:rFonts w:ascii="Book Antiqua" w:eastAsia="Calibri" w:hAnsi="Book Antiqua"/>
          <w:szCs w:val="24"/>
          <w:lang w:val="es-PR"/>
        </w:rPr>
        <w:t xml:space="preserve">El notario o funcionario autorizado que </w:t>
      </w:r>
      <w:r w:rsidR="008E2489" w:rsidRPr="008C5AFE">
        <w:rPr>
          <w:rFonts w:ascii="Book Antiqua" w:eastAsia="Calibri" w:hAnsi="Book Antiqua"/>
          <w:strike/>
          <w:szCs w:val="24"/>
          <w:lang w:val="es-PR"/>
        </w:rPr>
        <w:t>radique</w:t>
      </w:r>
      <w:r w:rsidR="008E2489" w:rsidRPr="005C6CA1">
        <w:rPr>
          <w:rFonts w:ascii="Book Antiqua" w:eastAsia="Calibri" w:hAnsi="Book Antiqua"/>
          <w:szCs w:val="24"/>
          <w:lang w:val="es-PR"/>
        </w:rPr>
        <w:t xml:space="preserve"> </w:t>
      </w:r>
      <w:r w:rsidR="008C5AFE">
        <w:rPr>
          <w:rFonts w:ascii="Book Antiqua" w:eastAsia="Calibri" w:hAnsi="Book Antiqua"/>
          <w:i/>
          <w:iCs/>
          <w:szCs w:val="24"/>
          <w:u w:val="single"/>
          <w:lang w:val="es-PR"/>
        </w:rPr>
        <w:t>presente</w:t>
      </w:r>
      <w:r w:rsidR="008C5AFE" w:rsidRPr="008C5AFE">
        <w:rPr>
          <w:rFonts w:ascii="Book Antiqua" w:eastAsia="Calibri" w:hAnsi="Book Antiqua"/>
          <w:szCs w:val="24"/>
          <w:lang w:val="es-PR"/>
        </w:rPr>
        <w:t xml:space="preserve"> </w:t>
      </w:r>
      <w:r w:rsidR="008E2489" w:rsidRPr="005C6CA1">
        <w:rPr>
          <w:rFonts w:ascii="Book Antiqua" w:eastAsia="Calibri" w:hAnsi="Book Antiqua"/>
          <w:szCs w:val="24"/>
          <w:lang w:val="es-PR"/>
        </w:rPr>
        <w:t>el recurso</w:t>
      </w:r>
      <w:r w:rsidR="00885706" w:rsidRPr="005C6CA1">
        <w:rPr>
          <w:rFonts w:ascii="Book Antiqua" w:eastAsia="Calibri" w:hAnsi="Book Antiqua"/>
          <w:szCs w:val="24"/>
          <w:lang w:val="es-PR"/>
        </w:rPr>
        <w:t xml:space="preserve"> deberá incluir copia del documento que fue presentado y que es objeto del recurso. </w:t>
      </w:r>
      <w:r w:rsidRPr="005C6CA1">
        <w:rPr>
          <w:rFonts w:ascii="Book Antiqua" w:eastAsia="Calibri" w:hAnsi="Book Antiqua"/>
          <w:szCs w:val="24"/>
          <w:lang w:val="es-PR"/>
        </w:rPr>
        <w:t xml:space="preserve">En dicho recurso no podrá incluir objeciones a la calificación del documento que no hubiese incluido al </w:t>
      </w:r>
      <w:r w:rsidRPr="008C5AFE">
        <w:rPr>
          <w:rFonts w:ascii="Book Antiqua" w:eastAsia="Calibri" w:hAnsi="Book Antiqua"/>
          <w:strike/>
          <w:szCs w:val="24"/>
          <w:lang w:val="es-PR"/>
        </w:rPr>
        <w:t>radicar</w:t>
      </w:r>
      <w:r w:rsidRPr="005C6CA1">
        <w:rPr>
          <w:rFonts w:ascii="Book Antiqua" w:eastAsia="Calibri" w:hAnsi="Book Antiqua"/>
          <w:szCs w:val="24"/>
          <w:lang w:val="es-PR"/>
        </w:rPr>
        <w:t xml:space="preserve"> </w:t>
      </w:r>
      <w:r w:rsidR="008C5AFE">
        <w:rPr>
          <w:rFonts w:ascii="Book Antiqua" w:eastAsia="Calibri" w:hAnsi="Book Antiqua"/>
          <w:i/>
          <w:iCs/>
          <w:szCs w:val="24"/>
          <w:u w:val="single"/>
          <w:lang w:val="es-PR"/>
        </w:rPr>
        <w:lastRenderedPageBreak/>
        <w:t>presentar</w:t>
      </w:r>
      <w:r w:rsidR="008C5AFE" w:rsidRPr="008C5AFE">
        <w:rPr>
          <w:rFonts w:ascii="Book Antiqua" w:eastAsia="Calibri" w:hAnsi="Book Antiqua"/>
          <w:szCs w:val="24"/>
          <w:lang w:val="es-PR"/>
        </w:rPr>
        <w:t xml:space="preserve"> </w:t>
      </w:r>
      <w:r w:rsidRPr="005C6CA1">
        <w:rPr>
          <w:rFonts w:ascii="Book Antiqua" w:eastAsia="Calibri" w:hAnsi="Book Antiqua"/>
          <w:szCs w:val="24"/>
          <w:lang w:val="es-PR"/>
        </w:rPr>
        <w:t>el escrito de recalificación. De no interponerse el recurso dentro del término concedido, quedará consentida la denegatoria para todos los efectos legales.</w:t>
      </w:r>
    </w:p>
    <w:p w14:paraId="4F9F9134" w14:textId="4D057D24" w:rsidR="009166F3" w:rsidRPr="005C6CA1" w:rsidRDefault="009166F3" w:rsidP="00BA3832">
      <w:pPr>
        <w:autoSpaceDE w:val="0"/>
        <w:autoSpaceDN w:val="0"/>
        <w:adjustRightInd w:val="0"/>
        <w:spacing w:line="480" w:lineRule="auto"/>
        <w:ind w:left="720" w:firstLine="360"/>
        <w:jc w:val="both"/>
        <w:rPr>
          <w:rFonts w:ascii="Book Antiqua" w:eastAsia="Calibri" w:hAnsi="Book Antiqua"/>
          <w:szCs w:val="24"/>
          <w:lang w:val="es-PR"/>
        </w:rPr>
      </w:pPr>
      <w:r w:rsidRPr="005C6CA1">
        <w:rPr>
          <w:rFonts w:ascii="Book Antiqua" w:eastAsia="Calibri" w:hAnsi="Book Antiqua"/>
          <w:szCs w:val="24"/>
          <w:lang w:val="es-PR"/>
        </w:rPr>
        <w:t>El Registrador expresará al margen de la anotación de denegatoria, el hecho de la presentación del recurso gubernativo.  Dentro del plazo de cinco (5) días a partir del recibo del recurso, el Registrador presentará ante el Tribunal Supremo de Puerto Rico, el escrito de recalificación presentado por el recurrente, el cual acompañará con copias de los siguientes documentos:</w:t>
      </w:r>
      <w:r w:rsidR="00DC62DA" w:rsidRPr="005C6CA1">
        <w:rPr>
          <w:rFonts w:ascii="Book Antiqua" w:eastAsia="Calibri" w:hAnsi="Book Antiqua"/>
          <w:szCs w:val="24"/>
          <w:lang w:val="es-PR"/>
        </w:rPr>
        <w:t xml:space="preserve"> (1)</w:t>
      </w:r>
      <w:r w:rsidRPr="005C6CA1">
        <w:rPr>
          <w:rFonts w:ascii="Book Antiqua" w:eastAsia="Calibri" w:hAnsi="Book Antiqua"/>
          <w:szCs w:val="24"/>
          <w:lang w:val="es-PR"/>
        </w:rPr>
        <w:t xml:space="preserve"> la copia certificada del documento calificado y presentado </w:t>
      </w:r>
      <w:r w:rsidR="00C028E0" w:rsidRPr="005C6CA1">
        <w:rPr>
          <w:rFonts w:ascii="Book Antiqua" w:eastAsia="Calibri" w:hAnsi="Book Antiqua"/>
          <w:szCs w:val="24"/>
          <w:lang w:val="es-PR"/>
        </w:rPr>
        <w:t xml:space="preserve">con </w:t>
      </w:r>
      <w:r w:rsidR="0048066A" w:rsidRPr="005C6CA1">
        <w:rPr>
          <w:rFonts w:ascii="Book Antiqua" w:eastAsia="Calibri" w:hAnsi="Book Antiqua"/>
          <w:szCs w:val="24"/>
          <w:lang w:val="es-PR"/>
        </w:rPr>
        <w:t>sus comentarios</w:t>
      </w:r>
      <w:r w:rsidR="00C55E27" w:rsidRPr="005C6CA1">
        <w:rPr>
          <w:rFonts w:ascii="Book Antiqua" w:eastAsia="Calibri" w:hAnsi="Book Antiqua"/>
          <w:szCs w:val="24"/>
          <w:lang w:val="es-PR"/>
        </w:rPr>
        <w:t>; (2)</w:t>
      </w:r>
      <w:r w:rsidRPr="005C6CA1">
        <w:rPr>
          <w:rFonts w:ascii="Book Antiqua" w:eastAsia="Calibri" w:hAnsi="Book Antiqua"/>
          <w:szCs w:val="24"/>
          <w:lang w:val="es-PR"/>
        </w:rPr>
        <w:t xml:space="preserve"> la notificación de defectos</w:t>
      </w:r>
      <w:r w:rsidR="00C55E27" w:rsidRPr="005C6CA1">
        <w:rPr>
          <w:rFonts w:ascii="Book Antiqua" w:eastAsia="Calibri" w:hAnsi="Book Antiqua"/>
          <w:szCs w:val="24"/>
          <w:lang w:val="es-PR"/>
        </w:rPr>
        <w:t>;</w:t>
      </w:r>
      <w:r w:rsidRPr="005C6CA1">
        <w:rPr>
          <w:rFonts w:ascii="Book Antiqua" w:eastAsia="Calibri" w:hAnsi="Book Antiqua"/>
          <w:szCs w:val="24"/>
          <w:lang w:val="es-PR"/>
        </w:rPr>
        <w:t xml:space="preserve"> y </w:t>
      </w:r>
      <w:r w:rsidR="00C55E27" w:rsidRPr="005C6CA1">
        <w:rPr>
          <w:rFonts w:ascii="Book Antiqua" w:eastAsia="Calibri" w:hAnsi="Book Antiqua"/>
          <w:szCs w:val="24"/>
          <w:lang w:val="es-PR"/>
        </w:rPr>
        <w:t xml:space="preserve">(3) </w:t>
      </w:r>
      <w:r w:rsidRPr="005C6CA1">
        <w:rPr>
          <w:rFonts w:ascii="Book Antiqua" w:eastAsia="Calibri" w:hAnsi="Book Antiqua"/>
          <w:szCs w:val="24"/>
          <w:lang w:val="es-PR"/>
        </w:rPr>
        <w:t>cualquier otro documento que estime pertinente</w:t>
      </w:r>
      <w:r w:rsidR="0048066A" w:rsidRPr="005C6CA1">
        <w:rPr>
          <w:rFonts w:ascii="Book Antiqua" w:eastAsia="Calibri" w:hAnsi="Book Antiqua"/>
          <w:szCs w:val="24"/>
          <w:lang w:val="es-PR"/>
        </w:rPr>
        <w:t>. El</w:t>
      </w:r>
      <w:r w:rsidRPr="005C6CA1">
        <w:rPr>
          <w:rFonts w:ascii="Book Antiqua" w:eastAsia="Calibri" w:hAnsi="Book Antiqua"/>
          <w:szCs w:val="24"/>
          <w:lang w:val="es-PR"/>
        </w:rPr>
        <w:t xml:space="preserve"> Registrador </w:t>
      </w:r>
      <w:r w:rsidRPr="00967858">
        <w:rPr>
          <w:rFonts w:ascii="Book Antiqua" w:eastAsia="Calibri" w:hAnsi="Book Antiqua"/>
          <w:strike/>
          <w:szCs w:val="24"/>
          <w:lang w:val="es-PR"/>
        </w:rPr>
        <w:t>someterá</w:t>
      </w:r>
      <w:r w:rsidRPr="005C6CA1">
        <w:rPr>
          <w:rFonts w:ascii="Book Antiqua" w:eastAsia="Calibri" w:hAnsi="Book Antiqua"/>
          <w:szCs w:val="24"/>
          <w:lang w:val="es-PR"/>
        </w:rPr>
        <w:t xml:space="preserve"> </w:t>
      </w:r>
      <w:r w:rsidR="00967858">
        <w:rPr>
          <w:rFonts w:ascii="Book Antiqua" w:eastAsia="Calibri" w:hAnsi="Book Antiqua"/>
          <w:i/>
          <w:iCs/>
          <w:szCs w:val="24"/>
          <w:u w:val="single"/>
          <w:lang w:val="es-PR"/>
        </w:rPr>
        <w:t>presentará</w:t>
      </w:r>
      <w:r w:rsidR="00967858" w:rsidRPr="00967858">
        <w:rPr>
          <w:rFonts w:ascii="Book Antiqua" w:eastAsia="Calibri" w:hAnsi="Book Antiqua"/>
          <w:szCs w:val="24"/>
          <w:lang w:val="es-PR"/>
        </w:rPr>
        <w:t xml:space="preserve"> </w:t>
      </w:r>
      <w:r w:rsidRPr="005C6CA1">
        <w:rPr>
          <w:rFonts w:ascii="Book Antiqua" w:eastAsia="Calibri" w:hAnsi="Book Antiqua"/>
          <w:szCs w:val="24"/>
          <w:lang w:val="es-PR"/>
        </w:rPr>
        <w:t>su escrito al Tribunal Supremo de Puerto Rico contestando las alegaciones del recurrente, en un plazo no mayor de veinte (20) días, contado a partir del recibo del recurso.</w:t>
      </w:r>
    </w:p>
    <w:p w14:paraId="37926177" w14:textId="77777777" w:rsidR="00E4768E" w:rsidRPr="005C6CA1" w:rsidRDefault="00E4768E" w:rsidP="00BA3832">
      <w:pPr>
        <w:numPr>
          <w:ilvl w:val="0"/>
          <w:numId w:val="2"/>
        </w:numPr>
        <w:autoSpaceDE w:val="0"/>
        <w:autoSpaceDN w:val="0"/>
        <w:adjustRightInd w:val="0"/>
        <w:spacing w:line="480" w:lineRule="auto"/>
        <w:jc w:val="both"/>
        <w:rPr>
          <w:rFonts w:ascii="Book Antiqua" w:eastAsia="Calibri" w:hAnsi="Book Antiqua"/>
          <w:szCs w:val="24"/>
          <w:lang w:val="es-PR"/>
        </w:rPr>
      </w:pPr>
      <w:r w:rsidRPr="005C6CA1">
        <w:rPr>
          <w:rFonts w:ascii="Book Antiqua" w:eastAsia="Calibri" w:hAnsi="Book Antiqua"/>
          <w:szCs w:val="24"/>
          <w:lang w:val="es-PR"/>
        </w:rPr>
        <w:t>Presentación de Oficio ante el Tribunal Supremo</w:t>
      </w:r>
    </w:p>
    <w:p w14:paraId="05B1E973" w14:textId="77777777" w:rsidR="009166F3" w:rsidRPr="005C6CA1" w:rsidRDefault="00E4768E" w:rsidP="00BA3832">
      <w:pPr>
        <w:autoSpaceDE w:val="0"/>
        <w:autoSpaceDN w:val="0"/>
        <w:adjustRightInd w:val="0"/>
        <w:spacing w:line="480" w:lineRule="auto"/>
        <w:ind w:left="720" w:firstLine="360"/>
        <w:jc w:val="both"/>
        <w:rPr>
          <w:rFonts w:ascii="Book Antiqua" w:eastAsia="Calibri" w:hAnsi="Book Antiqua"/>
          <w:szCs w:val="24"/>
          <w:lang w:val="es-PR"/>
        </w:rPr>
      </w:pPr>
      <w:r w:rsidRPr="005C6CA1">
        <w:rPr>
          <w:rFonts w:ascii="Book Antiqua" w:eastAsia="Calibri" w:hAnsi="Book Antiqua"/>
          <w:szCs w:val="24"/>
          <w:lang w:val="es-PR"/>
        </w:rPr>
        <w:t>El Registrador podrá presentar ante el Tribunal Supremo de Puerto Rico un alegato en apoyo a su calificación luego de transcurridos diez (10) días de notificada la denegatoria sin que se haya retirado el documento y antes de vencer el término que tiene el notario o funcionario para recurrir, el cual acompañará con copias de los siguientes documentos: (1) la copia certificada del documento presentado y calificado con sus complementarios; (2) la notificación de defectos; (3) el escrito de recalificación; y (4) cualquier otro documento que estime pertinente, de todo lo cual notificará al interesado.</w:t>
      </w:r>
    </w:p>
    <w:p w14:paraId="1555A4BE" w14:textId="77777777" w:rsidR="001C0218" w:rsidRPr="005C6CA1" w:rsidRDefault="001C0218" w:rsidP="00BA3832">
      <w:pPr>
        <w:autoSpaceDE w:val="0"/>
        <w:autoSpaceDN w:val="0"/>
        <w:adjustRightInd w:val="0"/>
        <w:spacing w:line="480" w:lineRule="auto"/>
        <w:jc w:val="both"/>
        <w:rPr>
          <w:rFonts w:ascii="Book Antiqua" w:eastAsia="Calibri" w:hAnsi="Book Antiqua"/>
          <w:szCs w:val="24"/>
          <w:lang w:val="es-PR"/>
        </w:rPr>
      </w:pPr>
      <w:r w:rsidRPr="005C6CA1">
        <w:rPr>
          <w:rFonts w:ascii="Book Antiqua" w:eastAsia="Calibri" w:hAnsi="Book Antiqua"/>
          <w:szCs w:val="24"/>
          <w:lang w:val="es-PR"/>
        </w:rPr>
        <w:lastRenderedPageBreak/>
        <w:tab/>
        <w:t>…”</w:t>
      </w:r>
    </w:p>
    <w:p w14:paraId="119DB6D6" w14:textId="77777777" w:rsidR="007A7D4F" w:rsidRPr="005C6CA1" w:rsidRDefault="007A7D4F" w:rsidP="00BA3832">
      <w:pPr>
        <w:autoSpaceDE w:val="0"/>
        <w:autoSpaceDN w:val="0"/>
        <w:adjustRightInd w:val="0"/>
        <w:spacing w:line="480" w:lineRule="auto"/>
        <w:ind w:firstLine="720"/>
        <w:jc w:val="both"/>
        <w:rPr>
          <w:rFonts w:ascii="Book Antiqua" w:eastAsia="Calibri" w:hAnsi="Book Antiqua"/>
          <w:strike/>
          <w:szCs w:val="24"/>
          <w:lang w:val="es-PR"/>
        </w:rPr>
      </w:pPr>
      <w:r w:rsidRPr="005C6CA1">
        <w:rPr>
          <w:rFonts w:ascii="Book Antiqua" w:eastAsia="Calibri" w:hAnsi="Book Antiqua"/>
          <w:strike/>
          <w:szCs w:val="24"/>
          <w:lang w:val="es-PR"/>
        </w:rPr>
        <w:t>Sección</w:t>
      </w:r>
      <w:r w:rsidR="007C7EC5" w:rsidRPr="005C6CA1">
        <w:rPr>
          <w:rFonts w:ascii="Book Antiqua" w:eastAsia="Calibri" w:hAnsi="Book Antiqua"/>
          <w:strike/>
          <w:szCs w:val="24"/>
          <w:lang w:val="es-PR"/>
        </w:rPr>
        <w:t xml:space="preserve"> </w:t>
      </w:r>
      <w:r w:rsidR="00A732EB" w:rsidRPr="005C6CA1">
        <w:rPr>
          <w:rFonts w:ascii="Book Antiqua" w:eastAsia="Calibri" w:hAnsi="Book Antiqua"/>
          <w:strike/>
          <w:szCs w:val="24"/>
          <w:lang w:val="es-PR"/>
        </w:rPr>
        <w:t>10</w:t>
      </w:r>
      <w:r w:rsidRPr="005C6CA1">
        <w:rPr>
          <w:rFonts w:ascii="Book Antiqua" w:eastAsia="Calibri" w:hAnsi="Book Antiqua"/>
          <w:strike/>
          <w:szCs w:val="24"/>
          <w:lang w:val="es-PR"/>
        </w:rPr>
        <w:t>.- Se enmienda el Artículo 257 de la Ley 210-2015, según enmendada, conocida como “Ley del Registro de la Propiedad Inmobiliaria del Estado Libre Asociado de Puerto Rico”, para que lea como sigue:</w:t>
      </w:r>
    </w:p>
    <w:p w14:paraId="6A7BF0DA" w14:textId="77777777" w:rsidR="007A7D4F" w:rsidRPr="005C6CA1" w:rsidRDefault="007A7D4F" w:rsidP="00BA3832">
      <w:pPr>
        <w:autoSpaceDE w:val="0"/>
        <w:autoSpaceDN w:val="0"/>
        <w:adjustRightInd w:val="0"/>
        <w:spacing w:line="480" w:lineRule="auto"/>
        <w:ind w:firstLine="720"/>
        <w:jc w:val="both"/>
        <w:rPr>
          <w:rFonts w:ascii="Book Antiqua" w:eastAsia="Calibri" w:hAnsi="Book Antiqua"/>
          <w:strike/>
          <w:color w:val="000000"/>
          <w:szCs w:val="24"/>
          <w:lang w:val="es-PR"/>
        </w:rPr>
      </w:pPr>
      <w:r w:rsidRPr="005C6CA1">
        <w:rPr>
          <w:rFonts w:ascii="Book Antiqua" w:eastAsia="Calibri" w:hAnsi="Book Antiqua"/>
          <w:b/>
          <w:strike/>
          <w:color w:val="000000"/>
          <w:szCs w:val="24"/>
          <w:lang w:val="es-PR"/>
        </w:rPr>
        <w:t>“</w:t>
      </w:r>
      <w:r w:rsidRPr="005C6CA1">
        <w:rPr>
          <w:rFonts w:ascii="Book Antiqua" w:eastAsia="Calibri" w:hAnsi="Book Antiqua"/>
          <w:strike/>
          <w:color w:val="000000"/>
          <w:szCs w:val="24"/>
          <w:lang w:val="es-PR"/>
        </w:rPr>
        <w:t>Artículo</w:t>
      </w:r>
      <w:r w:rsidR="007C7EC5" w:rsidRPr="005C6CA1">
        <w:rPr>
          <w:rFonts w:ascii="Book Antiqua" w:eastAsia="Calibri" w:hAnsi="Book Antiqua"/>
          <w:strike/>
          <w:color w:val="000000"/>
          <w:szCs w:val="24"/>
          <w:lang w:val="es-PR"/>
        </w:rPr>
        <w:t xml:space="preserve"> </w:t>
      </w:r>
      <w:r w:rsidR="00EE1318" w:rsidRPr="005C6CA1">
        <w:rPr>
          <w:rFonts w:ascii="Book Antiqua" w:eastAsia="Calibri" w:hAnsi="Book Antiqua"/>
          <w:strike/>
          <w:color w:val="000000"/>
          <w:szCs w:val="24"/>
          <w:lang w:val="es-PR"/>
        </w:rPr>
        <w:t>257</w:t>
      </w:r>
      <w:r w:rsidRPr="005C6CA1">
        <w:rPr>
          <w:rFonts w:ascii="Book Antiqua" w:eastAsia="Calibri" w:hAnsi="Book Antiqua"/>
          <w:strike/>
          <w:color w:val="000000"/>
          <w:szCs w:val="24"/>
          <w:lang w:val="es-PR"/>
        </w:rPr>
        <w:t>.-</w:t>
      </w:r>
      <w:r w:rsidR="00EE1318" w:rsidRPr="005C6CA1">
        <w:rPr>
          <w:rFonts w:ascii="Book Antiqua" w:eastAsia="Calibri" w:hAnsi="Book Antiqua"/>
          <w:strike/>
          <w:color w:val="000000"/>
          <w:szCs w:val="24"/>
          <w:lang w:val="es-PR"/>
        </w:rPr>
        <w:t xml:space="preserve"> </w:t>
      </w:r>
      <w:r w:rsidRPr="005C6CA1">
        <w:rPr>
          <w:rFonts w:ascii="Book Antiqua" w:eastAsia="Calibri" w:hAnsi="Book Antiqua"/>
          <w:strike/>
          <w:color w:val="000000"/>
          <w:szCs w:val="24"/>
          <w:lang w:val="es-PR"/>
        </w:rPr>
        <w:t>Contenido del asiento de presentación</w:t>
      </w:r>
      <w:r w:rsidR="00EE1318" w:rsidRPr="005C6CA1">
        <w:rPr>
          <w:rFonts w:ascii="Book Antiqua" w:eastAsia="Calibri" w:hAnsi="Book Antiqua"/>
          <w:strike/>
          <w:color w:val="000000"/>
          <w:szCs w:val="24"/>
          <w:lang w:val="es-PR"/>
        </w:rPr>
        <w:t>.</w:t>
      </w:r>
    </w:p>
    <w:p w14:paraId="2FD3D57B"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strike/>
          <w:color w:val="000000"/>
          <w:szCs w:val="24"/>
          <w:lang w:val="es-PR"/>
        </w:rPr>
      </w:pPr>
      <w:r w:rsidRPr="005C6CA1">
        <w:rPr>
          <w:rFonts w:ascii="Book Antiqua" w:eastAsia="Calibri" w:hAnsi="Book Antiqua"/>
          <w:strike/>
          <w:color w:val="000000"/>
          <w:szCs w:val="24"/>
          <w:lang w:val="es-PR"/>
        </w:rPr>
        <w:t xml:space="preserve">El Diario contendrá la información sobre los títulos que se presenten en el Registro. El asiento de presentación deberá contener la siguiente información: </w:t>
      </w:r>
    </w:p>
    <w:p w14:paraId="6CB193F1" w14:textId="77777777" w:rsidR="007A7D4F" w:rsidRPr="005C6CA1" w:rsidRDefault="00E01072" w:rsidP="00BA3832">
      <w:pPr>
        <w:autoSpaceDE w:val="0"/>
        <w:autoSpaceDN w:val="0"/>
        <w:adjustRightInd w:val="0"/>
        <w:spacing w:line="480" w:lineRule="auto"/>
        <w:ind w:firstLine="720"/>
        <w:jc w:val="both"/>
        <w:rPr>
          <w:rFonts w:ascii="Book Antiqua" w:eastAsia="Calibri" w:hAnsi="Book Antiqua"/>
          <w:strike/>
          <w:color w:val="000000"/>
          <w:szCs w:val="24"/>
          <w:lang w:val="es-PR"/>
        </w:rPr>
      </w:pPr>
      <w:r w:rsidRPr="005C6CA1">
        <w:rPr>
          <w:rFonts w:ascii="Book Antiqua" w:eastAsia="Calibri" w:hAnsi="Book Antiqua"/>
          <w:strike/>
          <w:color w:val="000000"/>
          <w:szCs w:val="24"/>
          <w:lang w:val="es-PR"/>
        </w:rPr>
        <w:t>…</w:t>
      </w:r>
    </w:p>
    <w:p w14:paraId="73857098"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strike/>
          <w:color w:val="000000"/>
          <w:szCs w:val="24"/>
          <w:lang w:val="es-PR"/>
        </w:rPr>
      </w:pPr>
      <w:r w:rsidRPr="005C6CA1">
        <w:rPr>
          <w:rFonts w:ascii="Book Antiqua" w:eastAsia="Calibri" w:hAnsi="Book Antiqua"/>
          <w:strike/>
          <w:color w:val="000000"/>
          <w:szCs w:val="24"/>
          <w:lang w:val="es-PR"/>
        </w:rPr>
        <w:t>Cada documento con sus complementarios motivará un asiento de presentación.</w:t>
      </w:r>
      <w:r w:rsidR="009D15E3" w:rsidRPr="005C6CA1">
        <w:rPr>
          <w:rFonts w:ascii="Book Antiqua" w:eastAsia="Calibri" w:hAnsi="Book Antiqua"/>
          <w:strike/>
          <w:color w:val="000000"/>
          <w:szCs w:val="24"/>
          <w:lang w:val="es-PR"/>
        </w:rPr>
        <w:t xml:space="preserve"> </w:t>
      </w:r>
      <w:r w:rsidRPr="005C6CA1">
        <w:rPr>
          <w:rFonts w:ascii="Book Antiqua" w:eastAsia="Calibri" w:hAnsi="Book Antiqua"/>
          <w:strike/>
          <w:color w:val="000000"/>
          <w:szCs w:val="24"/>
          <w:lang w:val="es-PR"/>
        </w:rPr>
        <w:t>En cada asiento se hará constar la acción tomada por el Registrador respecto al documento.”</w:t>
      </w:r>
    </w:p>
    <w:p w14:paraId="613D74B9" w14:textId="51F4E479" w:rsidR="007A7D4F" w:rsidRPr="005C6CA1" w:rsidRDefault="007A7D4F" w:rsidP="00BA3832">
      <w:pPr>
        <w:autoSpaceDE w:val="0"/>
        <w:autoSpaceDN w:val="0"/>
        <w:adjustRightInd w:val="0"/>
        <w:spacing w:line="480" w:lineRule="auto"/>
        <w:ind w:firstLine="720"/>
        <w:jc w:val="both"/>
        <w:rPr>
          <w:rFonts w:ascii="Book Antiqua" w:eastAsia="Calibri" w:hAnsi="Book Antiqua"/>
          <w:szCs w:val="24"/>
          <w:lang w:val="es-PR"/>
        </w:rPr>
      </w:pPr>
      <w:r w:rsidRPr="005C6CA1">
        <w:rPr>
          <w:rFonts w:ascii="Book Antiqua" w:eastAsia="Calibri" w:hAnsi="Book Antiqua"/>
          <w:szCs w:val="24"/>
          <w:lang w:val="es-PR"/>
        </w:rPr>
        <w:t>Sección</w:t>
      </w:r>
      <w:r w:rsidR="003146C3" w:rsidRPr="005C6CA1">
        <w:rPr>
          <w:rFonts w:ascii="Book Antiqua" w:eastAsia="Calibri" w:hAnsi="Book Antiqua"/>
          <w:szCs w:val="24"/>
          <w:lang w:val="es-PR"/>
        </w:rPr>
        <w:t xml:space="preserve"> </w:t>
      </w:r>
      <w:r w:rsidR="00A732EB" w:rsidRPr="005C6CA1">
        <w:rPr>
          <w:rFonts w:ascii="Book Antiqua" w:eastAsia="Calibri" w:hAnsi="Book Antiqua"/>
          <w:strike/>
          <w:szCs w:val="24"/>
          <w:lang w:val="es-PR"/>
        </w:rPr>
        <w:t>11</w:t>
      </w:r>
      <w:r w:rsidR="00455752" w:rsidRPr="005C6CA1">
        <w:rPr>
          <w:rFonts w:ascii="Book Antiqua" w:eastAsia="Calibri" w:hAnsi="Book Antiqua"/>
          <w:szCs w:val="24"/>
          <w:lang w:val="es-PR"/>
        </w:rPr>
        <w:t xml:space="preserve"> </w:t>
      </w:r>
      <w:r w:rsidR="00A84A39">
        <w:rPr>
          <w:rFonts w:ascii="Book Antiqua" w:eastAsia="Calibri" w:hAnsi="Book Antiqua"/>
          <w:i/>
          <w:iCs/>
          <w:szCs w:val="24"/>
          <w:u w:val="single"/>
          <w:lang w:val="es-PR"/>
        </w:rPr>
        <w:t>9</w:t>
      </w:r>
      <w:r w:rsidRPr="005C6CA1">
        <w:rPr>
          <w:rFonts w:ascii="Book Antiqua" w:eastAsia="Calibri" w:hAnsi="Book Antiqua"/>
          <w:szCs w:val="24"/>
          <w:lang w:val="es-PR"/>
        </w:rPr>
        <w:t>.- Se enmienda el Artículo 259 de la Ley</w:t>
      </w:r>
      <w:r w:rsidR="00DE2181">
        <w:rPr>
          <w:rFonts w:ascii="Book Antiqua" w:eastAsia="Calibri" w:hAnsi="Book Antiqua"/>
          <w:szCs w:val="24"/>
          <w:lang w:val="es-PR"/>
        </w:rPr>
        <w:t xml:space="preserve"> </w:t>
      </w:r>
      <w:r w:rsidR="00DE2181">
        <w:rPr>
          <w:rFonts w:ascii="Book Antiqua" w:eastAsia="Calibri" w:hAnsi="Book Antiqua"/>
          <w:i/>
          <w:iCs/>
          <w:szCs w:val="24"/>
          <w:u w:val="single"/>
          <w:lang w:val="es-PR"/>
        </w:rPr>
        <w:t>Núm.</w:t>
      </w:r>
      <w:r w:rsidR="003146C3" w:rsidRPr="005C6CA1">
        <w:rPr>
          <w:rFonts w:ascii="Book Antiqua" w:eastAsia="Calibri" w:hAnsi="Book Antiqua"/>
          <w:szCs w:val="24"/>
          <w:lang w:val="es-PR"/>
        </w:rPr>
        <w:t xml:space="preserve"> </w:t>
      </w:r>
      <w:r w:rsidRPr="005C6CA1">
        <w:rPr>
          <w:rFonts w:ascii="Book Antiqua" w:eastAsia="Calibri" w:hAnsi="Book Antiqua"/>
          <w:szCs w:val="24"/>
          <w:lang w:val="es-PR"/>
        </w:rPr>
        <w:t xml:space="preserve">210-2015, según enmendada, </w:t>
      </w:r>
      <w:r w:rsidRPr="00DE2181">
        <w:rPr>
          <w:rFonts w:ascii="Book Antiqua" w:eastAsia="Calibri" w:hAnsi="Book Antiqua"/>
          <w:strike/>
          <w:szCs w:val="24"/>
          <w:lang w:val="es-PR"/>
        </w:rPr>
        <w:t>conocida como “Ley del Registro de la Propiedad Inmobiliaria del Estado Libre Asociado de Puerto Rico”,</w:t>
      </w:r>
      <w:r w:rsidRPr="005C6CA1">
        <w:rPr>
          <w:rFonts w:ascii="Book Antiqua" w:eastAsia="Calibri" w:hAnsi="Book Antiqua"/>
          <w:szCs w:val="24"/>
          <w:lang w:val="es-PR"/>
        </w:rPr>
        <w:t xml:space="preserve"> para que </w:t>
      </w:r>
      <w:r w:rsidR="00455752" w:rsidRPr="005C6CA1">
        <w:rPr>
          <w:rFonts w:ascii="Book Antiqua" w:eastAsia="Calibri" w:hAnsi="Book Antiqua"/>
          <w:i/>
          <w:iCs/>
          <w:szCs w:val="24"/>
          <w:u w:val="single"/>
          <w:lang w:val="es-PR"/>
        </w:rPr>
        <w:t>se</w:t>
      </w:r>
      <w:r w:rsidR="00455752" w:rsidRPr="005C6CA1">
        <w:rPr>
          <w:rFonts w:ascii="Book Antiqua" w:eastAsia="Calibri" w:hAnsi="Book Antiqua"/>
          <w:i/>
          <w:iCs/>
          <w:szCs w:val="24"/>
          <w:lang w:val="es-PR"/>
        </w:rPr>
        <w:t xml:space="preserve"> </w:t>
      </w:r>
      <w:r w:rsidRPr="005C6CA1">
        <w:rPr>
          <w:rFonts w:ascii="Book Antiqua" w:eastAsia="Calibri" w:hAnsi="Book Antiqua"/>
          <w:szCs w:val="24"/>
          <w:lang w:val="es-PR"/>
        </w:rPr>
        <w:t>lea como sigue:</w:t>
      </w:r>
    </w:p>
    <w:p w14:paraId="0DB3C0A4" w14:textId="77777777" w:rsidR="007A7D4F" w:rsidRPr="005C6CA1" w:rsidRDefault="007A7D4F" w:rsidP="00BA3832">
      <w:pPr>
        <w:autoSpaceDE w:val="0"/>
        <w:autoSpaceDN w:val="0"/>
        <w:adjustRightInd w:val="0"/>
        <w:spacing w:line="480" w:lineRule="auto"/>
        <w:ind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“Artículo</w:t>
      </w:r>
      <w:r w:rsidR="003146C3" w:rsidRPr="005C6CA1">
        <w:rPr>
          <w:rFonts w:ascii="Book Antiqua" w:eastAsia="Calibri" w:hAnsi="Book Antiqua"/>
          <w:color w:val="000000"/>
          <w:szCs w:val="24"/>
          <w:lang w:val="es-PR"/>
        </w:rPr>
        <w:t xml:space="preserve"> 259</w:t>
      </w:r>
      <w:r w:rsidRPr="005C6CA1">
        <w:rPr>
          <w:rFonts w:ascii="Book Antiqua" w:eastAsia="Calibri" w:hAnsi="Book Antiqua"/>
          <w:color w:val="000000"/>
          <w:szCs w:val="24"/>
          <w:lang w:val="es-PR"/>
        </w:rPr>
        <w:t>.-</w:t>
      </w:r>
      <w:r w:rsidR="003146C3" w:rsidRPr="005C6CA1">
        <w:rPr>
          <w:rFonts w:ascii="Book Antiqua" w:eastAsia="Calibri" w:hAnsi="Book Antiqua"/>
          <w:color w:val="000000"/>
          <w:szCs w:val="24"/>
          <w:lang w:val="es-PR"/>
        </w:rPr>
        <w:t xml:space="preserve"> </w:t>
      </w:r>
      <w:r w:rsidRPr="005C6CA1">
        <w:rPr>
          <w:rFonts w:ascii="Book Antiqua" w:eastAsia="Calibri" w:hAnsi="Book Antiqua"/>
          <w:color w:val="000000"/>
          <w:szCs w:val="24"/>
          <w:lang w:val="es-PR"/>
        </w:rPr>
        <w:t>Formas de presentar documentos; horario</w:t>
      </w:r>
      <w:r w:rsidR="00CF2B83" w:rsidRPr="005C6CA1">
        <w:rPr>
          <w:rFonts w:ascii="Book Antiqua" w:eastAsia="Calibri" w:hAnsi="Book Antiqua"/>
          <w:color w:val="000000"/>
          <w:szCs w:val="24"/>
          <w:lang w:val="es-PR"/>
        </w:rPr>
        <w:t>.</w:t>
      </w:r>
    </w:p>
    <w:p w14:paraId="43F2087A"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 xml:space="preserve">Los documentos se podrán presentar de forma presencial o digitalmente a través del sistema de informática registral telemática. </w:t>
      </w:r>
    </w:p>
    <w:p w14:paraId="373C134D" w14:textId="77777777" w:rsidR="007A7D4F" w:rsidRPr="005C6CA1" w:rsidRDefault="00CF2B83" w:rsidP="00BA3832">
      <w:pPr>
        <w:autoSpaceDE w:val="0"/>
        <w:autoSpaceDN w:val="0"/>
        <w:adjustRightInd w:val="0"/>
        <w:spacing w:line="480"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w:t>
      </w:r>
    </w:p>
    <w:p w14:paraId="16BD48CB" w14:textId="77777777" w:rsidR="007A7D4F" w:rsidRPr="005C6CA1" w:rsidRDefault="007A7D4F" w:rsidP="00BA3832">
      <w:pPr>
        <w:autoSpaceDE w:val="0"/>
        <w:autoSpaceDN w:val="0"/>
        <w:adjustRightInd w:val="0"/>
        <w:spacing w:line="480" w:lineRule="auto"/>
        <w:ind w:left="720" w:firstLine="720"/>
        <w:jc w:val="both"/>
        <w:rPr>
          <w:rFonts w:ascii="Book Antiqua" w:eastAsia="Calibri" w:hAnsi="Book Antiqua"/>
          <w:color w:val="000000"/>
          <w:szCs w:val="24"/>
          <w:lang w:val="es-PR"/>
        </w:rPr>
      </w:pPr>
      <w:r w:rsidRPr="005C6CA1">
        <w:rPr>
          <w:rFonts w:ascii="Book Antiqua" w:eastAsia="Calibri" w:hAnsi="Book Antiqua"/>
          <w:color w:val="000000"/>
          <w:szCs w:val="24"/>
          <w:lang w:val="es-PR"/>
        </w:rPr>
        <w:t>La presentación personal o presencial se deberá efectuar en la sección o demarcación donde radique la finca durante el horario</w:t>
      </w:r>
      <w:r w:rsidR="008C0AF2" w:rsidRPr="005C6CA1">
        <w:rPr>
          <w:rFonts w:ascii="Book Antiqua" w:eastAsia="Calibri" w:hAnsi="Book Antiqua"/>
          <w:color w:val="000000"/>
          <w:szCs w:val="24"/>
          <w:lang w:val="es-PR"/>
        </w:rPr>
        <w:t xml:space="preserve"> que se disponga mediante Orden Administrativa.</w:t>
      </w:r>
      <w:r w:rsidR="0053224D" w:rsidRPr="005C6CA1">
        <w:rPr>
          <w:rFonts w:ascii="Book Antiqua" w:eastAsia="Calibri" w:hAnsi="Book Antiqua"/>
          <w:color w:val="000000"/>
          <w:szCs w:val="24"/>
          <w:lang w:val="es-PR"/>
        </w:rPr>
        <w:t>”</w:t>
      </w:r>
    </w:p>
    <w:p w14:paraId="769E42B9" w14:textId="79A0C3B4" w:rsidR="002C4E0C" w:rsidRPr="005C6CA1" w:rsidRDefault="002C4E0C"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Sección</w:t>
      </w:r>
      <w:r w:rsidR="00C645B5" w:rsidRPr="005C6CA1">
        <w:rPr>
          <w:rFonts w:ascii="Book Antiqua" w:hAnsi="Book Antiqua"/>
          <w:bCs/>
          <w:szCs w:val="24"/>
          <w:lang w:val="es-PR"/>
        </w:rPr>
        <w:t xml:space="preserve"> </w:t>
      </w:r>
      <w:r w:rsidR="00C645B5" w:rsidRPr="005C6CA1">
        <w:rPr>
          <w:rFonts w:ascii="Book Antiqua" w:hAnsi="Book Antiqua"/>
          <w:bCs/>
          <w:strike/>
          <w:szCs w:val="24"/>
          <w:lang w:val="es-PR"/>
        </w:rPr>
        <w:t>12</w:t>
      </w:r>
      <w:r w:rsidR="0035718A" w:rsidRPr="005C6CA1">
        <w:rPr>
          <w:rFonts w:ascii="Book Antiqua" w:hAnsi="Book Antiqua"/>
          <w:bCs/>
          <w:szCs w:val="24"/>
          <w:lang w:val="es-PR"/>
        </w:rPr>
        <w:t xml:space="preserve"> </w:t>
      </w:r>
      <w:r w:rsidR="0035718A" w:rsidRPr="005C6CA1">
        <w:rPr>
          <w:rFonts w:ascii="Book Antiqua" w:hAnsi="Book Antiqua"/>
          <w:bCs/>
          <w:i/>
          <w:iCs/>
          <w:szCs w:val="24"/>
          <w:u w:val="single"/>
          <w:lang w:val="es-PR"/>
        </w:rPr>
        <w:t>1</w:t>
      </w:r>
      <w:r w:rsidR="00A84A39">
        <w:rPr>
          <w:rFonts w:ascii="Book Antiqua" w:hAnsi="Book Antiqua"/>
          <w:bCs/>
          <w:i/>
          <w:iCs/>
          <w:szCs w:val="24"/>
          <w:u w:val="single"/>
          <w:lang w:val="es-PR"/>
        </w:rPr>
        <w:t>0</w:t>
      </w:r>
      <w:r w:rsidRPr="005C6CA1">
        <w:rPr>
          <w:rFonts w:ascii="Book Antiqua" w:hAnsi="Book Antiqua"/>
          <w:bCs/>
          <w:szCs w:val="24"/>
          <w:lang w:val="es-PR"/>
        </w:rPr>
        <w:t xml:space="preserve">.- Se enmienda el Artículo 262 de la Ley </w:t>
      </w:r>
      <w:r w:rsidR="008A50AE">
        <w:rPr>
          <w:rFonts w:ascii="Book Antiqua" w:eastAsia="Calibri" w:hAnsi="Book Antiqua"/>
          <w:i/>
          <w:iCs/>
          <w:szCs w:val="24"/>
          <w:u w:val="single"/>
          <w:lang w:val="es-PR"/>
        </w:rPr>
        <w:t>Núm.</w:t>
      </w:r>
      <w:r w:rsidR="008A50AE" w:rsidRPr="008A50AE">
        <w:rPr>
          <w:rFonts w:ascii="Book Antiqua" w:eastAsia="Calibri" w:hAnsi="Book Antiqua"/>
          <w:szCs w:val="24"/>
          <w:lang w:val="es-PR"/>
        </w:rPr>
        <w:t xml:space="preserve"> </w:t>
      </w:r>
      <w:r w:rsidRPr="005C6CA1">
        <w:rPr>
          <w:rFonts w:ascii="Book Antiqua" w:hAnsi="Book Antiqua"/>
          <w:bCs/>
          <w:szCs w:val="24"/>
          <w:lang w:val="es-PR"/>
        </w:rPr>
        <w:t xml:space="preserve">210-2015, según </w:t>
      </w:r>
      <w:r w:rsidRPr="005C6CA1">
        <w:rPr>
          <w:rFonts w:ascii="Book Antiqua" w:hAnsi="Book Antiqua"/>
          <w:bCs/>
          <w:szCs w:val="24"/>
          <w:lang w:val="es-PR"/>
        </w:rPr>
        <w:lastRenderedPageBreak/>
        <w:t xml:space="preserve">enmendada, </w:t>
      </w:r>
      <w:r w:rsidRPr="008A50AE">
        <w:rPr>
          <w:rFonts w:ascii="Book Antiqua" w:hAnsi="Book Antiqua"/>
          <w:bCs/>
          <w:strike/>
          <w:szCs w:val="24"/>
          <w:lang w:val="es-PR"/>
        </w:rPr>
        <w:t>conocida como “Ley del Registro de la Propiedad Inmobiliaria del Estado Libre Asociado de Puerto Rico”,</w:t>
      </w:r>
      <w:r w:rsidRPr="005C6CA1">
        <w:rPr>
          <w:rFonts w:ascii="Book Antiqua" w:hAnsi="Book Antiqua"/>
          <w:bCs/>
          <w:szCs w:val="24"/>
          <w:lang w:val="es-PR"/>
        </w:rPr>
        <w:t xml:space="preserve"> </w:t>
      </w:r>
      <w:r w:rsidR="00455752" w:rsidRPr="005C6CA1">
        <w:rPr>
          <w:rFonts w:ascii="Book Antiqua" w:eastAsia="Calibri" w:hAnsi="Book Antiqua"/>
          <w:szCs w:val="24"/>
          <w:lang w:val="es-PR"/>
        </w:rPr>
        <w:t xml:space="preserve">para que </w:t>
      </w:r>
      <w:r w:rsidR="00455752" w:rsidRPr="005C6CA1">
        <w:rPr>
          <w:rFonts w:ascii="Book Antiqua" w:eastAsia="Calibri" w:hAnsi="Book Antiqua"/>
          <w:i/>
          <w:iCs/>
          <w:szCs w:val="24"/>
          <w:u w:val="single"/>
          <w:lang w:val="es-PR"/>
        </w:rPr>
        <w:t>se</w:t>
      </w:r>
      <w:r w:rsidR="00455752" w:rsidRPr="005C6CA1">
        <w:rPr>
          <w:rFonts w:ascii="Book Antiqua" w:eastAsia="Calibri" w:hAnsi="Book Antiqua"/>
          <w:i/>
          <w:iCs/>
          <w:szCs w:val="24"/>
          <w:lang w:val="es-PR"/>
        </w:rPr>
        <w:t xml:space="preserve"> </w:t>
      </w:r>
      <w:r w:rsidR="00455752" w:rsidRPr="005C6CA1">
        <w:rPr>
          <w:rFonts w:ascii="Book Antiqua" w:eastAsia="Calibri" w:hAnsi="Book Antiqua"/>
          <w:szCs w:val="24"/>
          <w:lang w:val="es-PR"/>
        </w:rPr>
        <w:t xml:space="preserve">lea </w:t>
      </w:r>
      <w:r w:rsidRPr="005C6CA1">
        <w:rPr>
          <w:rFonts w:ascii="Book Antiqua" w:hAnsi="Book Antiqua"/>
          <w:bCs/>
          <w:szCs w:val="24"/>
          <w:lang w:val="es-PR"/>
        </w:rPr>
        <w:t>como sigue:</w:t>
      </w:r>
    </w:p>
    <w:p w14:paraId="3072AF24" w14:textId="77777777" w:rsidR="002C4E0C" w:rsidRPr="005C6CA1" w:rsidRDefault="002C4E0C"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“Artículo 262.- Documentos sin derechos correspondientes</w:t>
      </w:r>
    </w:p>
    <w:p w14:paraId="3AB5BC57" w14:textId="77777777" w:rsidR="002C4E0C" w:rsidRPr="005C6CA1" w:rsidRDefault="002C4E0C" w:rsidP="00BA3832">
      <w:pPr>
        <w:widowControl w:val="0"/>
        <w:autoSpaceDE w:val="0"/>
        <w:autoSpaceDN w:val="0"/>
        <w:adjustRightInd w:val="0"/>
        <w:spacing w:line="480" w:lineRule="auto"/>
        <w:ind w:left="720" w:firstLine="720"/>
        <w:jc w:val="both"/>
        <w:rPr>
          <w:rFonts w:ascii="Book Antiqua" w:hAnsi="Book Antiqua"/>
          <w:bCs/>
          <w:szCs w:val="24"/>
          <w:lang w:val="es-PR"/>
        </w:rPr>
      </w:pPr>
      <w:r w:rsidRPr="005C6CA1">
        <w:rPr>
          <w:rFonts w:ascii="Book Antiqua" w:hAnsi="Book Antiqua"/>
          <w:bCs/>
          <w:szCs w:val="24"/>
          <w:lang w:val="es-PR"/>
        </w:rPr>
        <w:t xml:space="preserve">No se podrán presentar documentos que no estén acompañados de la totalidad de los aranceles correspondientes al negocio jurídico que se interesa inscribir. </w:t>
      </w:r>
    </w:p>
    <w:p w14:paraId="69071B49" w14:textId="77777777" w:rsidR="002C4E0C" w:rsidRPr="005C6CA1" w:rsidRDefault="002C4E0C" w:rsidP="00BA3832">
      <w:pPr>
        <w:widowControl w:val="0"/>
        <w:autoSpaceDE w:val="0"/>
        <w:autoSpaceDN w:val="0"/>
        <w:adjustRightInd w:val="0"/>
        <w:spacing w:line="480" w:lineRule="auto"/>
        <w:ind w:left="720" w:firstLine="720"/>
        <w:jc w:val="both"/>
        <w:rPr>
          <w:rFonts w:ascii="Book Antiqua" w:hAnsi="Book Antiqua"/>
          <w:bCs/>
          <w:szCs w:val="24"/>
          <w:lang w:val="es-PR"/>
        </w:rPr>
      </w:pPr>
      <w:r w:rsidRPr="005C6CA1">
        <w:rPr>
          <w:rFonts w:ascii="Book Antiqua" w:hAnsi="Book Antiqua"/>
          <w:bCs/>
          <w:szCs w:val="24"/>
          <w:lang w:val="es-PR"/>
        </w:rPr>
        <w:t xml:space="preserve">En aquellos negocios jurídicos que por disposición de ley la transacción está exenta del pago de aranceles, así se hará constar en el documento presentado, lo cual puede ser corroborado mediante documento complementario que acredite la exención. Los documentos presentados sin la totalidad de los aranceles correspondientes y sin acreditar exención alguna serán notificados de acuerdo con lo dispuesto en esta Ley. Nada de lo aquí dispuesto se entenderá como una limitación a la calificación del Registrador en torno a la procedencia de la exención.”  </w:t>
      </w:r>
    </w:p>
    <w:p w14:paraId="50AEBCE0" w14:textId="63682C03" w:rsidR="002C4E0C" w:rsidRPr="005C6CA1" w:rsidRDefault="005E0383"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Sección</w:t>
      </w:r>
      <w:r w:rsidR="00C645B5" w:rsidRPr="005C6CA1">
        <w:rPr>
          <w:rFonts w:ascii="Book Antiqua" w:hAnsi="Book Antiqua"/>
          <w:bCs/>
          <w:szCs w:val="24"/>
          <w:lang w:val="es-PR"/>
        </w:rPr>
        <w:t xml:space="preserve"> </w:t>
      </w:r>
      <w:r w:rsidR="00C645B5" w:rsidRPr="005C6CA1">
        <w:rPr>
          <w:rFonts w:ascii="Book Antiqua" w:hAnsi="Book Antiqua"/>
          <w:bCs/>
          <w:strike/>
          <w:szCs w:val="24"/>
          <w:lang w:val="es-PR"/>
        </w:rPr>
        <w:t>13</w:t>
      </w:r>
      <w:r w:rsidR="0035718A" w:rsidRPr="005C6CA1">
        <w:rPr>
          <w:rFonts w:ascii="Book Antiqua" w:hAnsi="Book Antiqua"/>
          <w:bCs/>
          <w:szCs w:val="24"/>
          <w:lang w:val="es-PR"/>
        </w:rPr>
        <w:t xml:space="preserve"> </w:t>
      </w:r>
      <w:r w:rsidR="0035718A" w:rsidRPr="005C6CA1">
        <w:rPr>
          <w:rFonts w:ascii="Book Antiqua" w:hAnsi="Book Antiqua"/>
          <w:bCs/>
          <w:i/>
          <w:iCs/>
          <w:szCs w:val="24"/>
          <w:u w:val="single"/>
          <w:lang w:val="es-PR"/>
        </w:rPr>
        <w:t>1</w:t>
      </w:r>
      <w:r w:rsidR="00A84A39">
        <w:rPr>
          <w:rFonts w:ascii="Book Antiqua" w:hAnsi="Book Antiqua"/>
          <w:bCs/>
          <w:i/>
          <w:iCs/>
          <w:szCs w:val="24"/>
          <w:u w:val="single"/>
          <w:lang w:val="es-PR"/>
        </w:rPr>
        <w:t>1</w:t>
      </w:r>
      <w:r w:rsidRPr="005C6CA1">
        <w:rPr>
          <w:rFonts w:ascii="Book Antiqua" w:hAnsi="Book Antiqua"/>
          <w:bCs/>
          <w:szCs w:val="24"/>
          <w:lang w:val="es-PR"/>
        </w:rPr>
        <w:t xml:space="preserve">.- </w:t>
      </w:r>
      <w:r w:rsidR="002C4E0C" w:rsidRPr="005C6CA1">
        <w:rPr>
          <w:rFonts w:ascii="Book Antiqua" w:hAnsi="Book Antiqua"/>
          <w:bCs/>
          <w:szCs w:val="24"/>
          <w:lang w:val="es-PR"/>
        </w:rPr>
        <w:t>Se enmienda el Artículo 285 de la Ley</w:t>
      </w:r>
      <w:r w:rsidR="00A10EAB">
        <w:rPr>
          <w:rFonts w:ascii="Book Antiqua" w:hAnsi="Book Antiqua"/>
          <w:bCs/>
          <w:szCs w:val="24"/>
          <w:lang w:val="es-PR"/>
        </w:rPr>
        <w:t xml:space="preserve"> </w:t>
      </w:r>
      <w:r w:rsidR="00A10EAB">
        <w:rPr>
          <w:rFonts w:ascii="Book Antiqua" w:eastAsia="Calibri" w:hAnsi="Book Antiqua"/>
          <w:i/>
          <w:iCs/>
          <w:szCs w:val="24"/>
          <w:u w:val="single"/>
          <w:lang w:val="es-PR"/>
        </w:rPr>
        <w:t>Núm.</w:t>
      </w:r>
      <w:r w:rsidR="002C4E0C" w:rsidRPr="005C6CA1">
        <w:rPr>
          <w:rFonts w:ascii="Book Antiqua" w:hAnsi="Book Antiqua"/>
          <w:bCs/>
          <w:szCs w:val="24"/>
          <w:lang w:val="es-PR"/>
        </w:rPr>
        <w:t xml:space="preserve"> 210-2015, según enmendada, </w:t>
      </w:r>
      <w:r w:rsidR="002C4E0C" w:rsidRPr="00F96052">
        <w:rPr>
          <w:rFonts w:ascii="Book Antiqua" w:hAnsi="Book Antiqua"/>
          <w:bCs/>
          <w:strike/>
          <w:szCs w:val="24"/>
          <w:lang w:val="es-PR"/>
        </w:rPr>
        <w:t>conocida como “Ley del Registro de la Propiedad Inmobiliaria del Estado Libre Asociado de Puerto Rico”,</w:t>
      </w:r>
      <w:r w:rsidR="002C4E0C" w:rsidRPr="005C6CA1">
        <w:rPr>
          <w:rFonts w:ascii="Book Antiqua" w:hAnsi="Book Antiqua"/>
          <w:bCs/>
          <w:szCs w:val="24"/>
          <w:lang w:val="es-PR"/>
        </w:rPr>
        <w:t xml:space="preserve"> </w:t>
      </w:r>
      <w:r w:rsidR="00455752" w:rsidRPr="005C6CA1">
        <w:rPr>
          <w:rFonts w:ascii="Book Antiqua" w:eastAsia="Calibri" w:hAnsi="Book Antiqua"/>
          <w:szCs w:val="24"/>
          <w:lang w:val="es-PR"/>
        </w:rPr>
        <w:t xml:space="preserve">para que </w:t>
      </w:r>
      <w:r w:rsidR="00455752" w:rsidRPr="005C6CA1">
        <w:rPr>
          <w:rFonts w:ascii="Book Antiqua" w:eastAsia="Calibri" w:hAnsi="Book Antiqua"/>
          <w:i/>
          <w:iCs/>
          <w:szCs w:val="24"/>
          <w:u w:val="single"/>
          <w:lang w:val="es-PR"/>
        </w:rPr>
        <w:t>se</w:t>
      </w:r>
      <w:r w:rsidR="00455752" w:rsidRPr="005C6CA1">
        <w:rPr>
          <w:rFonts w:ascii="Book Antiqua" w:eastAsia="Calibri" w:hAnsi="Book Antiqua"/>
          <w:i/>
          <w:iCs/>
          <w:szCs w:val="24"/>
          <w:lang w:val="es-PR"/>
        </w:rPr>
        <w:t xml:space="preserve"> </w:t>
      </w:r>
      <w:r w:rsidR="00455752" w:rsidRPr="005C6CA1">
        <w:rPr>
          <w:rFonts w:ascii="Book Antiqua" w:eastAsia="Calibri" w:hAnsi="Book Antiqua"/>
          <w:szCs w:val="24"/>
          <w:lang w:val="es-PR"/>
        </w:rPr>
        <w:t xml:space="preserve">lea </w:t>
      </w:r>
      <w:r w:rsidR="002C4E0C" w:rsidRPr="005C6CA1">
        <w:rPr>
          <w:rFonts w:ascii="Book Antiqua" w:hAnsi="Book Antiqua"/>
          <w:bCs/>
          <w:szCs w:val="24"/>
          <w:lang w:val="es-PR"/>
        </w:rPr>
        <w:t>como sigue:</w:t>
      </w:r>
    </w:p>
    <w:p w14:paraId="5A90B2CB" w14:textId="77777777" w:rsidR="002C4E0C" w:rsidRPr="005C6CA1" w:rsidRDefault="00406AB7"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“Artículo 285.- Registradores Especiales</w:t>
      </w:r>
    </w:p>
    <w:p w14:paraId="7C27F247" w14:textId="77777777" w:rsidR="00406AB7" w:rsidRPr="005C6CA1" w:rsidRDefault="00406AB7" w:rsidP="00BA3832">
      <w:pPr>
        <w:widowControl w:val="0"/>
        <w:autoSpaceDE w:val="0"/>
        <w:autoSpaceDN w:val="0"/>
        <w:adjustRightInd w:val="0"/>
        <w:spacing w:line="480" w:lineRule="auto"/>
        <w:ind w:left="720" w:firstLine="720"/>
        <w:jc w:val="both"/>
        <w:rPr>
          <w:rFonts w:ascii="Book Antiqua" w:hAnsi="Book Antiqua"/>
          <w:bCs/>
          <w:szCs w:val="24"/>
          <w:lang w:val="es-PR"/>
        </w:rPr>
      </w:pPr>
      <w:r w:rsidRPr="005C6CA1">
        <w:rPr>
          <w:rFonts w:ascii="Book Antiqua" w:hAnsi="Book Antiqua"/>
          <w:bCs/>
          <w:szCs w:val="24"/>
          <w:lang w:val="es-PR"/>
        </w:rPr>
        <w:t xml:space="preserve">Cuando el </w:t>
      </w:r>
      <w:proofErr w:type="gramStart"/>
      <w:r w:rsidRPr="005C6CA1">
        <w:rPr>
          <w:rFonts w:ascii="Book Antiqua" w:hAnsi="Book Antiqua"/>
          <w:bCs/>
          <w:szCs w:val="24"/>
          <w:lang w:val="es-PR"/>
        </w:rPr>
        <w:t>Secretario</w:t>
      </w:r>
      <w:proofErr w:type="gramEnd"/>
      <w:r w:rsidRPr="005C6CA1">
        <w:rPr>
          <w:rFonts w:ascii="Book Antiqua" w:hAnsi="Book Antiqua"/>
          <w:bCs/>
          <w:szCs w:val="24"/>
          <w:lang w:val="es-PR"/>
        </w:rPr>
        <w:t xml:space="preserve"> lo entienda conveniente, se le autoriza a extender nombramientos de Registrador Especial a abogados notarios del Departamento y de las agencias o corporaciones públicas que cumplan con los requisitos establecidos en el Artículo 280 de esta Ley. Cuando sean abogados de otras </w:t>
      </w:r>
      <w:r w:rsidRPr="005C6CA1">
        <w:rPr>
          <w:rFonts w:ascii="Book Antiqua" w:hAnsi="Book Antiqua"/>
          <w:bCs/>
          <w:szCs w:val="24"/>
          <w:lang w:val="es-PR"/>
        </w:rPr>
        <w:lastRenderedPageBreak/>
        <w:t xml:space="preserve">agencias o corporaciones públicas, los nombramientos serán extendidos por el </w:t>
      </w:r>
      <w:proofErr w:type="gramStart"/>
      <w:r w:rsidRPr="005C6CA1">
        <w:rPr>
          <w:rFonts w:ascii="Book Antiqua" w:hAnsi="Book Antiqua"/>
          <w:bCs/>
          <w:szCs w:val="24"/>
          <w:lang w:val="es-PR"/>
        </w:rPr>
        <w:t>Secretario</w:t>
      </w:r>
      <w:proofErr w:type="gramEnd"/>
      <w:r w:rsidRPr="005C6CA1">
        <w:rPr>
          <w:rFonts w:ascii="Book Antiqua" w:hAnsi="Book Antiqua"/>
          <w:bCs/>
          <w:szCs w:val="24"/>
          <w:lang w:val="es-PR"/>
        </w:rPr>
        <w:t xml:space="preserve"> sin erogación adicional alguna de fondos públicos. También podrá el </w:t>
      </w:r>
      <w:proofErr w:type="gramStart"/>
      <w:r w:rsidRPr="005C6CA1">
        <w:rPr>
          <w:rFonts w:ascii="Book Antiqua" w:hAnsi="Book Antiqua"/>
          <w:bCs/>
          <w:szCs w:val="24"/>
          <w:lang w:val="es-PR"/>
        </w:rPr>
        <w:t>Secretario</w:t>
      </w:r>
      <w:proofErr w:type="gramEnd"/>
      <w:r w:rsidRPr="005C6CA1">
        <w:rPr>
          <w:rFonts w:ascii="Book Antiqua" w:hAnsi="Book Antiqua"/>
          <w:bCs/>
          <w:szCs w:val="24"/>
          <w:lang w:val="es-PR"/>
        </w:rPr>
        <w:t xml:space="preserve"> contratar y </w:t>
      </w:r>
      <w:proofErr w:type="gramStart"/>
      <w:r w:rsidRPr="005C6CA1">
        <w:rPr>
          <w:rFonts w:ascii="Book Antiqua" w:hAnsi="Book Antiqua"/>
          <w:bCs/>
          <w:szCs w:val="24"/>
          <w:lang w:val="es-PR"/>
        </w:rPr>
        <w:t xml:space="preserve">nombrar </w:t>
      </w:r>
      <w:r w:rsidRPr="00351F01">
        <w:rPr>
          <w:rFonts w:ascii="Book Antiqua" w:hAnsi="Book Antiqua"/>
          <w:bCs/>
          <w:szCs w:val="24"/>
          <w:lang w:val="es-PR"/>
        </w:rPr>
        <w:t>como</w:t>
      </w:r>
      <w:proofErr w:type="gramEnd"/>
      <w:r w:rsidRPr="005C6CA1">
        <w:rPr>
          <w:rFonts w:ascii="Book Antiqua" w:hAnsi="Book Antiqua"/>
          <w:bCs/>
          <w:szCs w:val="24"/>
          <w:lang w:val="es-PR"/>
        </w:rPr>
        <w:t xml:space="preserve"> Registradores Especiales a personas que hayan ocupado </w:t>
      </w:r>
      <w:r w:rsidR="005C6CA1" w:rsidRPr="005C6CA1">
        <w:rPr>
          <w:rFonts w:ascii="Book Antiqua" w:hAnsi="Book Antiqua"/>
          <w:bCs/>
          <w:i/>
          <w:iCs/>
          <w:szCs w:val="24"/>
          <w:u w:val="single"/>
          <w:lang w:val="es-PR"/>
        </w:rPr>
        <w:t xml:space="preserve">previamente </w:t>
      </w:r>
      <w:r w:rsidRPr="005C6CA1">
        <w:rPr>
          <w:rFonts w:ascii="Book Antiqua" w:hAnsi="Book Antiqua"/>
          <w:bCs/>
          <w:szCs w:val="24"/>
          <w:lang w:val="es-PR"/>
        </w:rPr>
        <w:t xml:space="preserve">el cargo de Registrador. En todos los casos, los Registradores Especiales tendrán las mismas atribuciones de un Registrador de la Propiedad nombrado por el Gobernador y confirmado por el Senado. En el caso de abogados notarios del Departamento y de las agencias o corporaciones públicas, esta designación no podrá exceder de un término de doce (12) meses, prorrogable por doce (12) meses adicionales exclusivamente, si la necesidad del servicio aún subsiste. En el caso de contratos a </w:t>
      </w:r>
      <w:proofErr w:type="spellStart"/>
      <w:r w:rsidRPr="005C6CA1">
        <w:rPr>
          <w:rFonts w:ascii="Book Antiqua" w:hAnsi="Book Antiqua"/>
          <w:bCs/>
          <w:szCs w:val="24"/>
          <w:lang w:val="es-PR"/>
        </w:rPr>
        <w:t>exregistradores</w:t>
      </w:r>
      <w:proofErr w:type="spellEnd"/>
      <w:r w:rsidRPr="005C6CA1">
        <w:rPr>
          <w:rFonts w:ascii="Book Antiqua" w:hAnsi="Book Antiqua"/>
          <w:bCs/>
          <w:szCs w:val="24"/>
          <w:lang w:val="es-PR"/>
        </w:rPr>
        <w:t xml:space="preserve">, deberá acreditarse la necesidad del servicio además del cumplimiento con las normas vigentes de contratación en el gobierno emitidas por la Oficina de Gerencia y Presupuesto o la Oficina del Gobernador, lo que aplique. Esta designación se extenderá por un término de doce (12) meses y podrá prorrogarse por términos adicionales de doce (12) meses, siempre que la necesidad del servicio subsista. En el caso de los </w:t>
      </w:r>
      <w:proofErr w:type="spellStart"/>
      <w:r w:rsidRPr="005C6CA1">
        <w:rPr>
          <w:rFonts w:ascii="Book Antiqua" w:hAnsi="Book Antiqua"/>
          <w:bCs/>
          <w:szCs w:val="24"/>
          <w:lang w:val="es-PR"/>
        </w:rPr>
        <w:t>exregistradores</w:t>
      </w:r>
      <w:proofErr w:type="spellEnd"/>
      <w:r w:rsidRPr="005C6CA1">
        <w:rPr>
          <w:rFonts w:ascii="Book Antiqua" w:hAnsi="Book Antiqua"/>
          <w:bCs/>
          <w:szCs w:val="24"/>
          <w:lang w:val="es-PR"/>
        </w:rPr>
        <w:t xml:space="preserve">, las prórrogas no se extenderán por más de cinco (5) años. Los Registradores Especiales estarán sujetos a todas las normas y reglamentos aplicables a funcionarios y empleados del Departamento de Justicia.  </w:t>
      </w:r>
    </w:p>
    <w:p w14:paraId="23869A83" w14:textId="77777777" w:rsidR="00406AB7" w:rsidRPr="005C6CA1" w:rsidRDefault="00406AB7" w:rsidP="00BA3832">
      <w:pPr>
        <w:widowControl w:val="0"/>
        <w:autoSpaceDE w:val="0"/>
        <w:autoSpaceDN w:val="0"/>
        <w:adjustRightInd w:val="0"/>
        <w:spacing w:line="480" w:lineRule="auto"/>
        <w:ind w:left="720" w:firstLine="720"/>
        <w:jc w:val="both"/>
        <w:rPr>
          <w:rFonts w:ascii="Book Antiqua" w:hAnsi="Book Antiqua"/>
          <w:bCs/>
          <w:szCs w:val="24"/>
          <w:lang w:val="es-PR"/>
        </w:rPr>
      </w:pPr>
      <w:r w:rsidRPr="005C6CA1">
        <w:rPr>
          <w:rFonts w:ascii="Book Antiqua" w:hAnsi="Book Antiqua"/>
          <w:bCs/>
          <w:szCs w:val="24"/>
          <w:lang w:val="es-PR"/>
        </w:rPr>
        <w:t>La designación de uno o más Registradores especiales no será considerada para los efectos del número máximo de Registradores que pueden ser nombrados según la ley.”</w:t>
      </w:r>
    </w:p>
    <w:p w14:paraId="7DE24BDC" w14:textId="77777777" w:rsidR="007A7D4F" w:rsidRPr="005C6CA1" w:rsidRDefault="007A7D4F"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Sección</w:t>
      </w:r>
      <w:r w:rsidR="00861DD6" w:rsidRPr="005C6CA1">
        <w:rPr>
          <w:rFonts w:ascii="Book Antiqua" w:hAnsi="Book Antiqua"/>
          <w:bCs/>
          <w:szCs w:val="24"/>
          <w:lang w:val="es-PR"/>
        </w:rPr>
        <w:t xml:space="preserve"> </w:t>
      </w:r>
      <w:r w:rsidR="00C645B5" w:rsidRPr="00A84A39">
        <w:rPr>
          <w:rFonts w:ascii="Book Antiqua" w:hAnsi="Book Antiqua"/>
          <w:bCs/>
          <w:strike/>
          <w:szCs w:val="24"/>
          <w:lang w:val="es-PR"/>
        </w:rPr>
        <w:t>14</w:t>
      </w:r>
      <w:r w:rsidR="00A84A39">
        <w:rPr>
          <w:rFonts w:ascii="Book Antiqua" w:hAnsi="Book Antiqua"/>
          <w:bCs/>
          <w:szCs w:val="24"/>
          <w:lang w:val="es-PR"/>
        </w:rPr>
        <w:t xml:space="preserve"> </w:t>
      </w:r>
      <w:r w:rsidR="00A84A39" w:rsidRPr="00A84A39">
        <w:rPr>
          <w:rFonts w:ascii="Book Antiqua" w:hAnsi="Book Antiqua"/>
          <w:bCs/>
          <w:i/>
          <w:iCs/>
          <w:szCs w:val="24"/>
          <w:u w:val="single"/>
          <w:lang w:val="es-PR"/>
        </w:rPr>
        <w:t>12</w:t>
      </w:r>
      <w:r w:rsidRPr="005C6CA1">
        <w:rPr>
          <w:rFonts w:ascii="Book Antiqua" w:hAnsi="Book Antiqua"/>
          <w:bCs/>
          <w:szCs w:val="24"/>
          <w:lang w:val="es-PR"/>
        </w:rPr>
        <w:t>.- Separabilidad.</w:t>
      </w:r>
    </w:p>
    <w:p w14:paraId="6D852091" w14:textId="77777777" w:rsidR="007A7D4F" w:rsidRPr="005C6CA1" w:rsidRDefault="007A7D4F"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w:t>
      </w:r>
      <w:r w:rsidR="00861DD6" w:rsidRPr="005C6CA1">
        <w:rPr>
          <w:rFonts w:ascii="Book Antiqua" w:hAnsi="Book Antiqua"/>
          <w:bCs/>
          <w:szCs w:val="24"/>
          <w:lang w:val="es-PR"/>
        </w:rPr>
        <w:t xml:space="preserve"> esta</w:t>
      </w:r>
      <w:r w:rsidR="00406AB7" w:rsidRPr="005C6CA1">
        <w:rPr>
          <w:rFonts w:ascii="Book Antiqua" w:hAnsi="Book Antiqua"/>
          <w:bCs/>
          <w:szCs w:val="24"/>
          <w:lang w:val="es-PR"/>
        </w:rPr>
        <w:t xml:space="preserve"> </w:t>
      </w:r>
      <w:r w:rsidRPr="005C6CA1">
        <w:rPr>
          <w:rFonts w:ascii="Book Antiqua" w:hAnsi="Book Antiqua"/>
          <w:bCs/>
          <w:szCs w:val="24"/>
          <w:lang w:val="es-PR"/>
        </w:rPr>
        <w:t>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273F5F60" w14:textId="77777777" w:rsidR="007A7D4F" w:rsidRPr="005C6CA1" w:rsidRDefault="007A7D4F" w:rsidP="00BA3832">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Sección</w:t>
      </w:r>
      <w:r w:rsidR="00861DD6" w:rsidRPr="005C6CA1">
        <w:rPr>
          <w:rFonts w:ascii="Book Antiqua" w:hAnsi="Book Antiqua"/>
          <w:bCs/>
          <w:szCs w:val="24"/>
          <w:lang w:val="es-PR"/>
        </w:rPr>
        <w:t xml:space="preserve"> </w:t>
      </w:r>
      <w:r w:rsidR="00C645B5" w:rsidRPr="00A84A39">
        <w:rPr>
          <w:rFonts w:ascii="Book Antiqua" w:hAnsi="Book Antiqua"/>
          <w:bCs/>
          <w:strike/>
          <w:szCs w:val="24"/>
          <w:lang w:val="es-PR"/>
        </w:rPr>
        <w:t>1</w:t>
      </w:r>
      <w:r w:rsidR="00D4562B" w:rsidRPr="00A84A39">
        <w:rPr>
          <w:rFonts w:ascii="Book Antiqua" w:hAnsi="Book Antiqua"/>
          <w:bCs/>
          <w:strike/>
          <w:szCs w:val="24"/>
          <w:lang w:val="es-PR"/>
        </w:rPr>
        <w:t>5</w:t>
      </w:r>
      <w:r w:rsidR="00A84A39">
        <w:rPr>
          <w:rFonts w:ascii="Book Antiqua" w:hAnsi="Book Antiqua"/>
          <w:bCs/>
          <w:szCs w:val="24"/>
          <w:lang w:val="es-PR"/>
        </w:rPr>
        <w:t xml:space="preserve"> </w:t>
      </w:r>
      <w:r w:rsidR="00A84A39" w:rsidRPr="00A84A39">
        <w:rPr>
          <w:rFonts w:ascii="Book Antiqua" w:hAnsi="Book Antiqua"/>
          <w:bCs/>
          <w:i/>
          <w:iCs/>
          <w:szCs w:val="24"/>
          <w:u w:val="single"/>
          <w:lang w:val="es-PR"/>
        </w:rPr>
        <w:t>13</w:t>
      </w:r>
      <w:r w:rsidRPr="005C6CA1">
        <w:rPr>
          <w:rFonts w:ascii="Book Antiqua" w:hAnsi="Book Antiqua"/>
          <w:bCs/>
          <w:szCs w:val="24"/>
          <w:lang w:val="es-PR"/>
        </w:rPr>
        <w:t>.- Vigencia.</w:t>
      </w:r>
    </w:p>
    <w:p w14:paraId="453AB3BA" w14:textId="77777777" w:rsidR="00C24CA7" w:rsidRPr="005C6CA1" w:rsidRDefault="009E414B" w:rsidP="005C6CA1">
      <w:pPr>
        <w:widowControl w:val="0"/>
        <w:autoSpaceDE w:val="0"/>
        <w:autoSpaceDN w:val="0"/>
        <w:adjustRightInd w:val="0"/>
        <w:spacing w:line="480" w:lineRule="auto"/>
        <w:ind w:firstLine="720"/>
        <w:jc w:val="both"/>
        <w:rPr>
          <w:rFonts w:ascii="Book Antiqua" w:hAnsi="Book Antiqua"/>
          <w:bCs/>
          <w:szCs w:val="24"/>
          <w:lang w:val="es-PR"/>
        </w:rPr>
      </w:pPr>
      <w:r w:rsidRPr="005C6CA1">
        <w:rPr>
          <w:rFonts w:ascii="Book Antiqua" w:hAnsi="Book Antiqua"/>
          <w:bCs/>
          <w:szCs w:val="24"/>
          <w:lang w:val="es-PR"/>
        </w:rPr>
        <w:t xml:space="preserve"> Esta Ley entrará en vigor treinta (30) días después de su aprobación</w:t>
      </w:r>
      <w:r w:rsidR="007A7D4F" w:rsidRPr="005C6CA1">
        <w:rPr>
          <w:rFonts w:ascii="Book Antiqua" w:hAnsi="Book Antiqua"/>
          <w:bCs/>
          <w:szCs w:val="24"/>
          <w:lang w:val="es-PR"/>
        </w:rPr>
        <w:t>; excepto lo dispuesto en torno a la expedición de las certificaciones literale</w:t>
      </w:r>
      <w:r w:rsidR="00861DD6" w:rsidRPr="005C6CA1">
        <w:rPr>
          <w:rFonts w:ascii="Book Antiqua" w:hAnsi="Book Antiqua"/>
          <w:bCs/>
          <w:szCs w:val="24"/>
          <w:lang w:val="es-PR"/>
        </w:rPr>
        <w:t>s y de planos</w:t>
      </w:r>
      <w:r w:rsidR="007A7D4F" w:rsidRPr="005C6CA1">
        <w:rPr>
          <w:rFonts w:ascii="Book Antiqua" w:hAnsi="Book Antiqua"/>
          <w:bCs/>
          <w:szCs w:val="24"/>
          <w:lang w:val="es-PR"/>
        </w:rPr>
        <w:t xml:space="preserve">, lo cual entrará en vigor una vez se incorporen las enmiendas necesarias al Reglamento y las </w:t>
      </w:r>
      <w:r w:rsidR="007A7D4F" w:rsidRPr="005C6CA1">
        <w:rPr>
          <w:rFonts w:ascii="Book Antiqua" w:hAnsi="Book Antiqua"/>
          <w:bCs/>
          <w:szCs w:val="24"/>
          <w:lang w:val="es-PR"/>
        </w:rPr>
        <w:lastRenderedPageBreak/>
        <w:t>actualizaciones a la programación del sistema</w:t>
      </w:r>
      <w:r w:rsidR="00455752" w:rsidRPr="005C6CA1">
        <w:rPr>
          <w:rFonts w:ascii="Book Antiqua" w:hAnsi="Book Antiqua"/>
          <w:bCs/>
          <w:szCs w:val="24"/>
          <w:lang w:val="es-PR"/>
        </w:rPr>
        <w:t xml:space="preserve"> </w:t>
      </w:r>
      <w:r w:rsidR="00455752" w:rsidRPr="005C6CA1">
        <w:rPr>
          <w:rFonts w:ascii="Book Antiqua" w:hAnsi="Book Antiqua"/>
          <w:bCs/>
          <w:i/>
          <w:iCs/>
          <w:szCs w:val="24"/>
          <w:u w:val="single"/>
          <w:lang w:val="es-PR"/>
        </w:rPr>
        <w:t>de presentación digital o telemática, conocido como Sistema</w:t>
      </w:r>
      <w:r w:rsidR="007A7D4F" w:rsidRPr="005C6CA1">
        <w:rPr>
          <w:rFonts w:ascii="Book Antiqua" w:hAnsi="Book Antiqua"/>
          <w:bCs/>
          <w:szCs w:val="24"/>
          <w:lang w:val="es-PR"/>
        </w:rPr>
        <w:t xml:space="preserve"> Karibe.</w:t>
      </w:r>
      <w:r w:rsidR="00C645B5" w:rsidRPr="005C6CA1">
        <w:rPr>
          <w:rFonts w:ascii="Book Antiqua" w:hAnsi="Book Antiqua"/>
          <w:bCs/>
          <w:szCs w:val="24"/>
          <w:lang w:val="es-PR"/>
        </w:rPr>
        <w:t xml:space="preserve"> </w:t>
      </w:r>
    </w:p>
    <w:sectPr w:rsidR="00C24CA7" w:rsidRPr="005C6CA1" w:rsidSect="007A7D4F">
      <w:headerReference w:type="default" r:id="rId11"/>
      <w:headerReference w:type="firs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23714" w14:textId="77777777" w:rsidR="00004746" w:rsidRDefault="00004746">
      <w:r>
        <w:separator/>
      </w:r>
    </w:p>
  </w:endnote>
  <w:endnote w:type="continuationSeparator" w:id="0">
    <w:p w14:paraId="77772E27" w14:textId="77777777" w:rsidR="00004746" w:rsidRDefault="00004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C9713" w14:textId="77777777" w:rsidR="00004746" w:rsidRDefault="00004746">
      <w:r>
        <w:separator/>
      </w:r>
    </w:p>
  </w:footnote>
  <w:footnote w:type="continuationSeparator" w:id="0">
    <w:p w14:paraId="161FE1E8" w14:textId="77777777" w:rsidR="00004746" w:rsidRDefault="000047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DA058"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284D2B">
      <w:rPr>
        <w:rStyle w:val="PageNumber"/>
        <w:noProof/>
      </w:rPr>
      <w:t>16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91A23" w14:textId="77777777" w:rsidR="00FD373E" w:rsidRDefault="00FD373E" w:rsidP="00FD373E">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2" w:name="_Hlk36034857"/>
    <w:r>
      <w:rPr>
        <w:rFonts w:ascii="Book Antiqua" w:eastAsia="MS Mincho" w:hAnsi="Book Antiqua"/>
        <w:b/>
        <w:lang w:val="es-PR"/>
      </w:rPr>
      <w:t>TEXTO APROBADO EN VOTACIÓN FINAL POR EL SENADO</w:t>
    </w:r>
  </w:p>
  <w:p w14:paraId="095C68FD" w14:textId="77777777" w:rsidR="00FD373E" w:rsidRDefault="00FD373E" w:rsidP="00FD373E">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(2</w:t>
    </w:r>
    <w:r w:rsidR="001F203C">
      <w:rPr>
        <w:rFonts w:ascii="Book Antiqua" w:eastAsia="MS Mincho" w:hAnsi="Book Antiqua"/>
        <w:b/>
      </w:rPr>
      <w:t>3</w:t>
    </w:r>
    <w:r>
      <w:rPr>
        <w:rFonts w:ascii="Book Antiqua" w:eastAsia="MS Mincho" w:hAnsi="Book Antiqua"/>
        <w:b/>
      </w:rPr>
      <w:t xml:space="preserve"> DE OCTUBRE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82E7C"/>
    <w:multiLevelType w:val="hybridMultilevel"/>
    <w:tmpl w:val="8EDAC580"/>
    <w:lvl w:ilvl="0" w:tplc="DB7823C4">
      <w:start w:val="1"/>
      <w:numFmt w:val="decimal"/>
      <w:lvlText w:val="%1."/>
      <w:lvlJc w:val="left"/>
      <w:pPr>
        <w:ind w:left="1800" w:hanging="360"/>
      </w:pPr>
      <w:rPr>
        <w:rFonts w:hint="default"/>
        <w:i/>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B2CCB"/>
    <w:multiLevelType w:val="hybridMultilevel"/>
    <w:tmpl w:val="4D5E6602"/>
    <w:lvl w:ilvl="0" w:tplc="F604A94E">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31149B"/>
    <w:multiLevelType w:val="hybridMultilevel"/>
    <w:tmpl w:val="00062148"/>
    <w:lvl w:ilvl="0" w:tplc="1FCE672E">
      <w:start w:val="1"/>
      <w:numFmt w:val="upp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8630706">
    <w:abstractNumId w:val="1"/>
  </w:num>
  <w:num w:numId="2" w16cid:durableId="1063523553">
    <w:abstractNumId w:val="2"/>
  </w:num>
  <w:num w:numId="3" w16cid:durableId="600066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A7D4F"/>
    <w:rsid w:val="00004746"/>
    <w:rsid w:val="00005BC3"/>
    <w:rsid w:val="00007615"/>
    <w:rsid w:val="00030E3D"/>
    <w:rsid w:val="00036C1E"/>
    <w:rsid w:val="0003764F"/>
    <w:rsid w:val="00057F3C"/>
    <w:rsid w:val="00057FE2"/>
    <w:rsid w:val="000A7095"/>
    <w:rsid w:val="000F3D48"/>
    <w:rsid w:val="000F6834"/>
    <w:rsid w:val="00110BEA"/>
    <w:rsid w:val="0011153B"/>
    <w:rsid w:val="00124930"/>
    <w:rsid w:val="0014502B"/>
    <w:rsid w:val="0015310E"/>
    <w:rsid w:val="001828DE"/>
    <w:rsid w:val="00197239"/>
    <w:rsid w:val="001B6099"/>
    <w:rsid w:val="001C0218"/>
    <w:rsid w:val="001C50DD"/>
    <w:rsid w:val="001D13D3"/>
    <w:rsid w:val="001E1720"/>
    <w:rsid w:val="001E492D"/>
    <w:rsid w:val="001F203C"/>
    <w:rsid w:val="001F4CC4"/>
    <w:rsid w:val="00210571"/>
    <w:rsid w:val="002151F3"/>
    <w:rsid w:val="002641A9"/>
    <w:rsid w:val="00275D9E"/>
    <w:rsid w:val="00284D2B"/>
    <w:rsid w:val="002A5824"/>
    <w:rsid w:val="002C0FF3"/>
    <w:rsid w:val="002C4E0C"/>
    <w:rsid w:val="002D1FAD"/>
    <w:rsid w:val="002E0235"/>
    <w:rsid w:val="002E6D71"/>
    <w:rsid w:val="002F0CA7"/>
    <w:rsid w:val="002F1D2E"/>
    <w:rsid w:val="002F565C"/>
    <w:rsid w:val="002F69BF"/>
    <w:rsid w:val="0030310D"/>
    <w:rsid w:val="003032B3"/>
    <w:rsid w:val="003039D0"/>
    <w:rsid w:val="00312F2D"/>
    <w:rsid w:val="003146C3"/>
    <w:rsid w:val="003163B6"/>
    <w:rsid w:val="00321EB7"/>
    <w:rsid w:val="0032305B"/>
    <w:rsid w:val="00323544"/>
    <w:rsid w:val="00330B20"/>
    <w:rsid w:val="00343F8A"/>
    <w:rsid w:val="00351F01"/>
    <w:rsid w:val="00354F2D"/>
    <w:rsid w:val="00355785"/>
    <w:rsid w:val="0035718A"/>
    <w:rsid w:val="00362DEE"/>
    <w:rsid w:val="00372E08"/>
    <w:rsid w:val="00384B92"/>
    <w:rsid w:val="00385A26"/>
    <w:rsid w:val="003B790E"/>
    <w:rsid w:val="003E1498"/>
    <w:rsid w:val="00406AB7"/>
    <w:rsid w:val="0042753F"/>
    <w:rsid w:val="0043262C"/>
    <w:rsid w:val="00446538"/>
    <w:rsid w:val="00452852"/>
    <w:rsid w:val="00455752"/>
    <w:rsid w:val="00464262"/>
    <w:rsid w:val="00477BB6"/>
    <w:rsid w:val="0048066A"/>
    <w:rsid w:val="00490019"/>
    <w:rsid w:val="00490926"/>
    <w:rsid w:val="004937CA"/>
    <w:rsid w:val="004C0E68"/>
    <w:rsid w:val="004C3BDF"/>
    <w:rsid w:val="004D15AD"/>
    <w:rsid w:val="004D43A7"/>
    <w:rsid w:val="004F1EE4"/>
    <w:rsid w:val="004F1F30"/>
    <w:rsid w:val="004F39FB"/>
    <w:rsid w:val="00522268"/>
    <w:rsid w:val="0053224D"/>
    <w:rsid w:val="0055713F"/>
    <w:rsid w:val="005777F8"/>
    <w:rsid w:val="00580FE5"/>
    <w:rsid w:val="005A42F1"/>
    <w:rsid w:val="005A4350"/>
    <w:rsid w:val="005B5C1B"/>
    <w:rsid w:val="005C6CA1"/>
    <w:rsid w:val="005E0383"/>
    <w:rsid w:val="0060653E"/>
    <w:rsid w:val="00607141"/>
    <w:rsid w:val="00612812"/>
    <w:rsid w:val="00615908"/>
    <w:rsid w:val="00633DF2"/>
    <w:rsid w:val="0063624B"/>
    <w:rsid w:val="006434FD"/>
    <w:rsid w:val="00660D3E"/>
    <w:rsid w:val="00675D05"/>
    <w:rsid w:val="006760A0"/>
    <w:rsid w:val="00682CBB"/>
    <w:rsid w:val="00686E15"/>
    <w:rsid w:val="006B559B"/>
    <w:rsid w:val="006D5925"/>
    <w:rsid w:val="006D5D97"/>
    <w:rsid w:val="00714D21"/>
    <w:rsid w:val="00716927"/>
    <w:rsid w:val="00725365"/>
    <w:rsid w:val="0074356F"/>
    <w:rsid w:val="00762CE7"/>
    <w:rsid w:val="007709DA"/>
    <w:rsid w:val="0077386F"/>
    <w:rsid w:val="0078737C"/>
    <w:rsid w:val="007A1394"/>
    <w:rsid w:val="007A61EA"/>
    <w:rsid w:val="007A7D4F"/>
    <w:rsid w:val="007B4BF8"/>
    <w:rsid w:val="007C7EC5"/>
    <w:rsid w:val="007F0B3D"/>
    <w:rsid w:val="007F6A7C"/>
    <w:rsid w:val="0082284C"/>
    <w:rsid w:val="008235FF"/>
    <w:rsid w:val="00827101"/>
    <w:rsid w:val="00841B92"/>
    <w:rsid w:val="008547BE"/>
    <w:rsid w:val="00861DD6"/>
    <w:rsid w:val="0086704D"/>
    <w:rsid w:val="0087011F"/>
    <w:rsid w:val="00882B89"/>
    <w:rsid w:val="00883546"/>
    <w:rsid w:val="00885706"/>
    <w:rsid w:val="008A50AE"/>
    <w:rsid w:val="008A53AF"/>
    <w:rsid w:val="008A560A"/>
    <w:rsid w:val="008B0C47"/>
    <w:rsid w:val="008C0AF2"/>
    <w:rsid w:val="008C0C56"/>
    <w:rsid w:val="008C4672"/>
    <w:rsid w:val="008C5AFE"/>
    <w:rsid w:val="008E2201"/>
    <w:rsid w:val="008E2489"/>
    <w:rsid w:val="008E4B89"/>
    <w:rsid w:val="008E6E97"/>
    <w:rsid w:val="008F3D2B"/>
    <w:rsid w:val="009042AD"/>
    <w:rsid w:val="00907E64"/>
    <w:rsid w:val="009166F3"/>
    <w:rsid w:val="0092176F"/>
    <w:rsid w:val="0094456B"/>
    <w:rsid w:val="00947FC4"/>
    <w:rsid w:val="00967858"/>
    <w:rsid w:val="00980C1C"/>
    <w:rsid w:val="009B4B2A"/>
    <w:rsid w:val="009B5002"/>
    <w:rsid w:val="009B7A94"/>
    <w:rsid w:val="009C765B"/>
    <w:rsid w:val="009D15E3"/>
    <w:rsid w:val="009D1839"/>
    <w:rsid w:val="009D7DAC"/>
    <w:rsid w:val="009E0314"/>
    <w:rsid w:val="009E414B"/>
    <w:rsid w:val="00A07385"/>
    <w:rsid w:val="00A10EAB"/>
    <w:rsid w:val="00A41109"/>
    <w:rsid w:val="00A51C92"/>
    <w:rsid w:val="00A60AA5"/>
    <w:rsid w:val="00A6111E"/>
    <w:rsid w:val="00A678C2"/>
    <w:rsid w:val="00A732EB"/>
    <w:rsid w:val="00A750BD"/>
    <w:rsid w:val="00A829DF"/>
    <w:rsid w:val="00A84A39"/>
    <w:rsid w:val="00A9334E"/>
    <w:rsid w:val="00AA6B53"/>
    <w:rsid w:val="00AC49F5"/>
    <w:rsid w:val="00AF587D"/>
    <w:rsid w:val="00B161E6"/>
    <w:rsid w:val="00B217E2"/>
    <w:rsid w:val="00B3105E"/>
    <w:rsid w:val="00B34D01"/>
    <w:rsid w:val="00B3541D"/>
    <w:rsid w:val="00B456A4"/>
    <w:rsid w:val="00B55B50"/>
    <w:rsid w:val="00B6258D"/>
    <w:rsid w:val="00B628E7"/>
    <w:rsid w:val="00B70291"/>
    <w:rsid w:val="00B87EDF"/>
    <w:rsid w:val="00BA3832"/>
    <w:rsid w:val="00BA7DAE"/>
    <w:rsid w:val="00BB4B68"/>
    <w:rsid w:val="00BC3AB2"/>
    <w:rsid w:val="00BE7A2C"/>
    <w:rsid w:val="00BF666E"/>
    <w:rsid w:val="00BF6758"/>
    <w:rsid w:val="00C028E0"/>
    <w:rsid w:val="00C06257"/>
    <w:rsid w:val="00C16D63"/>
    <w:rsid w:val="00C24CA7"/>
    <w:rsid w:val="00C27704"/>
    <w:rsid w:val="00C433A2"/>
    <w:rsid w:val="00C55E27"/>
    <w:rsid w:val="00C645B5"/>
    <w:rsid w:val="00C652E0"/>
    <w:rsid w:val="00CA1ED6"/>
    <w:rsid w:val="00CA469F"/>
    <w:rsid w:val="00CE30DC"/>
    <w:rsid w:val="00CF2B83"/>
    <w:rsid w:val="00D20C77"/>
    <w:rsid w:val="00D4562B"/>
    <w:rsid w:val="00D463B0"/>
    <w:rsid w:val="00D51285"/>
    <w:rsid w:val="00D9493E"/>
    <w:rsid w:val="00DB40A8"/>
    <w:rsid w:val="00DC62DA"/>
    <w:rsid w:val="00DD5AD1"/>
    <w:rsid w:val="00DE2181"/>
    <w:rsid w:val="00DE2EB8"/>
    <w:rsid w:val="00DE348E"/>
    <w:rsid w:val="00DE5530"/>
    <w:rsid w:val="00DE7DBB"/>
    <w:rsid w:val="00E01072"/>
    <w:rsid w:val="00E42336"/>
    <w:rsid w:val="00E4768E"/>
    <w:rsid w:val="00E532CF"/>
    <w:rsid w:val="00E54C26"/>
    <w:rsid w:val="00E55203"/>
    <w:rsid w:val="00E73158"/>
    <w:rsid w:val="00EB08CD"/>
    <w:rsid w:val="00EB5D35"/>
    <w:rsid w:val="00EE1318"/>
    <w:rsid w:val="00EF3A7B"/>
    <w:rsid w:val="00F1080C"/>
    <w:rsid w:val="00F211FB"/>
    <w:rsid w:val="00F353BF"/>
    <w:rsid w:val="00F65E39"/>
    <w:rsid w:val="00F95FDC"/>
    <w:rsid w:val="00F96052"/>
    <w:rsid w:val="00FA45EB"/>
    <w:rsid w:val="00FD373E"/>
    <w:rsid w:val="00FD5990"/>
    <w:rsid w:val="00FE4BE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7A951"/>
  <w15:chartTrackingRefBased/>
  <w15:docId w15:val="{DAEBF846-269A-45A4-9EDF-ED810F9F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CommentReference">
    <w:name w:val="annotation reference"/>
    <w:rsid w:val="002F1D2E"/>
    <w:rPr>
      <w:sz w:val="16"/>
      <w:szCs w:val="16"/>
    </w:rPr>
  </w:style>
  <w:style w:type="paragraph" w:styleId="CommentText">
    <w:name w:val="annotation text"/>
    <w:basedOn w:val="Normal"/>
    <w:link w:val="CommentTextChar"/>
    <w:rsid w:val="002F1D2E"/>
    <w:rPr>
      <w:sz w:val="20"/>
    </w:rPr>
  </w:style>
  <w:style w:type="character" w:customStyle="1" w:styleId="CommentTextChar">
    <w:name w:val="Comment Text Char"/>
    <w:basedOn w:val="DefaultParagraphFont"/>
    <w:link w:val="CommentText"/>
    <w:rsid w:val="002F1D2E"/>
  </w:style>
  <w:style w:type="paragraph" w:styleId="CommentSubject">
    <w:name w:val="annotation subject"/>
    <w:basedOn w:val="CommentText"/>
    <w:next w:val="CommentText"/>
    <w:link w:val="CommentSubjectChar"/>
    <w:rsid w:val="002F1D2E"/>
    <w:rPr>
      <w:b/>
      <w:bCs/>
    </w:rPr>
  </w:style>
  <w:style w:type="character" w:customStyle="1" w:styleId="CommentSubjectChar">
    <w:name w:val="Comment Subject Char"/>
    <w:link w:val="CommentSubject"/>
    <w:rsid w:val="002F1D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77655">
      <w:bodyDiv w:val="1"/>
      <w:marLeft w:val="0"/>
      <w:marRight w:val="0"/>
      <w:marTop w:val="0"/>
      <w:marBottom w:val="0"/>
      <w:divBdr>
        <w:top w:val="none" w:sz="0" w:space="0" w:color="auto"/>
        <w:left w:val="none" w:sz="0" w:space="0" w:color="auto"/>
        <w:bottom w:val="none" w:sz="0" w:space="0" w:color="auto"/>
        <w:right w:val="none" w:sz="0" w:space="0" w:color="auto"/>
      </w:divBdr>
    </w:div>
    <w:div w:id="644286147">
      <w:bodyDiv w:val="1"/>
      <w:marLeft w:val="0"/>
      <w:marRight w:val="0"/>
      <w:marTop w:val="0"/>
      <w:marBottom w:val="0"/>
      <w:divBdr>
        <w:top w:val="none" w:sz="0" w:space="0" w:color="auto"/>
        <w:left w:val="none" w:sz="0" w:space="0" w:color="auto"/>
        <w:bottom w:val="none" w:sz="0" w:space="0" w:color="auto"/>
        <w:right w:val="none" w:sz="0" w:space="0" w:color="auto"/>
      </w:divBdr>
    </w:div>
    <w:div w:id="951521210">
      <w:bodyDiv w:val="1"/>
      <w:marLeft w:val="0"/>
      <w:marRight w:val="0"/>
      <w:marTop w:val="0"/>
      <w:marBottom w:val="0"/>
      <w:divBdr>
        <w:top w:val="none" w:sz="0" w:space="0" w:color="auto"/>
        <w:left w:val="none" w:sz="0" w:space="0" w:color="auto"/>
        <w:bottom w:val="none" w:sz="0" w:space="0" w:color="auto"/>
        <w:right w:val="none" w:sz="0" w:space="0" w:color="auto"/>
      </w:divBdr>
    </w:div>
    <w:div w:id="1156916758">
      <w:bodyDiv w:val="1"/>
      <w:marLeft w:val="0"/>
      <w:marRight w:val="0"/>
      <w:marTop w:val="0"/>
      <w:marBottom w:val="0"/>
      <w:divBdr>
        <w:top w:val="none" w:sz="0" w:space="0" w:color="auto"/>
        <w:left w:val="none" w:sz="0" w:space="0" w:color="auto"/>
        <w:bottom w:val="none" w:sz="0" w:space="0" w:color="auto"/>
        <w:right w:val="none" w:sz="0" w:space="0" w:color="auto"/>
      </w:divBdr>
    </w:div>
    <w:div w:id="162334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1BD4D-E6F9-441E-9625-E21010F2E43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76895D82-4F76-44A1-B66D-C64DDBABC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B39F8E-6A81-448F-A4BD-01250362DC44}">
  <ds:schemaRefs>
    <ds:schemaRef ds:uri="http://schemas.microsoft.com/office/2006/metadata/longProperties"/>
  </ds:schemaRefs>
</ds:datastoreItem>
</file>

<file path=customXml/itemProps4.xml><?xml version="1.0" encoding="utf-8"?>
<ds:datastoreItem xmlns:ds="http://schemas.openxmlformats.org/officeDocument/2006/customXml" ds:itemID="{BD3EDF39-2FD7-47C0-991A-D35DD217D9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Medida-v2019</Template>
  <TotalTime>66</TotalTime>
  <Pages>16</Pages>
  <Words>3757</Words>
  <Characters>20426</Characters>
  <Application>Microsoft Office Word</Application>
  <DocSecurity>0</DocSecurity>
  <Lines>347</Lines>
  <Paragraphs>90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Manager/>
  <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Itza M. Lopez</dc:creator>
  <cp:keywords/>
  <cp:lastModifiedBy>Eric O. De la Cruz Iglesias</cp:lastModifiedBy>
  <cp:revision>41</cp:revision>
  <cp:lastPrinted>2026-02-12T13:26:00Z</cp:lastPrinted>
  <dcterms:created xsi:type="dcterms:W3CDTF">2026-02-02T16:52:00Z</dcterms:created>
  <dcterms:modified xsi:type="dcterms:W3CDTF">2026-02-12T13:29:00Z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4SQX5P7U7WPY-958212181-781576</vt:lpwstr>
  </property>
  <property fmtid="{D5CDD505-2E9C-101B-9397-08002B2CF9AE}" pid="3" name="_dlc_DocIdItemGuid">
    <vt:lpwstr>d43694c1-4402-44a4-aee9-7862fe93e662</vt:lpwstr>
  </property>
  <property fmtid="{D5CDD505-2E9C-101B-9397-08002B2CF9AE}" pid="4" name="_dlc_DocIdUrl">
    <vt:lpwstr>https://senpr.sharepoint.com/sites/obralegislativa/_layouts/15/DocIdRedir.aspx?ID=4SQX5P7U7WPY-958212181-781576, 4SQX5P7U7WPY-958212181-781576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ies>
</file>