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318C4" w:rsidRDefault="0025323B">
      <w:pPr>
        <w:jc w:val="center"/>
        <w:rPr>
          <w:rFonts w:ascii="Book Antiqua" w:eastAsia="Book Antiqua" w:hAnsi="Book Antiqua" w:cs="Book Antiqua"/>
          <w:sz w:val="28"/>
          <w:szCs w:val="28"/>
        </w:rPr>
      </w:pPr>
      <w:r>
        <w:rPr>
          <w:rFonts w:ascii="Book Antiqua" w:eastAsia="Book Antiqua" w:hAnsi="Book Antiqua" w:cs="Book Antiqua"/>
          <w:sz w:val="28"/>
          <w:szCs w:val="28"/>
        </w:rPr>
        <w:t>(ENTIRILLADO ELECTRÓNICO)</w:t>
      </w:r>
    </w:p>
    <w:p w14:paraId="00000002" w14:textId="77777777" w:rsidR="00F318C4" w:rsidRDefault="00F318C4">
      <w:pPr>
        <w:jc w:val="center"/>
        <w:rPr>
          <w:rFonts w:ascii="Book Antiqua" w:eastAsia="Book Antiqua" w:hAnsi="Book Antiqua" w:cs="Book Antiqua"/>
          <w:sz w:val="28"/>
          <w:szCs w:val="28"/>
        </w:rPr>
      </w:pPr>
    </w:p>
    <w:p w14:paraId="00000003" w14:textId="77777777" w:rsidR="00F318C4" w:rsidRDefault="0025323B">
      <w:pPr>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00000004" w14:textId="77777777" w:rsidR="00F318C4" w:rsidRDefault="00F318C4">
      <w:pPr>
        <w:jc w:val="center"/>
        <w:rPr>
          <w:rFonts w:ascii="Book Antiqua" w:eastAsia="Book Antiqua" w:hAnsi="Book Antiqua" w:cs="Book Antiqua"/>
        </w:rPr>
      </w:pPr>
    </w:p>
    <w:p w14:paraId="00000005" w14:textId="77777777" w:rsidR="00F318C4" w:rsidRDefault="0025323B">
      <w:pPr>
        <w:tabs>
          <w:tab w:val="left" w:pos="648"/>
          <w:tab w:val="left" w:pos="7848"/>
        </w:tabs>
        <w:rPr>
          <w:rFonts w:ascii="Book Antiqua" w:eastAsia="Book Antiqua" w:hAnsi="Book Antiqua" w:cs="Book Antiqua"/>
        </w:rPr>
      </w:pPr>
      <w:r>
        <w:rPr>
          <w:rFonts w:ascii="Book Antiqua" w:eastAsia="Book Antiqua" w:hAnsi="Book Antiqua" w:cs="Book Antiqua"/>
        </w:rPr>
        <w:t>20ma. Asamblea</w:t>
      </w:r>
      <w:r>
        <w:rPr>
          <w:rFonts w:ascii="Book Antiqua" w:eastAsia="Book Antiqua" w:hAnsi="Book Antiqua" w:cs="Book Antiqua"/>
        </w:rPr>
        <w:tab/>
        <w:t>1ra. Sesión</w:t>
      </w:r>
    </w:p>
    <w:p w14:paraId="00000006" w14:textId="77777777" w:rsidR="00F318C4" w:rsidRDefault="0025323B">
      <w:pPr>
        <w:tabs>
          <w:tab w:val="left" w:pos="648"/>
          <w:tab w:val="left" w:pos="7110"/>
        </w:tabs>
        <w:rPr>
          <w:rFonts w:ascii="Book Antiqua" w:eastAsia="Book Antiqua" w:hAnsi="Book Antiqua" w:cs="Book Antiqua"/>
        </w:rPr>
      </w:pPr>
      <w:r>
        <w:rPr>
          <w:rFonts w:ascii="Book Antiqua" w:eastAsia="Book Antiqua" w:hAnsi="Book Antiqua" w:cs="Book Antiqua"/>
        </w:rPr>
        <w:tab/>
        <w:t>Legislativa</w:t>
      </w:r>
      <w:r>
        <w:rPr>
          <w:rFonts w:ascii="Book Antiqua" w:eastAsia="Book Antiqua" w:hAnsi="Book Antiqua" w:cs="Book Antiqua"/>
        </w:rPr>
        <w:tab/>
      </w:r>
      <w:r>
        <w:rPr>
          <w:rFonts w:ascii="Book Antiqua" w:eastAsia="Book Antiqua" w:hAnsi="Book Antiqua" w:cs="Book Antiqua"/>
        </w:rPr>
        <w:tab/>
        <w:t xml:space="preserve">                  Ordinaria</w:t>
      </w:r>
    </w:p>
    <w:p w14:paraId="00000007" w14:textId="77777777" w:rsidR="00F318C4" w:rsidRDefault="00F318C4">
      <w:pPr>
        <w:rPr>
          <w:rFonts w:ascii="Book Antiqua" w:eastAsia="Book Antiqua" w:hAnsi="Book Antiqua" w:cs="Book Antiqua"/>
        </w:rPr>
      </w:pPr>
    </w:p>
    <w:p w14:paraId="00000008" w14:textId="77777777" w:rsidR="00F318C4" w:rsidRDefault="0025323B">
      <w:pPr>
        <w:widowControl w:val="0"/>
        <w:jc w:val="center"/>
        <w:rPr>
          <w:rFonts w:ascii="Book Antiqua" w:eastAsia="Book Antiqua" w:hAnsi="Book Antiqua" w:cs="Book Antiqua"/>
          <w:b/>
          <w:sz w:val="36"/>
          <w:szCs w:val="36"/>
        </w:rPr>
      </w:pPr>
      <w:r>
        <w:rPr>
          <w:rFonts w:ascii="Book Antiqua" w:eastAsia="Book Antiqua" w:hAnsi="Book Antiqua" w:cs="Book Antiqua"/>
          <w:b/>
          <w:sz w:val="36"/>
          <w:szCs w:val="36"/>
        </w:rPr>
        <w:t>CÁMARA DE REPRESENTANTES</w:t>
      </w:r>
    </w:p>
    <w:p w14:paraId="00000009" w14:textId="77777777" w:rsidR="00F318C4" w:rsidRDefault="00F318C4">
      <w:pPr>
        <w:widowControl w:val="0"/>
        <w:jc w:val="center"/>
        <w:rPr>
          <w:rFonts w:ascii="Book Antiqua" w:eastAsia="Book Antiqua" w:hAnsi="Book Antiqua" w:cs="Book Antiqua"/>
        </w:rPr>
      </w:pPr>
    </w:p>
    <w:p w14:paraId="0000000A" w14:textId="77777777" w:rsidR="00F318C4" w:rsidRDefault="0025323B">
      <w:pPr>
        <w:widowControl w:val="0"/>
        <w:jc w:val="center"/>
        <w:rPr>
          <w:rFonts w:ascii="Book Antiqua" w:eastAsia="Book Antiqua" w:hAnsi="Book Antiqua" w:cs="Book Antiqua"/>
          <w:b/>
          <w:sz w:val="52"/>
          <w:szCs w:val="52"/>
        </w:rPr>
      </w:pPr>
      <w:r>
        <w:rPr>
          <w:rFonts w:ascii="Book Antiqua" w:eastAsia="Book Antiqua" w:hAnsi="Book Antiqua" w:cs="Book Antiqua"/>
          <w:b/>
          <w:sz w:val="52"/>
          <w:szCs w:val="52"/>
        </w:rPr>
        <w:t>P. de la C. 46</w:t>
      </w:r>
    </w:p>
    <w:p w14:paraId="0000000B" w14:textId="77777777" w:rsidR="00F318C4" w:rsidRDefault="00F318C4">
      <w:pPr>
        <w:widowControl w:val="0"/>
        <w:jc w:val="center"/>
      </w:pPr>
    </w:p>
    <w:p w14:paraId="0000000C" w14:textId="77777777" w:rsidR="00F318C4" w:rsidRDefault="0025323B">
      <w:pPr>
        <w:widowControl w:val="0"/>
        <w:tabs>
          <w:tab w:val="left" w:pos="8186"/>
        </w:tabs>
        <w:jc w:val="center"/>
        <w:rPr>
          <w:rFonts w:ascii="Book Antiqua" w:eastAsia="Book Antiqua" w:hAnsi="Book Antiqua" w:cs="Book Antiqua"/>
        </w:rPr>
      </w:pPr>
      <w:r>
        <w:rPr>
          <w:rFonts w:ascii="Book Antiqua" w:eastAsia="Book Antiqua" w:hAnsi="Book Antiqua" w:cs="Book Antiqua"/>
        </w:rPr>
        <w:t xml:space="preserve">  2 DE ENERO DE 2025</w:t>
      </w:r>
    </w:p>
    <w:p w14:paraId="0000000D" w14:textId="77777777" w:rsidR="00F318C4" w:rsidRDefault="00F318C4">
      <w:pPr>
        <w:widowControl w:val="0"/>
        <w:jc w:val="center"/>
        <w:rPr>
          <w:rFonts w:ascii="Book Antiqua" w:eastAsia="Book Antiqua" w:hAnsi="Book Antiqua" w:cs="Book Antiqua"/>
          <w:i/>
        </w:rPr>
      </w:pPr>
    </w:p>
    <w:p w14:paraId="0000000E" w14:textId="77777777" w:rsidR="00F318C4" w:rsidRDefault="0025323B">
      <w:pPr>
        <w:ind w:left="720" w:hanging="720"/>
        <w:jc w:val="center"/>
        <w:rPr>
          <w:rFonts w:ascii="Book Antiqua" w:eastAsia="Book Antiqua" w:hAnsi="Book Antiqua" w:cs="Book Antiqua"/>
          <w:i/>
          <w:color w:val="1D2228"/>
          <w:highlight w:val="white"/>
        </w:rPr>
      </w:pPr>
      <w:r>
        <w:rPr>
          <w:rFonts w:ascii="Book Antiqua" w:eastAsia="Book Antiqua" w:hAnsi="Book Antiqua" w:cs="Book Antiqua"/>
          <w:color w:val="1D2228"/>
          <w:highlight w:val="white"/>
        </w:rPr>
        <w:t xml:space="preserve">Presentado por el representante </w:t>
      </w:r>
      <w:r>
        <w:rPr>
          <w:rFonts w:ascii="Book Antiqua" w:eastAsia="Book Antiqua" w:hAnsi="Book Antiqua" w:cs="Book Antiqua"/>
          <w:i/>
          <w:color w:val="1D2228"/>
          <w:highlight w:val="white"/>
        </w:rPr>
        <w:t>Méndez Núñez</w:t>
      </w:r>
    </w:p>
    <w:p w14:paraId="0000000F" w14:textId="77777777" w:rsidR="00F318C4" w:rsidRDefault="00F318C4">
      <w:pPr>
        <w:ind w:left="720" w:hanging="720"/>
        <w:jc w:val="center"/>
        <w:rPr>
          <w:rFonts w:ascii="Book Antiqua" w:eastAsia="Book Antiqua" w:hAnsi="Book Antiqua" w:cs="Book Antiqua"/>
        </w:rPr>
      </w:pPr>
    </w:p>
    <w:p w14:paraId="00000010" w14:textId="77777777" w:rsidR="00F318C4" w:rsidRDefault="0025323B">
      <w:pPr>
        <w:ind w:left="720" w:hanging="720"/>
        <w:jc w:val="center"/>
        <w:rPr>
          <w:rFonts w:ascii="Book Antiqua" w:eastAsia="Book Antiqua" w:hAnsi="Book Antiqua" w:cs="Book Antiqua"/>
        </w:rPr>
      </w:pPr>
      <w:r>
        <w:rPr>
          <w:rFonts w:ascii="Book Antiqua" w:eastAsia="Book Antiqua" w:hAnsi="Book Antiqua" w:cs="Book Antiqua"/>
        </w:rPr>
        <w:t>Referido a la Comisión de Transportación e Infraestructura</w:t>
      </w:r>
    </w:p>
    <w:p w14:paraId="00000011" w14:textId="77777777" w:rsidR="00F318C4" w:rsidRDefault="00F318C4">
      <w:pPr>
        <w:jc w:val="both"/>
        <w:rPr>
          <w:rFonts w:ascii="Book Antiqua" w:eastAsia="Book Antiqua" w:hAnsi="Book Antiqua" w:cs="Book Antiqua"/>
        </w:rPr>
      </w:pPr>
    </w:p>
    <w:p w14:paraId="00000012" w14:textId="77777777" w:rsidR="00F318C4" w:rsidRDefault="0025323B">
      <w:pPr>
        <w:jc w:val="center"/>
        <w:rPr>
          <w:rFonts w:ascii="Book Antiqua" w:eastAsia="Book Antiqua" w:hAnsi="Book Antiqua" w:cs="Book Antiqua"/>
          <w:b/>
          <w:sz w:val="28"/>
          <w:szCs w:val="28"/>
        </w:rPr>
      </w:pPr>
      <w:r>
        <w:rPr>
          <w:rFonts w:ascii="Book Antiqua" w:eastAsia="Book Antiqua" w:hAnsi="Book Antiqua" w:cs="Book Antiqua"/>
          <w:b/>
          <w:sz w:val="28"/>
          <w:szCs w:val="28"/>
        </w:rPr>
        <w:t>LEY</w:t>
      </w:r>
    </w:p>
    <w:p w14:paraId="00000013" w14:textId="77777777" w:rsidR="00F318C4" w:rsidRDefault="00F318C4">
      <w:pPr>
        <w:jc w:val="both"/>
        <w:rPr>
          <w:rFonts w:ascii="Book Antiqua" w:eastAsia="Book Antiqua" w:hAnsi="Book Antiqua" w:cs="Book Antiqua"/>
        </w:rPr>
      </w:pPr>
    </w:p>
    <w:p w14:paraId="00000014" w14:textId="77777777" w:rsidR="00F318C4" w:rsidRDefault="0025323B">
      <w:pPr>
        <w:ind w:left="567" w:hanging="567"/>
        <w:jc w:val="both"/>
        <w:rPr>
          <w:rFonts w:ascii="Book Antiqua" w:eastAsia="Book Antiqua" w:hAnsi="Book Antiqua" w:cs="Book Antiqua"/>
        </w:rPr>
      </w:pPr>
      <w:r>
        <w:rPr>
          <w:rFonts w:ascii="Book Antiqua" w:eastAsia="Book Antiqua" w:hAnsi="Book Antiqua" w:cs="Book Antiqua"/>
        </w:rPr>
        <w:t xml:space="preserve">Para enmendar el inciso (j) del Artículo 3.02 y el inciso </w:t>
      </w:r>
      <w:r>
        <w:rPr>
          <w:rFonts w:ascii="Book Antiqua" w:eastAsia="Book Antiqua" w:hAnsi="Book Antiqua" w:cs="Book Antiqua"/>
          <w:strike/>
        </w:rPr>
        <w:t xml:space="preserve">(h) y </w:t>
      </w:r>
      <w:r>
        <w:rPr>
          <w:rFonts w:ascii="Book Antiqua" w:eastAsia="Book Antiqua" w:hAnsi="Book Antiqua" w:cs="Book Antiqua"/>
        </w:rPr>
        <w:t xml:space="preserve">(l) del Artículo 23.05 de la Ley 22-2000, según enmendada, conocida como “Ley de Vehículos y Tránsito de Puerto Rico”; a los fines de </w:t>
      </w:r>
      <w:r>
        <w:rPr>
          <w:rFonts w:ascii="Book Antiqua" w:eastAsia="Book Antiqua" w:hAnsi="Book Antiqua" w:cs="Book Antiqua"/>
          <w:strike/>
        </w:rPr>
        <w:t>establecer</w:t>
      </w:r>
      <w:r>
        <w:rPr>
          <w:rFonts w:ascii="Book Antiqua" w:eastAsia="Book Antiqua" w:hAnsi="Book Antiqua" w:cs="Book Antiqua"/>
        </w:rPr>
        <w:t xml:space="preserve"> </w:t>
      </w:r>
      <w:r>
        <w:rPr>
          <w:rFonts w:ascii="Book Antiqua" w:eastAsia="Book Antiqua" w:hAnsi="Book Antiqua" w:cs="Book Antiqua"/>
          <w:u w:val="single"/>
        </w:rPr>
        <w:t xml:space="preserve">aclara en la Carta de derechos del conductor o propietario autorizado </w:t>
      </w:r>
      <w:r>
        <w:rPr>
          <w:rFonts w:ascii="Book Antiqua" w:eastAsia="Book Antiqua" w:hAnsi="Book Antiqua" w:cs="Book Antiqua"/>
        </w:rPr>
        <w:t xml:space="preserve">que será deber de un infractor pagar todo boleto dentro de los treinta (30) días contados a partir de la fecha de su expedición o desde la fecha del archivo en auto de la notificación de la resolución emitida por un Tribunal; </w:t>
      </w:r>
      <w:r>
        <w:rPr>
          <w:rFonts w:ascii="Book Antiqua" w:eastAsia="Book Antiqua" w:hAnsi="Book Antiqua" w:cs="Book Antiqua"/>
          <w:u w:val="single"/>
        </w:rPr>
        <w:t>establecer el derecho del conductor a contrainterrogar al agente que expide del boleto</w:t>
      </w:r>
      <w:r>
        <w:rPr>
          <w:rFonts w:ascii="Book Antiqua" w:eastAsia="Book Antiqua" w:hAnsi="Book Antiqua" w:cs="Book Antiqua"/>
        </w:rPr>
        <w:t xml:space="preserve"> </w:t>
      </w:r>
      <w:r>
        <w:rPr>
          <w:rFonts w:ascii="Book Antiqua" w:eastAsia="Book Antiqua" w:hAnsi="Book Antiqua" w:cs="Book Antiqua"/>
          <w:strike/>
        </w:rPr>
        <w:t>declarar con lugar la revisión de una falta administrativa por la ausencia del agente a la vista</w:t>
      </w:r>
      <w:r>
        <w:rPr>
          <w:rFonts w:ascii="Book Antiqua" w:eastAsia="Book Antiqua" w:hAnsi="Book Antiqua" w:cs="Book Antiqua"/>
        </w:rPr>
        <w:t xml:space="preserve"> </w:t>
      </w:r>
      <w:r>
        <w:rPr>
          <w:rFonts w:ascii="Book Antiqua" w:eastAsia="Book Antiqua" w:hAnsi="Book Antiqua" w:cs="Book Antiqua"/>
          <w:i/>
          <w:u w:val="single"/>
        </w:rPr>
        <w:t>y para otros fines relacionados</w:t>
      </w:r>
      <w:r>
        <w:rPr>
          <w:rFonts w:ascii="Book Antiqua" w:eastAsia="Book Antiqua" w:hAnsi="Book Antiqua" w:cs="Book Antiqua"/>
        </w:rPr>
        <w:t>.</w:t>
      </w:r>
    </w:p>
    <w:p w14:paraId="00000015" w14:textId="77777777" w:rsidR="00F318C4" w:rsidRDefault="00F318C4">
      <w:pPr>
        <w:ind w:left="720" w:hanging="720"/>
        <w:jc w:val="both"/>
        <w:rPr>
          <w:rFonts w:ascii="Book Antiqua" w:eastAsia="Book Antiqua" w:hAnsi="Book Antiqua" w:cs="Book Antiqua"/>
        </w:rPr>
      </w:pPr>
    </w:p>
    <w:p w14:paraId="00000016" w14:textId="77777777" w:rsidR="00F318C4" w:rsidRDefault="0025323B">
      <w:pPr>
        <w:jc w:val="center"/>
        <w:rPr>
          <w:rFonts w:ascii="Book Antiqua" w:eastAsia="Book Antiqua" w:hAnsi="Book Antiqua" w:cs="Book Antiqua"/>
        </w:rPr>
      </w:pPr>
      <w:r>
        <w:rPr>
          <w:rFonts w:ascii="Book Antiqua" w:eastAsia="Book Antiqua" w:hAnsi="Book Antiqua" w:cs="Book Antiqua"/>
        </w:rPr>
        <w:t>EXPOSICIÓN DE MOTIVOS</w:t>
      </w:r>
    </w:p>
    <w:p w14:paraId="00000017" w14:textId="77777777" w:rsidR="00F318C4" w:rsidRDefault="00F318C4">
      <w:pPr>
        <w:jc w:val="center"/>
        <w:rPr>
          <w:rFonts w:ascii="Book Antiqua" w:eastAsia="Book Antiqua" w:hAnsi="Book Antiqua" w:cs="Book Antiqua"/>
        </w:rPr>
      </w:pPr>
    </w:p>
    <w:p w14:paraId="00000018" w14:textId="77777777" w:rsidR="00F318C4" w:rsidRDefault="0025323B">
      <w:pPr>
        <w:shd w:val="clear" w:color="auto" w:fill="FFFFFF"/>
        <w:ind w:firstLine="720"/>
        <w:jc w:val="both"/>
        <w:rPr>
          <w:rFonts w:ascii="Book Antiqua" w:eastAsia="Book Antiqua" w:hAnsi="Book Antiqua" w:cs="Book Antiqua"/>
          <w:strike/>
        </w:rPr>
      </w:pPr>
      <w:r>
        <w:rPr>
          <w:rFonts w:ascii="Book Antiqua" w:eastAsia="Book Antiqua" w:hAnsi="Book Antiqua" w:cs="Book Antiqua"/>
          <w:strike/>
        </w:rPr>
        <w:t>La Ley Núm. 22-2000, según enmendada, conocida como “Ley de Vehículos y Tránsito de Puerto Rico”, establece que será deber del infractor pagar todo boleto dentro de los treinta (30) días a partir de la fecha de su expedición y si dentro de este término se efectúa el pago tendrá derecho a un descuento del monto total de la infracción.</w:t>
      </w:r>
    </w:p>
    <w:p w14:paraId="00000019" w14:textId="77777777" w:rsidR="00F318C4" w:rsidRDefault="00F318C4">
      <w:pPr>
        <w:shd w:val="clear" w:color="auto" w:fill="FFFFFF"/>
        <w:ind w:firstLine="720"/>
        <w:jc w:val="both"/>
        <w:rPr>
          <w:rFonts w:ascii="Book Antiqua" w:eastAsia="Book Antiqua" w:hAnsi="Book Antiqua" w:cs="Book Antiqua"/>
          <w:strike/>
        </w:rPr>
      </w:pPr>
    </w:p>
    <w:p w14:paraId="0000001A" w14:textId="77777777" w:rsidR="00F318C4" w:rsidRDefault="0025323B">
      <w:pPr>
        <w:shd w:val="clear" w:color="auto" w:fill="FFFFFF"/>
        <w:ind w:firstLine="720"/>
        <w:jc w:val="both"/>
        <w:rPr>
          <w:rFonts w:ascii="Book Antiqua" w:eastAsia="Book Antiqua" w:hAnsi="Book Antiqua" w:cs="Book Antiqua"/>
        </w:rPr>
      </w:pPr>
      <w:r>
        <w:rPr>
          <w:rFonts w:ascii="Book Antiqua" w:eastAsia="Book Antiqua" w:hAnsi="Book Antiqua" w:cs="Book Antiqua"/>
          <w:strike/>
        </w:rPr>
        <w:t xml:space="preserve">La ley actualmente no contempla este beneficio a los ciudadanos que optan por ejercer su derecho a apelar la infracción ante los Tribunales de Puerto Rico.  De hecho, de optar por recurrir al tribunal automáticamente pierden el derecho a recibir los descuentos que otorga la ley.  Dicha postura debe ser corregida para que dicho descuento no se </w:t>
      </w:r>
      <w:r>
        <w:rPr>
          <w:rFonts w:ascii="Book Antiqua" w:eastAsia="Book Antiqua" w:hAnsi="Book Antiqua" w:cs="Book Antiqua"/>
          <w:strike/>
        </w:rPr>
        <w:lastRenderedPageBreak/>
        <w:t>convierta en una forma de coartar el derecho que tiene todo conductor a apelar su boleto por infracción a la ley de tránsito</w:t>
      </w:r>
      <w:r>
        <w:rPr>
          <w:rFonts w:ascii="Book Antiqua" w:eastAsia="Book Antiqua" w:hAnsi="Book Antiqua" w:cs="Book Antiqua"/>
        </w:rPr>
        <w:t>.</w:t>
      </w:r>
    </w:p>
    <w:p w14:paraId="0000001B" w14:textId="77777777" w:rsidR="00F318C4" w:rsidRDefault="00F318C4">
      <w:pPr>
        <w:shd w:val="clear" w:color="auto" w:fill="FFFFFF"/>
        <w:ind w:firstLine="720"/>
        <w:jc w:val="both"/>
        <w:rPr>
          <w:rFonts w:ascii="Book Antiqua" w:eastAsia="Book Antiqua" w:hAnsi="Book Antiqua" w:cs="Book Antiqua"/>
        </w:rPr>
      </w:pPr>
    </w:p>
    <w:p w14:paraId="0000001C" w14:textId="77777777" w:rsidR="00F318C4" w:rsidRDefault="0025323B">
      <w:pPr>
        <w:jc w:val="both"/>
        <w:rPr>
          <w:i/>
          <w:u w:val="single"/>
        </w:rPr>
      </w:pPr>
      <w:r>
        <w:rPr>
          <w:i/>
          <w:u w:val="single"/>
        </w:rPr>
        <w:t>El debido proceso de ley asegura que cualquier acción del Estado que afecte la libertad o propiedad de una persona se realice a través de un procedimiento justo e imparcial, garantizando derechos como notificación, audiencia y defensa.</w:t>
      </w:r>
    </w:p>
    <w:p w14:paraId="0000001D" w14:textId="77777777" w:rsidR="00F318C4" w:rsidRDefault="00F318C4">
      <w:pPr>
        <w:jc w:val="both"/>
        <w:rPr>
          <w:i/>
          <w:u w:val="single"/>
        </w:rPr>
      </w:pPr>
    </w:p>
    <w:p w14:paraId="0000001E" w14:textId="77777777" w:rsidR="00F318C4" w:rsidRDefault="0025323B">
      <w:pPr>
        <w:spacing w:after="160" w:line="278" w:lineRule="auto"/>
        <w:rPr>
          <w:i/>
          <w:u w:val="single"/>
        </w:rPr>
      </w:pPr>
      <w:r>
        <w:rPr>
          <w:i/>
          <w:u w:val="single"/>
        </w:rPr>
        <w:t>Requisitos para un Procedimiento Justo (Debido Proceso de Ley):</w:t>
      </w:r>
    </w:p>
    <w:p w14:paraId="0000001F" w14:textId="77777777" w:rsidR="00F318C4" w:rsidRPr="00A53403" w:rsidRDefault="0025323B" w:rsidP="00A53403">
      <w:pPr>
        <w:numPr>
          <w:ilvl w:val="0"/>
          <w:numId w:val="2"/>
        </w:numPr>
        <w:spacing w:after="160" w:line="278" w:lineRule="auto"/>
        <w:rPr>
          <w:i/>
          <w:u w:val="single"/>
        </w:rPr>
      </w:pPr>
      <w:r w:rsidRPr="00A53403">
        <w:rPr>
          <w:b/>
          <w:i/>
          <w:u w:val="single"/>
        </w:rPr>
        <w:t>Notificación Adecuada:</w:t>
      </w:r>
      <w:r w:rsidRPr="00A53403">
        <w:rPr>
          <w:i/>
          <w:u w:val="single"/>
        </w:rPr>
        <w:t> Se debe notificar a la persona sobre el proceso y los cargos en su contra.</w:t>
      </w:r>
    </w:p>
    <w:p w14:paraId="00000020" w14:textId="77777777" w:rsidR="00F318C4" w:rsidRPr="00A53403" w:rsidRDefault="0025323B" w:rsidP="00A53403">
      <w:pPr>
        <w:pStyle w:val="ListParagraph"/>
        <w:numPr>
          <w:ilvl w:val="0"/>
          <w:numId w:val="2"/>
        </w:numPr>
        <w:spacing w:after="160" w:line="278" w:lineRule="auto"/>
        <w:rPr>
          <w:i/>
          <w:u w:val="single"/>
        </w:rPr>
      </w:pPr>
      <w:r w:rsidRPr="00A53403">
        <w:rPr>
          <w:b/>
          <w:i/>
          <w:u w:val="single"/>
        </w:rPr>
        <w:t>Proceso Ante un Juez Imparcial:</w:t>
      </w:r>
      <w:r w:rsidRPr="00A53403">
        <w:rPr>
          <w:i/>
          <w:u w:val="single"/>
        </w:rPr>
        <w:t> El proceso debe ser llevado a cabo por un juez imparcial.</w:t>
      </w:r>
    </w:p>
    <w:p w14:paraId="00000021" w14:textId="77777777" w:rsidR="00F318C4" w:rsidRPr="00A53403" w:rsidRDefault="0025323B" w:rsidP="00A53403">
      <w:pPr>
        <w:pStyle w:val="ListParagraph"/>
        <w:numPr>
          <w:ilvl w:val="0"/>
          <w:numId w:val="2"/>
        </w:numPr>
        <w:spacing w:after="160" w:line="278" w:lineRule="auto"/>
        <w:rPr>
          <w:i/>
          <w:u w:val="single"/>
        </w:rPr>
      </w:pPr>
      <w:r w:rsidRPr="00A53403">
        <w:rPr>
          <w:b/>
          <w:i/>
          <w:u w:val="single"/>
        </w:rPr>
        <w:t>Oportunidad de Ser Oído:</w:t>
      </w:r>
      <w:r w:rsidRPr="00A53403">
        <w:rPr>
          <w:i/>
          <w:u w:val="single"/>
        </w:rPr>
        <w:t> La persona debe tener la oportunidad de presentar su defensa y pruebas.</w:t>
      </w:r>
    </w:p>
    <w:p w14:paraId="00000022" w14:textId="77777777" w:rsidR="00F318C4" w:rsidRPr="00A53403" w:rsidRDefault="0025323B" w:rsidP="00A53403">
      <w:pPr>
        <w:pStyle w:val="ListParagraph"/>
        <w:numPr>
          <w:ilvl w:val="0"/>
          <w:numId w:val="2"/>
        </w:numPr>
        <w:spacing w:after="160" w:line="278" w:lineRule="auto"/>
        <w:rPr>
          <w:i/>
          <w:u w:val="single"/>
        </w:rPr>
      </w:pPr>
      <w:r w:rsidRPr="00A53403">
        <w:rPr>
          <w:b/>
          <w:i/>
          <w:u w:val="single"/>
        </w:rPr>
        <w:t>Derecho a Contrainterrogar y Examinar Evidencia</w:t>
      </w:r>
      <w:r w:rsidRPr="00A53403">
        <w:rPr>
          <w:bCs/>
          <w:i/>
          <w:u w:val="single"/>
        </w:rPr>
        <w:t>: Se debe permitir a la</w:t>
      </w:r>
      <w:r w:rsidRPr="00A53403">
        <w:rPr>
          <w:i/>
          <w:u w:val="single"/>
        </w:rPr>
        <w:t xml:space="preserve"> defensa contrainterrogar a los testigos y examinar la evidencia presentada en su contra.</w:t>
      </w:r>
    </w:p>
    <w:p w14:paraId="00000023" w14:textId="77777777" w:rsidR="00F318C4" w:rsidRPr="00A53403" w:rsidRDefault="0025323B" w:rsidP="00A53403">
      <w:pPr>
        <w:pStyle w:val="ListParagraph"/>
        <w:numPr>
          <w:ilvl w:val="0"/>
          <w:numId w:val="2"/>
        </w:numPr>
        <w:spacing w:after="160" w:line="278" w:lineRule="auto"/>
        <w:rPr>
          <w:i/>
          <w:u w:val="single"/>
        </w:rPr>
      </w:pPr>
      <w:r w:rsidRPr="00A53403">
        <w:rPr>
          <w:b/>
          <w:i/>
          <w:u w:val="single"/>
        </w:rPr>
        <w:t>Asistencia de Abogado:</w:t>
      </w:r>
      <w:r w:rsidRPr="00A53403">
        <w:rPr>
          <w:i/>
          <w:u w:val="single"/>
        </w:rPr>
        <w:t> La persona tiene derecho a contar con la asistencia de un abogado.</w:t>
      </w:r>
    </w:p>
    <w:p w14:paraId="00000024" w14:textId="77777777" w:rsidR="00F318C4" w:rsidRPr="00A53403" w:rsidRDefault="0025323B" w:rsidP="00A53403">
      <w:pPr>
        <w:pStyle w:val="ListParagraph"/>
        <w:numPr>
          <w:ilvl w:val="0"/>
          <w:numId w:val="2"/>
        </w:numPr>
        <w:spacing w:after="160" w:line="278" w:lineRule="auto"/>
        <w:rPr>
          <w:i/>
          <w:u w:val="single"/>
        </w:rPr>
      </w:pPr>
      <w:r w:rsidRPr="00A53403">
        <w:rPr>
          <w:b/>
          <w:i/>
          <w:u w:val="single"/>
        </w:rPr>
        <w:t>Decisión Basada en el Récord:</w:t>
      </w:r>
      <w:r w:rsidRPr="00A53403">
        <w:rPr>
          <w:i/>
          <w:u w:val="single"/>
        </w:rPr>
        <w:t> La decisión final debe basarse en los hechos y pruebas presentados en el proceso. </w:t>
      </w:r>
    </w:p>
    <w:p w14:paraId="00000025" w14:textId="4D376D17" w:rsidR="00F318C4" w:rsidRDefault="0025323B">
      <w:pPr>
        <w:shd w:val="clear" w:color="auto" w:fill="FFFFFF"/>
        <w:ind w:firstLine="720"/>
        <w:jc w:val="both"/>
        <w:rPr>
          <w:rFonts w:ascii="Book Antiqua" w:eastAsia="Book Antiqua" w:hAnsi="Book Antiqua" w:cs="Book Antiqua"/>
          <w:color w:val="000000"/>
        </w:rPr>
      </w:pPr>
      <w:r>
        <w:rPr>
          <w:rFonts w:ascii="Book Antiqua" w:eastAsia="Book Antiqua" w:hAnsi="Book Antiqua" w:cs="Book Antiqua"/>
          <w:strike/>
          <w:color w:val="000000"/>
        </w:rPr>
        <w:t>Del</w:t>
      </w:r>
      <w:r>
        <w:rPr>
          <w:rFonts w:ascii="Book Antiqua" w:eastAsia="Book Antiqua" w:hAnsi="Book Antiqua" w:cs="Book Antiqua"/>
          <w:color w:val="000000"/>
        </w:rPr>
        <w:t xml:space="preserve"> </w:t>
      </w:r>
      <w:r>
        <w:rPr>
          <w:rFonts w:ascii="Book Antiqua" w:eastAsia="Book Antiqua" w:hAnsi="Book Antiqua" w:cs="Book Antiqua"/>
          <w:i/>
          <w:color w:val="000000"/>
          <w:u w:val="single"/>
        </w:rPr>
        <w:t>Cuando un</w:t>
      </w:r>
      <w:r>
        <w:rPr>
          <w:rFonts w:ascii="Book Antiqua" w:eastAsia="Book Antiqua" w:hAnsi="Book Antiqua" w:cs="Book Antiqua"/>
          <w:color w:val="000000"/>
        </w:rPr>
        <w:t xml:space="preserve"> conductor optar por recurrir a los tribunales a ejercer su derecho de apelar </w:t>
      </w:r>
      <w:r>
        <w:rPr>
          <w:rFonts w:ascii="Book Antiqua" w:eastAsia="Book Antiqua" w:hAnsi="Book Antiqua" w:cs="Book Antiqua"/>
          <w:strike/>
          <w:color w:val="000000"/>
        </w:rPr>
        <w:t>la</w:t>
      </w:r>
      <w:r>
        <w:rPr>
          <w:rFonts w:ascii="Book Antiqua" w:eastAsia="Book Antiqua" w:hAnsi="Book Antiqua" w:cs="Book Antiqua"/>
          <w:color w:val="000000"/>
        </w:rPr>
        <w:t xml:space="preserve"> </w:t>
      </w:r>
      <w:r>
        <w:rPr>
          <w:rFonts w:ascii="Book Antiqua" w:eastAsia="Book Antiqua" w:hAnsi="Book Antiqua" w:cs="Book Antiqua"/>
          <w:i/>
          <w:color w:val="000000"/>
          <w:u w:val="single"/>
        </w:rPr>
        <w:t>una</w:t>
      </w:r>
      <w:r>
        <w:rPr>
          <w:rFonts w:ascii="Book Antiqua" w:eastAsia="Book Antiqua" w:hAnsi="Book Antiqua" w:cs="Book Antiqua"/>
          <w:i/>
          <w:color w:val="000000"/>
        </w:rPr>
        <w:t xml:space="preserve"> </w:t>
      </w:r>
      <w:r>
        <w:rPr>
          <w:rFonts w:ascii="Book Antiqua" w:eastAsia="Book Antiqua" w:hAnsi="Book Antiqua" w:cs="Book Antiqua"/>
          <w:i/>
          <w:color w:val="000000"/>
          <w:u w:val="single"/>
        </w:rPr>
        <w:t xml:space="preserve">infracción administrativa debido </w:t>
      </w:r>
      <w:r w:rsidR="00E272A2">
        <w:rPr>
          <w:rFonts w:ascii="Book Antiqua" w:eastAsia="Book Antiqua" w:hAnsi="Book Antiqua" w:cs="Book Antiqua"/>
          <w:i/>
          <w:color w:val="000000"/>
          <w:u w:val="single"/>
        </w:rPr>
        <w:t>a un</w:t>
      </w:r>
      <w:r>
        <w:rPr>
          <w:rFonts w:ascii="Book Antiqua" w:eastAsia="Book Antiqua" w:hAnsi="Book Antiqua" w:cs="Book Antiqua"/>
          <w:i/>
          <w:color w:val="000000"/>
          <w:u w:val="single"/>
        </w:rPr>
        <w:t xml:space="preserve"> boleto de tránsito basado en la</w:t>
      </w:r>
      <w:r>
        <w:rPr>
          <w:rFonts w:ascii="Book Antiqua" w:eastAsia="Book Antiqua" w:hAnsi="Book Antiqua" w:cs="Book Antiqua"/>
          <w:i/>
          <w:u w:val="single"/>
        </w:rPr>
        <w:t xml:space="preserve"> Ley 22-2000, según enmendada, conocida como “Ley de Vehículos y Tránsito de Puerto Rico”</w:t>
      </w:r>
      <w:r>
        <w:rPr>
          <w:rFonts w:ascii="Book Antiqua" w:eastAsia="Book Antiqua" w:hAnsi="Book Antiqua" w:cs="Book Antiqua"/>
          <w:color w:val="000000"/>
        </w:rPr>
        <w:t xml:space="preserve">, el agente que emite dicha infracción será la persona llamada </w:t>
      </w:r>
      <w:r>
        <w:rPr>
          <w:rFonts w:ascii="Book Antiqua" w:eastAsia="Book Antiqua" w:hAnsi="Book Antiqua" w:cs="Book Antiqua"/>
          <w:strike/>
          <w:color w:val="000000"/>
        </w:rPr>
        <w:t>a representar al Estado y</w:t>
      </w:r>
      <w:r>
        <w:rPr>
          <w:rFonts w:ascii="Book Antiqua" w:eastAsia="Book Antiqua" w:hAnsi="Book Antiqua" w:cs="Book Antiqua"/>
          <w:color w:val="000000"/>
        </w:rPr>
        <w:t xml:space="preserve"> a exponer la razón por la cual debe prevalecer la misma.  Si el día de la vista el Agente no comparece el Tribunal podrá buscar fecha hábil para que se señale nueva vista o declarara Ha Lugar la revisión por la ausencia del Agente.  </w:t>
      </w:r>
    </w:p>
    <w:p w14:paraId="00000026" w14:textId="77777777" w:rsidR="00F318C4" w:rsidRDefault="00F318C4">
      <w:pPr>
        <w:shd w:val="clear" w:color="auto" w:fill="FFFFFF"/>
        <w:ind w:firstLine="720"/>
        <w:jc w:val="both"/>
        <w:rPr>
          <w:rFonts w:ascii="Book Antiqua" w:eastAsia="Book Antiqua" w:hAnsi="Book Antiqua" w:cs="Book Antiqua"/>
          <w:color w:val="000000"/>
        </w:rPr>
      </w:pPr>
    </w:p>
    <w:p w14:paraId="00000027" w14:textId="77777777" w:rsidR="00F318C4" w:rsidRDefault="0025323B">
      <w:pPr>
        <w:shd w:val="clear" w:color="auto" w:fill="FFFFFF"/>
        <w:ind w:firstLine="720"/>
        <w:jc w:val="both"/>
        <w:rPr>
          <w:rFonts w:ascii="Book Antiqua" w:eastAsia="Book Antiqua" w:hAnsi="Book Antiqua" w:cs="Book Antiqua"/>
          <w:color w:val="000000"/>
        </w:rPr>
      </w:pPr>
      <w:r>
        <w:rPr>
          <w:rFonts w:ascii="Book Antiqua" w:eastAsia="Book Antiqua" w:hAnsi="Book Antiqua" w:cs="Book Antiqua"/>
          <w:color w:val="000000"/>
        </w:rPr>
        <w:t xml:space="preserve">Los tribunales </w:t>
      </w:r>
      <w:r>
        <w:rPr>
          <w:rFonts w:ascii="Book Antiqua" w:eastAsia="Book Antiqua" w:hAnsi="Book Antiqua" w:cs="Book Antiqua"/>
          <w:i/>
          <w:color w:val="000000"/>
          <w:u w:val="single"/>
        </w:rPr>
        <w:t xml:space="preserve">deben velar siempre por que se cumpla con el debido proceso de ley y </w:t>
      </w:r>
      <w:r>
        <w:rPr>
          <w:rFonts w:ascii="Book Antiqua" w:eastAsia="Book Antiqua" w:hAnsi="Book Antiqua" w:cs="Book Antiqua"/>
          <w:strike/>
          <w:color w:val="000000"/>
        </w:rPr>
        <w:t>no</w:t>
      </w:r>
      <w:r>
        <w:rPr>
          <w:rFonts w:ascii="Book Antiqua" w:eastAsia="Book Antiqua" w:hAnsi="Book Antiqua" w:cs="Book Antiqua"/>
          <w:color w:val="000000"/>
        </w:rPr>
        <w:t xml:space="preserve"> deben de </w:t>
      </w:r>
      <w:r>
        <w:rPr>
          <w:rFonts w:ascii="Book Antiqua" w:eastAsia="Book Antiqua" w:hAnsi="Book Antiqua" w:cs="Book Antiqua"/>
          <w:strike/>
          <w:color w:val="000000"/>
        </w:rPr>
        <w:t>estar viendo este tipo de</w:t>
      </w:r>
      <w:r>
        <w:rPr>
          <w:rFonts w:ascii="Book Antiqua" w:eastAsia="Book Antiqua" w:hAnsi="Book Antiqua" w:cs="Book Antiqua"/>
          <w:color w:val="000000"/>
        </w:rPr>
        <w:t xml:space="preserve"> </w:t>
      </w:r>
      <w:r>
        <w:rPr>
          <w:rFonts w:ascii="Book Antiqua" w:eastAsia="Book Antiqua" w:hAnsi="Book Antiqua" w:cs="Book Antiqua"/>
          <w:i/>
          <w:color w:val="000000"/>
          <w:u w:val="single"/>
        </w:rPr>
        <w:t>evitar ver las vistas administrativas de boletos de tránsito</w:t>
      </w:r>
      <w:r>
        <w:rPr>
          <w:rFonts w:ascii="Book Antiqua" w:eastAsia="Book Antiqua" w:hAnsi="Book Antiqua" w:cs="Book Antiqua"/>
          <w:color w:val="000000"/>
        </w:rPr>
        <w:t xml:space="preserve"> en ausencia del Agente que estuvo involucrado en la expedición de la multa administrativa.</w:t>
      </w:r>
      <w:r>
        <w:rPr>
          <w:rFonts w:ascii="Book Antiqua" w:eastAsia="Book Antiqua" w:hAnsi="Book Antiqua" w:cs="Book Antiqua"/>
        </w:rPr>
        <w:t xml:space="preserve"> </w:t>
      </w:r>
      <w:r>
        <w:rPr>
          <w:rFonts w:ascii="Book Antiqua" w:eastAsia="Book Antiqua" w:hAnsi="Book Antiqua" w:cs="Book Antiqua"/>
          <w:color w:val="000000"/>
        </w:rPr>
        <w:t>Los Agentes deben de estar presentes el día de la revisión para que puedan ser contrainterrogados y así no violentarle el debido proceso de ley al apelante.</w:t>
      </w:r>
    </w:p>
    <w:p w14:paraId="00000028" w14:textId="77777777" w:rsidR="00F318C4" w:rsidRDefault="00F318C4">
      <w:pPr>
        <w:shd w:val="clear" w:color="auto" w:fill="FFFFFF"/>
        <w:ind w:firstLine="720"/>
        <w:jc w:val="both"/>
        <w:rPr>
          <w:rFonts w:ascii="Book Antiqua" w:eastAsia="Book Antiqua" w:hAnsi="Book Antiqua" w:cs="Book Antiqua"/>
          <w:color w:val="000000"/>
        </w:rPr>
      </w:pPr>
    </w:p>
    <w:p w14:paraId="00000029" w14:textId="77777777" w:rsidR="00F318C4" w:rsidRDefault="0025323B">
      <w:pPr>
        <w:spacing w:line="480" w:lineRule="auto"/>
        <w:jc w:val="both"/>
        <w:rPr>
          <w:rFonts w:ascii="Book Antiqua" w:eastAsia="Book Antiqua" w:hAnsi="Book Antiqua" w:cs="Book Antiqua"/>
          <w:i/>
        </w:rPr>
        <w:sectPr w:rsidR="00F318C4">
          <w:headerReference w:type="default" r:id="rId8"/>
          <w:pgSz w:w="12240" w:h="15840"/>
          <w:pgMar w:top="1440" w:right="1440" w:bottom="1440" w:left="1440" w:header="720" w:footer="720" w:gutter="0"/>
          <w:pgNumType w:start="1"/>
          <w:cols w:space="720"/>
          <w:titlePg/>
        </w:sectPr>
      </w:pPr>
      <w:r>
        <w:rPr>
          <w:rFonts w:ascii="Book Antiqua" w:eastAsia="Book Antiqua" w:hAnsi="Book Antiqua" w:cs="Book Antiqua"/>
          <w:i/>
        </w:rPr>
        <w:t>DECRÉTASE POR LA ASAMBLEA LEGISLATIVA DE PUERTO RICO:</w:t>
      </w:r>
    </w:p>
    <w:p w14:paraId="0000002A" w14:textId="77777777" w:rsidR="00F318C4" w:rsidRDefault="0025323B">
      <w:pPr>
        <w:spacing w:line="480" w:lineRule="auto"/>
        <w:ind w:firstLine="720"/>
        <w:jc w:val="both"/>
        <w:rPr>
          <w:rFonts w:ascii="Book Antiqua" w:eastAsia="Book Antiqua" w:hAnsi="Book Antiqua" w:cs="Book Antiqua"/>
        </w:rPr>
      </w:pPr>
      <w:r>
        <w:rPr>
          <w:rFonts w:ascii="Book Antiqua" w:eastAsia="Book Antiqua" w:hAnsi="Book Antiqua" w:cs="Book Antiqua"/>
        </w:rPr>
        <w:lastRenderedPageBreak/>
        <w:t>Sección 1.- Se enmienda el inciso (j) del Artículo 3.02 de la Ley 22-2000, según enmendada, conocida como “Ley de Vehículos y Tránsito de Puerto Rico”; para que se lea como sigue:</w:t>
      </w:r>
    </w:p>
    <w:p w14:paraId="0000002B" w14:textId="77777777" w:rsidR="00F318C4" w:rsidRDefault="0025323B">
      <w:pPr>
        <w:spacing w:line="480" w:lineRule="auto"/>
        <w:ind w:firstLine="720"/>
        <w:jc w:val="both"/>
        <w:rPr>
          <w:rFonts w:ascii="Book Antiqua" w:eastAsia="Book Antiqua" w:hAnsi="Book Antiqua" w:cs="Book Antiqua"/>
        </w:rPr>
      </w:pPr>
      <w:r>
        <w:rPr>
          <w:rFonts w:ascii="Book Antiqua" w:eastAsia="Book Antiqua" w:hAnsi="Book Antiqua" w:cs="Book Antiqua"/>
        </w:rPr>
        <w:t>“</w:t>
      </w:r>
      <w:r>
        <w:rPr>
          <w:rFonts w:ascii="Book Antiqua" w:eastAsia="Book Antiqua" w:hAnsi="Book Antiqua" w:cs="Book Antiqua"/>
          <w:b/>
        </w:rPr>
        <w:t>Artículo 3.02. — Carta de derechos del conductor o propietario autorizado</w:t>
      </w:r>
      <w:r>
        <w:rPr>
          <w:rFonts w:ascii="Book Antiqua" w:eastAsia="Book Antiqua" w:hAnsi="Book Antiqua" w:cs="Book Antiqua"/>
        </w:rPr>
        <w:t>.</w:t>
      </w:r>
    </w:p>
    <w:p w14:paraId="0000002C" w14:textId="77777777" w:rsidR="00F318C4" w:rsidRDefault="0025323B">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Todo ciudadano que posea un certificado de licencia debidamente expedido o autorizado por el </w:t>
      </w:r>
      <w:proofErr w:type="gramStart"/>
      <w:r>
        <w:rPr>
          <w:rFonts w:ascii="Book Antiqua" w:eastAsia="Book Antiqua" w:hAnsi="Book Antiqua" w:cs="Book Antiqua"/>
        </w:rPr>
        <w:t>Secretario</w:t>
      </w:r>
      <w:proofErr w:type="gramEnd"/>
      <w:r>
        <w:rPr>
          <w:rFonts w:ascii="Book Antiqua" w:eastAsia="Book Antiqua" w:hAnsi="Book Antiqua" w:cs="Book Antiqua"/>
        </w:rPr>
        <w:t xml:space="preserve"> y todo dueño o propietario de un vehículo de motor o arrastre disfrutará de los siguientes derechos:</w:t>
      </w:r>
    </w:p>
    <w:p w14:paraId="0000002D" w14:textId="77777777" w:rsidR="00F318C4" w:rsidRDefault="0025323B">
      <w:pPr>
        <w:spacing w:line="480" w:lineRule="auto"/>
        <w:ind w:firstLine="720"/>
        <w:jc w:val="both"/>
        <w:rPr>
          <w:rFonts w:ascii="Book Antiqua" w:eastAsia="Book Antiqua" w:hAnsi="Book Antiqua" w:cs="Book Antiqua"/>
        </w:rPr>
      </w:pPr>
      <w:r>
        <w:rPr>
          <w:rFonts w:ascii="Book Antiqua" w:eastAsia="Book Antiqua" w:hAnsi="Book Antiqua" w:cs="Book Antiqua"/>
        </w:rPr>
        <w:t>(a)…</w:t>
      </w:r>
    </w:p>
    <w:p w14:paraId="0000002E" w14:textId="77777777" w:rsidR="00F318C4" w:rsidRDefault="0025323B">
      <w:pPr>
        <w:spacing w:line="480" w:lineRule="auto"/>
        <w:ind w:firstLine="720"/>
        <w:jc w:val="both"/>
        <w:rPr>
          <w:rFonts w:ascii="Book Antiqua" w:eastAsia="Book Antiqua" w:hAnsi="Book Antiqua" w:cs="Book Antiqua"/>
        </w:rPr>
      </w:pPr>
      <w:r>
        <w:rPr>
          <w:rFonts w:ascii="Book Antiqua" w:eastAsia="Book Antiqua" w:hAnsi="Book Antiqua" w:cs="Book Antiqua"/>
        </w:rPr>
        <w:t>…</w:t>
      </w:r>
    </w:p>
    <w:p w14:paraId="0000002F" w14:textId="74EA6334" w:rsidR="00F318C4" w:rsidRDefault="0025323B">
      <w:pPr>
        <w:spacing w:line="480" w:lineRule="auto"/>
        <w:ind w:left="720" w:firstLine="90"/>
        <w:jc w:val="both"/>
        <w:rPr>
          <w:rFonts w:ascii="Book Antiqua" w:eastAsia="Book Antiqua" w:hAnsi="Book Antiqua" w:cs="Book Antiqua"/>
        </w:rPr>
      </w:pPr>
      <w:r>
        <w:rPr>
          <w:rFonts w:ascii="Book Antiqua" w:eastAsia="Book Antiqua" w:hAnsi="Book Antiqua" w:cs="Book Antiqua"/>
        </w:rPr>
        <w:t xml:space="preserve">(j) Si transcurridos los treinta (30) días que tiene un ciudadano para pagar un boleto por infracción a esta Ley, </w:t>
      </w:r>
      <w:r>
        <w:rPr>
          <w:rFonts w:ascii="Book Antiqua" w:eastAsia="Book Antiqua" w:hAnsi="Book Antiqua" w:cs="Book Antiqua"/>
          <w:i/>
        </w:rPr>
        <w:t>contados desde la fecha de su expedición o a partir de la fecha del archivo en auto de la notificación de la resolución que emita un Tribunal</w:t>
      </w:r>
      <w:r w:rsidR="00E272A2">
        <w:rPr>
          <w:rFonts w:ascii="Book Antiqua" w:eastAsia="Book Antiqua" w:hAnsi="Book Antiqua" w:cs="Book Antiqua"/>
          <w:i/>
        </w:rPr>
        <w:t xml:space="preserve"> </w:t>
      </w:r>
      <w:r w:rsidR="00E272A2" w:rsidRPr="00441338">
        <w:rPr>
          <w:rFonts w:ascii="Book Antiqua" w:eastAsia="Book Antiqua" w:hAnsi="Book Antiqua" w:cs="Book Antiqua"/>
          <w:i/>
          <w:u w:val="single"/>
        </w:rPr>
        <w:t>conforme a lo dispuesto en el Art</w:t>
      </w:r>
      <w:r w:rsidR="00441338">
        <w:rPr>
          <w:rFonts w:ascii="Book Antiqua" w:eastAsia="Book Antiqua" w:hAnsi="Book Antiqua" w:cs="Book Antiqua"/>
          <w:i/>
          <w:u w:val="single"/>
        </w:rPr>
        <w:t>í</w:t>
      </w:r>
      <w:r w:rsidR="00E272A2" w:rsidRPr="00441338">
        <w:rPr>
          <w:rFonts w:ascii="Book Antiqua" w:eastAsia="Book Antiqua" w:hAnsi="Book Antiqua" w:cs="Book Antiqua"/>
          <w:i/>
          <w:u w:val="single"/>
        </w:rPr>
        <w:t>culo 23.05</w:t>
      </w:r>
      <w:r>
        <w:rPr>
          <w:rFonts w:ascii="Book Antiqua" w:eastAsia="Book Antiqua" w:hAnsi="Book Antiqua" w:cs="Book Antiqua"/>
          <w:i/>
        </w:rPr>
        <w:t>,</w:t>
      </w:r>
      <w:r>
        <w:rPr>
          <w:rFonts w:ascii="Book Antiqua" w:eastAsia="Book Antiqua" w:hAnsi="Book Antiqua" w:cs="Book Antiqua"/>
        </w:rPr>
        <w:t xml:space="preserve"> no tuviera la capacidad económica para satisfacer la deuda, podrá solicitar acogerse a un plan de pago.”</w:t>
      </w:r>
    </w:p>
    <w:p w14:paraId="00000030" w14:textId="77777777" w:rsidR="00F318C4" w:rsidRDefault="0025323B">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2.- Se enmienda el inciso </w:t>
      </w:r>
      <w:r>
        <w:rPr>
          <w:rFonts w:ascii="Book Antiqua" w:eastAsia="Book Antiqua" w:hAnsi="Book Antiqua" w:cs="Book Antiqua"/>
          <w:strike/>
        </w:rPr>
        <w:t xml:space="preserve">(h) y </w:t>
      </w:r>
      <w:r>
        <w:rPr>
          <w:rFonts w:ascii="Book Antiqua" w:eastAsia="Book Antiqua" w:hAnsi="Book Antiqua" w:cs="Book Antiqua"/>
        </w:rPr>
        <w:t>(l) del Artículo 23.05 de la Ley 22-2000, según enmendada, conocida como “Ley de Vehículos y Tránsito de Puerto Rico”; para que se lea como sigue:</w:t>
      </w:r>
    </w:p>
    <w:p w14:paraId="00000031" w14:textId="77777777" w:rsidR="00F318C4" w:rsidRDefault="0025323B">
      <w:pPr>
        <w:spacing w:line="480" w:lineRule="auto"/>
        <w:ind w:left="720" w:firstLine="90"/>
        <w:jc w:val="both"/>
        <w:rPr>
          <w:rFonts w:ascii="Book Antiqua" w:eastAsia="Book Antiqua" w:hAnsi="Book Antiqua" w:cs="Book Antiqua"/>
          <w:b/>
        </w:rPr>
      </w:pPr>
      <w:r>
        <w:rPr>
          <w:rFonts w:ascii="Book Antiqua" w:eastAsia="Book Antiqua" w:hAnsi="Book Antiqua" w:cs="Book Antiqua"/>
        </w:rPr>
        <w:t>“</w:t>
      </w:r>
      <w:r>
        <w:rPr>
          <w:rFonts w:ascii="Book Antiqua" w:eastAsia="Book Antiqua" w:hAnsi="Book Antiqua" w:cs="Book Antiqua"/>
          <w:b/>
        </w:rPr>
        <w:t>Artículo 23.05. — Procedimiento administrativo.</w:t>
      </w:r>
    </w:p>
    <w:p w14:paraId="00000032" w14:textId="77777777" w:rsidR="00F318C4" w:rsidRDefault="0025323B">
      <w:pPr>
        <w:spacing w:line="480" w:lineRule="auto"/>
        <w:ind w:left="720" w:firstLine="90"/>
        <w:jc w:val="both"/>
        <w:rPr>
          <w:rFonts w:ascii="Book Antiqua" w:eastAsia="Book Antiqua" w:hAnsi="Book Antiqua" w:cs="Book Antiqua"/>
        </w:rPr>
      </w:pPr>
      <w:r>
        <w:rPr>
          <w:rFonts w:ascii="Book Antiqua" w:eastAsia="Book Antiqua" w:hAnsi="Book Antiqua" w:cs="Book Antiqua"/>
        </w:rPr>
        <w:t>Con relación a las faltas administrativas de tránsito, se seguirán las normas siguientes:</w:t>
      </w:r>
    </w:p>
    <w:p w14:paraId="00000033" w14:textId="77777777" w:rsidR="00F318C4" w:rsidRDefault="0025323B">
      <w:pPr>
        <w:spacing w:line="480" w:lineRule="auto"/>
        <w:ind w:left="720" w:firstLine="90"/>
        <w:jc w:val="both"/>
        <w:rPr>
          <w:rFonts w:ascii="Book Antiqua" w:eastAsia="Book Antiqua" w:hAnsi="Book Antiqua" w:cs="Book Antiqua"/>
        </w:rPr>
      </w:pPr>
      <w:r>
        <w:rPr>
          <w:rFonts w:ascii="Book Antiqua" w:eastAsia="Book Antiqua" w:hAnsi="Book Antiqua" w:cs="Book Antiqua"/>
        </w:rPr>
        <w:t>(a) …</w:t>
      </w:r>
    </w:p>
    <w:p w14:paraId="00000034" w14:textId="77777777" w:rsidR="00F318C4" w:rsidRDefault="0025323B">
      <w:pPr>
        <w:spacing w:line="480" w:lineRule="auto"/>
        <w:ind w:left="720" w:firstLine="90"/>
        <w:jc w:val="both"/>
        <w:rPr>
          <w:rFonts w:ascii="Book Antiqua" w:eastAsia="Book Antiqua" w:hAnsi="Book Antiqua" w:cs="Book Antiqua"/>
        </w:rPr>
      </w:pPr>
      <w:r>
        <w:rPr>
          <w:rFonts w:ascii="Book Antiqua" w:eastAsia="Book Antiqua" w:hAnsi="Book Antiqua" w:cs="Book Antiqua"/>
        </w:rPr>
        <w:t>…</w:t>
      </w:r>
    </w:p>
    <w:p w14:paraId="00000035" w14:textId="77777777" w:rsidR="00F318C4" w:rsidRDefault="0025323B">
      <w:pPr>
        <w:spacing w:line="480" w:lineRule="auto"/>
        <w:ind w:left="720" w:firstLine="90"/>
        <w:jc w:val="both"/>
        <w:rPr>
          <w:rFonts w:ascii="Book Antiqua" w:eastAsia="Book Antiqua" w:hAnsi="Book Antiqua" w:cs="Book Antiqua"/>
          <w:strike/>
        </w:rPr>
      </w:pPr>
      <w:r>
        <w:rPr>
          <w:rFonts w:ascii="Book Antiqua" w:eastAsia="Book Antiqua" w:hAnsi="Book Antiqua" w:cs="Book Antiqua"/>
          <w:strike/>
        </w:rPr>
        <w:lastRenderedPageBreak/>
        <w:t>(h) Será deber del infractor pagar todo boleto dentro de los treinta (30) días a partir de la fecha de su expedición</w:t>
      </w:r>
      <w:r>
        <w:rPr>
          <w:rFonts w:ascii="Book Antiqua" w:eastAsia="Book Antiqua" w:hAnsi="Book Antiqua" w:cs="Book Antiqua"/>
          <w:i/>
          <w:strike/>
        </w:rPr>
        <w:t xml:space="preserve"> o a partir de la fecha del archivo en auto de la notificación de la resolución emitida por un Tribunal</w:t>
      </w:r>
      <w:r>
        <w:rPr>
          <w:rFonts w:ascii="Book Antiqua" w:eastAsia="Book Antiqua" w:hAnsi="Book Antiqua" w:cs="Book Antiqua"/>
          <w:strike/>
        </w:rPr>
        <w:t xml:space="preserve">. Todo pago de infracción realizado dentro del periodo de quince (15) días a partir de la fecha de la infracción tendrá derecho a un descuento de treinta por ciento (30%) del monto total de la infracción. De no pagarse dentro de quince (15) días, tendrá derecho a un descuento de quince por ciento (15%) si se paga antes de cumplidos los treinta (30) días a partir de la fecha de la infracción. Luego de pasados los treinta (30) días, </w:t>
      </w:r>
      <w:r>
        <w:rPr>
          <w:rFonts w:ascii="Book Antiqua" w:eastAsia="Book Antiqua" w:hAnsi="Book Antiqua" w:cs="Book Antiqua"/>
          <w:i/>
          <w:strike/>
        </w:rPr>
        <w:t xml:space="preserve">a partir de la fecha de su expedición o a partir de la fecha del archivo en auto de la notificación de la resolución emitida por un Tribunal, </w:t>
      </w:r>
      <w:r>
        <w:rPr>
          <w:rFonts w:ascii="Book Antiqua" w:eastAsia="Book Antiqua" w:hAnsi="Book Antiqua" w:cs="Book Antiqua"/>
          <w:strike/>
        </w:rPr>
        <w:t xml:space="preserve">aplicará un recargo de diez (10) dólares y a partir de ahí, conllevará un recargo de cinco (5) dólares adicionales por cada mes de retraso. El recargo podrá ser pagado junto al boleto en cualquier colecturía antes del vencimiento de la fecha de pago del permiso del vehículo de motor o de la licencia de conducir. En los casos de infracciones de movimiento, de no realizarse el pago dentro de los sesenta (60) días de emitido, la misma será incluida en la licencia de conducir del infractor o del conductor certificado. En el caso que se extravíe el boleto de notificación de la multa administrativa y dicha multa no aparezca aún en los registros correspondientes del Departamento, el infractor podrá efectuar el pago mediante la radicación de una declaración al efecto, en la forma y manera en que el </w:t>
      </w:r>
      <w:proofErr w:type="gramStart"/>
      <w:r>
        <w:rPr>
          <w:rFonts w:ascii="Book Antiqua" w:eastAsia="Book Antiqua" w:hAnsi="Book Antiqua" w:cs="Book Antiqua"/>
          <w:strike/>
        </w:rPr>
        <w:t>Secretario</w:t>
      </w:r>
      <w:proofErr w:type="gramEnd"/>
      <w:r>
        <w:rPr>
          <w:rFonts w:ascii="Book Antiqua" w:eastAsia="Book Antiqua" w:hAnsi="Book Antiqua" w:cs="Book Antiqua"/>
          <w:strike/>
        </w:rPr>
        <w:t xml:space="preserve"> disponga mediante el reglamento. Dicho pago será acreditado contra cualquier multa pendiente expedida con anterioridad al mismo, en orden cronológico.</w:t>
      </w:r>
    </w:p>
    <w:p w14:paraId="00000036" w14:textId="77777777" w:rsidR="00F318C4" w:rsidRDefault="0025323B">
      <w:pPr>
        <w:spacing w:line="480" w:lineRule="auto"/>
        <w:ind w:left="720" w:firstLine="90"/>
        <w:jc w:val="both"/>
        <w:rPr>
          <w:rFonts w:ascii="Book Antiqua" w:eastAsia="Book Antiqua" w:hAnsi="Book Antiqua" w:cs="Book Antiqua"/>
          <w:strike/>
        </w:rPr>
      </w:pPr>
      <w:r>
        <w:rPr>
          <w:rFonts w:ascii="Book Antiqua" w:eastAsia="Book Antiqua" w:hAnsi="Book Antiqua" w:cs="Book Antiqua"/>
          <w:strike/>
        </w:rPr>
        <w:lastRenderedPageBreak/>
        <w:t>Toda persona que renueve su licencia de conducir solo vendrá obligada a pagar aquellas multas correspondientes al término de la vigencia de su permiso. Ninguna persona vendrá obligada a pagar multas de años anteriores al periodo de los tres (3) años de vigencia de su licencia, salvo que el Departamento: (1) demuestre que nunca fueron pagadas porque no se renovó la licencia de conducir correspondiente al periodo donde aparece la multa; o (2) haya enviado por correo electrónico o por correo certificado con acuse de recibo, con anterioridad a la culminación de este término, una notificación de cobro al infractor a su última dirección conocida o en su defecto, haya publicado en un periódico de circulación general una reclamación de pago de la multa o multas atribuibles a dicho infractor.</w:t>
      </w:r>
    </w:p>
    <w:p w14:paraId="00000037" w14:textId="77777777" w:rsidR="00F318C4" w:rsidRDefault="0025323B">
      <w:pPr>
        <w:spacing w:line="480" w:lineRule="auto"/>
        <w:ind w:left="720" w:firstLine="90"/>
        <w:jc w:val="both"/>
        <w:rPr>
          <w:rFonts w:ascii="Book Antiqua" w:eastAsia="Book Antiqua" w:hAnsi="Book Antiqua" w:cs="Book Antiqua"/>
          <w:strike/>
        </w:rPr>
      </w:pPr>
      <w:r>
        <w:rPr>
          <w:rFonts w:ascii="Book Antiqua" w:eastAsia="Book Antiqua" w:hAnsi="Book Antiqua" w:cs="Book Antiqua"/>
          <w:strike/>
        </w:rPr>
        <w:t>…</w:t>
      </w:r>
    </w:p>
    <w:p w14:paraId="00000038" w14:textId="77777777" w:rsidR="00F318C4" w:rsidRDefault="0025323B">
      <w:pPr>
        <w:spacing w:line="480" w:lineRule="auto"/>
        <w:ind w:left="720" w:firstLine="90"/>
        <w:jc w:val="both"/>
        <w:rPr>
          <w:rFonts w:ascii="Book Antiqua" w:eastAsia="Book Antiqua" w:hAnsi="Book Antiqua" w:cs="Book Antiqua"/>
        </w:rPr>
      </w:pPr>
      <w:r>
        <w:rPr>
          <w:rFonts w:ascii="Book Antiqua" w:eastAsia="Book Antiqua" w:hAnsi="Book Antiqua" w:cs="Book Antiqua"/>
        </w:rPr>
        <w:t>(l)</w:t>
      </w:r>
      <w:r>
        <w:t xml:space="preserve"> </w:t>
      </w:r>
      <w:r>
        <w:rPr>
          <w:rFonts w:ascii="Book Antiqua" w:eastAsia="Book Antiqua" w:hAnsi="Book Antiqua" w:cs="Book Antiqua"/>
        </w:rPr>
        <w:t xml:space="preserve">Si el dueño del vehículo, de la tablilla, el conductor certificado, el concesionario de venta o el pasajero afectado por la notificación de multa administrativa considera que no se ha cometido la violación que se le imputa, podrá solicitar un recurso de revisión judicial dentro del término de treinta (30) días a partir de la fecha de recibo de la notificación. Antes de notificar multa administrativa el </w:t>
      </w:r>
      <w:proofErr w:type="gramStart"/>
      <w:r>
        <w:rPr>
          <w:rFonts w:ascii="Book Antiqua" w:eastAsia="Book Antiqua" w:hAnsi="Book Antiqua" w:cs="Book Antiqua"/>
        </w:rPr>
        <w:t>Secretario</w:t>
      </w:r>
      <w:proofErr w:type="gramEnd"/>
      <w:r>
        <w:rPr>
          <w:rFonts w:ascii="Book Antiqua" w:eastAsia="Book Antiqua" w:hAnsi="Book Antiqua" w:cs="Book Antiqua"/>
        </w:rPr>
        <w:t xml:space="preserve"> verificará quién era el propietario de la tablilla o conductor certificado, al momento de la comisión de la falta y la anotará en su expediente.</w:t>
      </w:r>
    </w:p>
    <w:p w14:paraId="00000039" w14:textId="77777777" w:rsidR="00F318C4" w:rsidRDefault="0025323B">
      <w:pPr>
        <w:spacing w:line="480" w:lineRule="auto"/>
        <w:ind w:left="720" w:firstLine="360"/>
        <w:jc w:val="both"/>
        <w:rPr>
          <w:rFonts w:ascii="Book Antiqua" w:eastAsia="Book Antiqua" w:hAnsi="Book Antiqua" w:cs="Book Antiqua"/>
        </w:rPr>
      </w:pPr>
      <w:r>
        <w:rPr>
          <w:rFonts w:ascii="Book Antiqua" w:eastAsia="Book Antiqua" w:hAnsi="Book Antiqua" w:cs="Book Antiqua"/>
        </w:rPr>
        <w:t xml:space="preserve">El recurso de revisión se formalizará presentando una solicitud en la Secretaría del Tribunal, en la cual se expondrán los fundamentos en que se apoya la impugnación de la falta administrativa de tránsito. Radicado el recurso, el peticionario deberá notificar el mismo al </w:t>
      </w:r>
      <w:proofErr w:type="gramStart"/>
      <w:r>
        <w:rPr>
          <w:rFonts w:ascii="Book Antiqua" w:eastAsia="Book Antiqua" w:hAnsi="Book Antiqua" w:cs="Book Antiqua"/>
        </w:rPr>
        <w:t>Secretario</w:t>
      </w:r>
      <w:proofErr w:type="gramEnd"/>
      <w:r>
        <w:rPr>
          <w:rFonts w:ascii="Book Antiqua" w:eastAsia="Book Antiqua" w:hAnsi="Book Antiqua" w:cs="Book Antiqua"/>
        </w:rPr>
        <w:t xml:space="preserve"> dentro de un término de cinco </w:t>
      </w:r>
      <w:r>
        <w:rPr>
          <w:rFonts w:ascii="Book Antiqua" w:eastAsia="Book Antiqua" w:hAnsi="Book Antiqua" w:cs="Book Antiqua"/>
        </w:rPr>
        <w:lastRenderedPageBreak/>
        <w:t xml:space="preserve">(5) días a contar de su radicación. Establecido el recurso de revisión, será deber del </w:t>
      </w:r>
      <w:proofErr w:type="gramStart"/>
      <w:r>
        <w:rPr>
          <w:rFonts w:ascii="Book Antiqua" w:eastAsia="Book Antiqua" w:hAnsi="Book Antiqua" w:cs="Book Antiqua"/>
        </w:rPr>
        <w:t>Secretario</w:t>
      </w:r>
      <w:proofErr w:type="gramEnd"/>
      <w:r>
        <w:rPr>
          <w:rFonts w:ascii="Book Antiqua" w:eastAsia="Book Antiqua" w:hAnsi="Book Antiqua" w:cs="Book Antiqua"/>
        </w:rPr>
        <w:t xml:space="preserve"> elevar al Tribunal copia certificada de los documentos que obren en el expediente, dentro de un término de diez (10) días a contar de la fecha en que fuera notificado de la radicación del recurso de revisión.</w:t>
      </w:r>
    </w:p>
    <w:p w14:paraId="0000003A" w14:textId="2F388D0F" w:rsidR="00F318C4" w:rsidRDefault="0025323B">
      <w:pPr>
        <w:spacing w:line="480" w:lineRule="auto"/>
        <w:ind w:left="720" w:firstLine="360"/>
        <w:jc w:val="both"/>
        <w:rPr>
          <w:rFonts w:ascii="Book Antiqua" w:eastAsia="Book Antiqua" w:hAnsi="Book Antiqua" w:cs="Book Antiqua"/>
        </w:rPr>
      </w:pPr>
      <w:r>
        <w:rPr>
          <w:rFonts w:ascii="Book Antiqua" w:eastAsia="Book Antiqua" w:hAnsi="Book Antiqua" w:cs="Book Antiqua"/>
        </w:rPr>
        <w:t xml:space="preserve">Recibidos los documentos, el Tribunal señalará la vista del recurso para tener lugar en un término no mayor de sesenta (60) días a contar de la fecha del recibo de dichos documentos. </w:t>
      </w:r>
      <w:r>
        <w:rPr>
          <w:rFonts w:ascii="Book Antiqua" w:eastAsia="Book Antiqua" w:hAnsi="Book Antiqua" w:cs="Book Antiqua"/>
          <w:i/>
        </w:rPr>
        <w:t xml:space="preserve">El agente que emitió la falta administrativa de tránsito </w:t>
      </w:r>
      <w:r>
        <w:rPr>
          <w:rFonts w:ascii="Book Antiqua" w:eastAsia="Book Antiqua" w:hAnsi="Book Antiqua" w:cs="Book Antiqua"/>
          <w:i/>
          <w:strike/>
        </w:rPr>
        <w:t>representará al Estado y</w:t>
      </w:r>
      <w:r>
        <w:rPr>
          <w:rFonts w:ascii="Book Antiqua" w:eastAsia="Book Antiqua" w:hAnsi="Book Antiqua" w:cs="Book Antiqua"/>
          <w:i/>
        </w:rPr>
        <w:t xml:space="preserve"> establecerá las razones por el cual procede la falta.  El apelante tendrá derecho a contrainterrogar al agente.  </w:t>
      </w:r>
      <w:r>
        <w:rPr>
          <w:rFonts w:ascii="Book Antiqua" w:eastAsia="Book Antiqua" w:hAnsi="Book Antiqua" w:cs="Book Antiqua"/>
        </w:rPr>
        <w:t xml:space="preserve">El Tribunal revisará en sus méritos las cuestiones de hecho y de derecho que dieron lugar a la imposición y notificación de la falta administrativa de tránsito.  </w:t>
      </w:r>
      <w:r>
        <w:rPr>
          <w:rFonts w:ascii="Book Antiqua" w:eastAsia="Book Antiqua" w:hAnsi="Book Antiqua" w:cs="Book Antiqua"/>
          <w:i/>
        </w:rPr>
        <w:t xml:space="preserve">Si el Agente no </w:t>
      </w:r>
      <w:r w:rsidR="00441338" w:rsidRPr="00441338">
        <w:rPr>
          <w:rFonts w:ascii="Book Antiqua" w:eastAsia="Book Antiqua" w:hAnsi="Book Antiqua" w:cs="Book Antiqua"/>
          <w:i/>
          <w:strike/>
        </w:rPr>
        <w:t>compare</w:t>
      </w:r>
      <w:r w:rsidR="00441338">
        <w:rPr>
          <w:rFonts w:ascii="Book Antiqua" w:eastAsia="Book Antiqua" w:hAnsi="Book Antiqua" w:cs="Book Antiqua"/>
          <w:i/>
        </w:rPr>
        <w:t xml:space="preserve"> </w:t>
      </w:r>
      <w:r w:rsidR="00441338" w:rsidRPr="00441338">
        <w:rPr>
          <w:rFonts w:ascii="Book Antiqua" w:eastAsia="Book Antiqua" w:hAnsi="Book Antiqua" w:cs="Book Antiqua"/>
          <w:i/>
          <w:u w:val="single"/>
        </w:rPr>
        <w:t>comp</w:t>
      </w:r>
      <w:r w:rsidR="00441338">
        <w:rPr>
          <w:rFonts w:ascii="Book Antiqua" w:eastAsia="Book Antiqua" w:hAnsi="Book Antiqua" w:cs="Book Antiqua"/>
          <w:i/>
          <w:u w:val="single"/>
        </w:rPr>
        <w:t>a</w:t>
      </w:r>
      <w:r w:rsidR="00441338" w:rsidRPr="00441338">
        <w:rPr>
          <w:rFonts w:ascii="Book Antiqua" w:eastAsia="Book Antiqua" w:hAnsi="Book Antiqua" w:cs="Book Antiqua"/>
          <w:i/>
          <w:u w:val="single"/>
        </w:rPr>
        <w:t>rece</w:t>
      </w:r>
      <w:r>
        <w:rPr>
          <w:rFonts w:ascii="Book Antiqua" w:eastAsia="Book Antiqua" w:hAnsi="Book Antiqua" w:cs="Book Antiqua"/>
          <w:i/>
        </w:rPr>
        <w:t xml:space="preserve"> a la vista señalada, el Tribunal podrá suspender la vista para una fecha hábil o declarará </w:t>
      </w:r>
      <w:r>
        <w:rPr>
          <w:rFonts w:ascii="Book Antiqua" w:eastAsia="Book Antiqua" w:hAnsi="Book Antiqua" w:cs="Book Antiqua"/>
          <w:i/>
          <w:strike/>
        </w:rPr>
        <w:t>Con</w:t>
      </w:r>
      <w:r>
        <w:rPr>
          <w:rFonts w:ascii="Book Antiqua" w:eastAsia="Book Antiqua" w:hAnsi="Book Antiqua" w:cs="Book Antiqua"/>
          <w:i/>
        </w:rPr>
        <w:t xml:space="preserve"> </w:t>
      </w:r>
      <w:r>
        <w:rPr>
          <w:rFonts w:ascii="Book Antiqua" w:eastAsia="Book Antiqua" w:hAnsi="Book Antiqua" w:cs="Book Antiqua"/>
          <w:i/>
          <w:u w:val="single"/>
        </w:rPr>
        <w:t>Ha</w:t>
      </w:r>
      <w:r>
        <w:rPr>
          <w:rFonts w:ascii="Book Antiqua" w:eastAsia="Book Antiqua" w:hAnsi="Book Antiqua" w:cs="Book Antiqua"/>
          <w:i/>
        </w:rPr>
        <w:t xml:space="preserve"> Lugar la revisión por la ausencia del Agente. </w:t>
      </w:r>
      <w:r>
        <w:rPr>
          <w:rFonts w:ascii="Book Antiqua" w:eastAsia="Book Antiqua" w:hAnsi="Book Antiqua" w:cs="Book Antiqua"/>
        </w:rPr>
        <w:t xml:space="preserve"> El Tribunal dictará su resolución en el caso dentro de un término de cinco (5) días a contar desde la fecha en que se celebre la vista. El Tribunal notificará su resolución por medios electrónicos al </w:t>
      </w:r>
      <w:proofErr w:type="gramStart"/>
      <w:r>
        <w:rPr>
          <w:rFonts w:ascii="Book Antiqua" w:eastAsia="Book Antiqua" w:hAnsi="Book Antiqua" w:cs="Book Antiqua"/>
        </w:rPr>
        <w:t>Secretario</w:t>
      </w:r>
      <w:proofErr w:type="gramEnd"/>
      <w:r>
        <w:rPr>
          <w:rFonts w:ascii="Book Antiqua" w:eastAsia="Book Antiqua" w:hAnsi="Book Antiqua" w:cs="Book Antiqua"/>
        </w:rPr>
        <w:t xml:space="preserve"> y por correo ordinario y electrónico al peticionario dentro del término de los diez (10) días siguientes de haberse dictado la misma. La resolución dictada será carácter final y definitivo.</w:t>
      </w:r>
    </w:p>
    <w:p w14:paraId="0000003B" w14:textId="77777777" w:rsidR="00F318C4" w:rsidRDefault="0025323B">
      <w:pPr>
        <w:spacing w:line="480" w:lineRule="auto"/>
        <w:ind w:left="720" w:firstLine="90"/>
        <w:jc w:val="both"/>
        <w:rPr>
          <w:rFonts w:ascii="Book Antiqua" w:eastAsia="Book Antiqua" w:hAnsi="Book Antiqua" w:cs="Book Antiqua"/>
        </w:rPr>
      </w:pPr>
      <w:r>
        <w:rPr>
          <w:rFonts w:ascii="Book Antiqua" w:eastAsia="Book Antiqua" w:hAnsi="Book Antiqua" w:cs="Book Antiqua"/>
        </w:rPr>
        <w:t>Este recurso estará sujeto al pago de los derechos de presentación que establezca el Tribunal Supremo.</w:t>
      </w:r>
    </w:p>
    <w:p w14:paraId="0000003C" w14:textId="77777777" w:rsidR="00F318C4" w:rsidRPr="00E272A2" w:rsidRDefault="0025323B">
      <w:pPr>
        <w:spacing w:line="480" w:lineRule="auto"/>
        <w:ind w:left="720" w:firstLine="90"/>
        <w:jc w:val="both"/>
        <w:rPr>
          <w:rFonts w:ascii="Book Antiqua" w:eastAsia="Book Antiqua" w:hAnsi="Book Antiqua" w:cs="Book Antiqua"/>
          <w:b/>
          <w:strike/>
        </w:rPr>
      </w:pPr>
      <w:r w:rsidRPr="00E272A2">
        <w:rPr>
          <w:rFonts w:ascii="Book Antiqua" w:eastAsia="Book Antiqua" w:hAnsi="Book Antiqua" w:cs="Book Antiqua"/>
          <w:b/>
          <w:strike/>
        </w:rPr>
        <w:t xml:space="preserve">[Al solicitarse el Recurso de Revisión, si el dueño del vehículo, de la tablilla, el conductor certificado o el pasajero deseare que el gravamen o la anotación sea </w:t>
      </w:r>
      <w:r w:rsidRPr="00E272A2">
        <w:rPr>
          <w:rFonts w:ascii="Book Antiqua" w:eastAsia="Book Antiqua" w:hAnsi="Book Antiqua" w:cs="Book Antiqua"/>
          <w:b/>
          <w:strike/>
        </w:rPr>
        <w:lastRenderedPageBreak/>
        <w:t xml:space="preserve">cancelada de inmediato, el peticionario deberá llevar personalmente o por medio de agente o enviar por correo al Departamento de Hacienda un cheque o giro postal a nombre del </w:t>
      </w:r>
      <w:proofErr w:type="gramStart"/>
      <w:r w:rsidRPr="00E272A2">
        <w:rPr>
          <w:rFonts w:ascii="Book Antiqua" w:eastAsia="Book Antiqua" w:hAnsi="Book Antiqua" w:cs="Book Antiqua"/>
          <w:b/>
          <w:strike/>
        </w:rPr>
        <w:t>Secretario</w:t>
      </w:r>
      <w:proofErr w:type="gramEnd"/>
      <w:r w:rsidRPr="00E272A2">
        <w:rPr>
          <w:rFonts w:ascii="Book Antiqua" w:eastAsia="Book Antiqua" w:hAnsi="Book Antiqua" w:cs="Book Antiqua"/>
          <w:b/>
          <w:strike/>
        </w:rPr>
        <w:t xml:space="preserve"> del Departamento de Hacienda cubriendo el monto de la multa o multas cuya revisión se solicita. Los pagos así hechos serán devueltos al peticionario tan pronto el </w:t>
      </w:r>
      <w:proofErr w:type="gramStart"/>
      <w:r w:rsidRPr="00E272A2">
        <w:rPr>
          <w:rFonts w:ascii="Book Antiqua" w:eastAsia="Book Antiqua" w:hAnsi="Book Antiqua" w:cs="Book Antiqua"/>
          <w:b/>
          <w:strike/>
        </w:rPr>
        <w:t>Secretario</w:t>
      </w:r>
      <w:proofErr w:type="gramEnd"/>
      <w:r w:rsidRPr="00E272A2">
        <w:rPr>
          <w:rFonts w:ascii="Book Antiqua" w:eastAsia="Book Antiqua" w:hAnsi="Book Antiqua" w:cs="Book Antiqua"/>
          <w:b/>
          <w:strike/>
        </w:rPr>
        <w:t xml:space="preserve"> reciba notificación del Tribunal anulando la multa o multas administrativas.]</w:t>
      </w:r>
    </w:p>
    <w:p w14:paraId="0000003D" w14:textId="77777777" w:rsidR="00F318C4" w:rsidRDefault="0025323B">
      <w:pPr>
        <w:spacing w:line="480" w:lineRule="auto"/>
        <w:ind w:left="720" w:firstLine="720"/>
        <w:jc w:val="both"/>
        <w:rPr>
          <w:rFonts w:ascii="Book Antiqua" w:eastAsia="Book Antiqua" w:hAnsi="Book Antiqua" w:cs="Book Antiqua"/>
        </w:rPr>
      </w:pPr>
      <w:r>
        <w:rPr>
          <w:rFonts w:ascii="Book Antiqua" w:eastAsia="Book Antiqua" w:hAnsi="Book Antiqua" w:cs="Book Antiqua"/>
        </w:rPr>
        <w:t xml:space="preserve">Cuando el peticionario sea dueño del vehículo, de la tablilla, conductor certificado o pasajero y la resolución del Tribunal le sea favorable, tan pronto el </w:t>
      </w:r>
      <w:proofErr w:type="gramStart"/>
      <w:r>
        <w:rPr>
          <w:rFonts w:ascii="Book Antiqua" w:eastAsia="Book Antiqua" w:hAnsi="Book Antiqua" w:cs="Book Antiqua"/>
        </w:rPr>
        <w:t>Secretario</w:t>
      </w:r>
      <w:proofErr w:type="gramEnd"/>
      <w:r>
        <w:rPr>
          <w:rFonts w:ascii="Book Antiqua" w:eastAsia="Book Antiqua" w:hAnsi="Book Antiqua" w:cs="Book Antiqua"/>
        </w:rPr>
        <w:t xml:space="preserve"> reciba la correspondiente notificación del Tribunal, procederá a cancelar el gravamen o la anotación creada por la multa administrativa cuya nulidad ha decretado el Tribunal y procederá, además, a dar aviso por escrito de ello al interesado. Además, el </w:t>
      </w:r>
      <w:proofErr w:type="gramStart"/>
      <w:r>
        <w:rPr>
          <w:rFonts w:ascii="Book Antiqua" w:eastAsia="Book Antiqua" w:hAnsi="Book Antiqua" w:cs="Book Antiqua"/>
        </w:rPr>
        <w:t>Secretario</w:t>
      </w:r>
      <w:proofErr w:type="gramEnd"/>
      <w:r>
        <w:rPr>
          <w:rFonts w:ascii="Book Antiqua" w:eastAsia="Book Antiqua" w:hAnsi="Book Antiqua" w:cs="Book Antiqua"/>
        </w:rPr>
        <w:t xml:space="preserve"> tomará medidas para, y se asegurará de que, la multa o gravamen no aparezca en el documento que anualmente se envía al dueño del vehículo para la renovación de licencia del mismo. El dueño del vehículo o la persona que fue objeto de la multa y resultó favorecida por la resolución judicial, no estará obligada a realizar ninguna gestión para la eliminación de la multa ni para que esta no aparezca más en la licencia del vehículo. El Departamento de Hacienda no denegará el cobro de derechos ni la expedición del marbete de un vehículo cuando se le presente copia de la resolución judicial que revocó la expedición del boleto. De hecho, cuando proceda con la deducción de multas a un ciudadano, deberá enviar electrónicamente a la Directoria de Servicios al </w:t>
      </w:r>
      <w:r>
        <w:rPr>
          <w:rFonts w:ascii="Book Antiqua" w:eastAsia="Book Antiqua" w:hAnsi="Book Antiqua" w:cs="Book Antiqua"/>
        </w:rPr>
        <w:lastRenderedPageBreak/>
        <w:t>Conductor, copia de la evidencia retenida, para su cancelación en el sistema adoptado por el Departamento de Transportación y Obras Públicas.</w:t>
      </w:r>
    </w:p>
    <w:p w14:paraId="0000003E" w14:textId="60C7B127" w:rsidR="00F318C4" w:rsidRDefault="0025323B">
      <w:pPr>
        <w:spacing w:line="480" w:lineRule="auto"/>
        <w:ind w:left="720" w:firstLine="720"/>
        <w:jc w:val="both"/>
        <w:rPr>
          <w:rFonts w:ascii="Book Antiqua" w:eastAsia="Book Antiqua" w:hAnsi="Book Antiqua" w:cs="Book Antiqua"/>
        </w:rPr>
      </w:pPr>
      <w:r>
        <w:rPr>
          <w:rFonts w:ascii="Book Antiqua" w:eastAsia="Book Antiqua" w:hAnsi="Book Antiqua" w:cs="Book Antiqua"/>
        </w:rPr>
        <w:t>Por el contrario, si la resolución del Tribunal es adversa al peticionario, subsistirá el gravamen o la anotación, el cual sólo podrá ser cancelado mediante el pago de la multa o multas correspondientes.</w:t>
      </w:r>
      <w:r w:rsidR="00E272A2">
        <w:rPr>
          <w:rFonts w:ascii="Book Antiqua" w:eastAsia="Book Antiqua" w:hAnsi="Book Antiqua" w:cs="Book Antiqua"/>
        </w:rPr>
        <w:t xml:space="preserve"> </w:t>
      </w:r>
      <w:r w:rsidR="00E272A2" w:rsidRPr="00E272A2">
        <w:rPr>
          <w:rFonts w:ascii="Book Antiqua" w:eastAsia="Book Antiqua" w:hAnsi="Book Antiqua" w:cs="Book Antiqua"/>
          <w:u w:val="single"/>
        </w:rPr>
        <w:t xml:space="preserve">En estos casos, se aplicarán los descuentos para el pago establecidos en el inciso (h) de este Artículo, comenzando a </w:t>
      </w:r>
      <w:proofErr w:type="spellStart"/>
      <w:r w:rsidR="00E272A2" w:rsidRPr="00E272A2">
        <w:rPr>
          <w:rFonts w:ascii="Book Antiqua" w:eastAsia="Book Antiqua" w:hAnsi="Book Antiqua" w:cs="Book Antiqua"/>
          <w:u w:val="single"/>
        </w:rPr>
        <w:t>decursar</w:t>
      </w:r>
      <w:proofErr w:type="spellEnd"/>
      <w:r w:rsidR="00E272A2" w:rsidRPr="00E272A2">
        <w:rPr>
          <w:rFonts w:ascii="Book Antiqua" w:eastAsia="Book Antiqua" w:hAnsi="Book Antiqua" w:cs="Book Antiqua"/>
          <w:u w:val="single"/>
        </w:rPr>
        <w:t xml:space="preserve"> todos los términos a partir del momento en que la determinación del Tribunal advino final, firme e inapelable.</w:t>
      </w:r>
    </w:p>
    <w:p w14:paraId="0000003F" w14:textId="77777777" w:rsidR="00F318C4" w:rsidRDefault="0025323B">
      <w:pPr>
        <w:spacing w:line="480" w:lineRule="auto"/>
        <w:ind w:left="720"/>
        <w:jc w:val="both"/>
        <w:rPr>
          <w:rFonts w:ascii="Book Antiqua" w:eastAsia="Book Antiqua" w:hAnsi="Book Antiqua" w:cs="Book Antiqua"/>
          <w:u w:val="single"/>
        </w:rPr>
      </w:pPr>
      <w:r>
        <w:rPr>
          <w:rFonts w:ascii="Book Antiqua" w:eastAsia="Book Antiqua" w:hAnsi="Book Antiqua" w:cs="Book Antiqua"/>
          <w:u w:val="single"/>
        </w:rPr>
        <w:t>…</w:t>
      </w:r>
    </w:p>
    <w:p w14:paraId="00000040" w14:textId="77777777" w:rsidR="00F318C4" w:rsidRDefault="0025323B">
      <w:pPr>
        <w:spacing w:line="480" w:lineRule="auto"/>
        <w:ind w:left="720"/>
        <w:jc w:val="both"/>
        <w:rPr>
          <w:rFonts w:ascii="Book Antiqua" w:eastAsia="Book Antiqua" w:hAnsi="Book Antiqua" w:cs="Book Antiqua"/>
          <w:u w:val="single"/>
        </w:rPr>
      </w:pPr>
      <w:r>
        <w:rPr>
          <w:rFonts w:ascii="Book Antiqua" w:eastAsia="Book Antiqua" w:hAnsi="Book Antiqua" w:cs="Book Antiqua"/>
          <w:u w:val="single"/>
        </w:rPr>
        <w:t>(w)…</w:t>
      </w:r>
    </w:p>
    <w:p w14:paraId="00000041" w14:textId="77777777" w:rsidR="00F318C4" w:rsidRDefault="0025323B">
      <w:pPr>
        <w:spacing w:line="480" w:lineRule="auto"/>
        <w:ind w:firstLine="720"/>
        <w:jc w:val="both"/>
        <w:rPr>
          <w:rFonts w:ascii="Book Antiqua" w:eastAsia="Book Antiqua" w:hAnsi="Book Antiqua" w:cs="Book Antiqua"/>
        </w:rPr>
      </w:pPr>
      <w:r>
        <w:rPr>
          <w:rFonts w:ascii="Book Antiqua" w:eastAsia="Book Antiqua" w:hAnsi="Book Antiqua" w:cs="Book Antiqua"/>
        </w:rPr>
        <w:t>Sección 3.- Vigencia.</w:t>
      </w:r>
    </w:p>
    <w:p w14:paraId="00000042" w14:textId="77777777" w:rsidR="00F318C4" w:rsidRDefault="0025323B">
      <w:pPr>
        <w:spacing w:line="480"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Esta Ley comenzará a regir inmediatamente después de su aprobación.</w:t>
      </w:r>
      <w:r>
        <w:rPr>
          <w:rFonts w:ascii="Book Antiqua" w:eastAsia="Book Antiqua" w:hAnsi="Book Antiqua" w:cs="Book Antiqua"/>
        </w:rPr>
        <w:t xml:space="preserve">  </w:t>
      </w:r>
    </w:p>
    <w:sectPr w:rsidR="00F318C4">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04D54" w14:textId="77777777" w:rsidR="0025323B" w:rsidRDefault="0025323B">
      <w:r>
        <w:separator/>
      </w:r>
    </w:p>
  </w:endnote>
  <w:endnote w:type="continuationSeparator" w:id="0">
    <w:p w14:paraId="3A0874A1" w14:textId="77777777" w:rsidR="0025323B" w:rsidRDefault="00253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AA873710-1F7B-4CBD-ACE5-A04107881D19}"/>
  </w:font>
  <w:font w:name="Palatino Linotype">
    <w:panose1 w:val="02040502050505030304"/>
    <w:charset w:val="00"/>
    <w:family w:val="roman"/>
    <w:pitch w:val="variable"/>
    <w:sig w:usb0="E0000287" w:usb1="40000013" w:usb2="00000000" w:usb3="00000000" w:csb0="0000019F" w:csb1="00000000"/>
    <w:embedRegular r:id="rId2" w:fontKey="{772FE672-207A-4EC1-AB18-0B258E1B7129}"/>
  </w:font>
  <w:font w:name="Georgia">
    <w:panose1 w:val="02040502050405020303"/>
    <w:charset w:val="00"/>
    <w:family w:val="roman"/>
    <w:pitch w:val="variable"/>
    <w:sig w:usb0="00000287" w:usb1="00000000" w:usb2="00000000" w:usb3="00000000" w:csb0="0000009F" w:csb1="00000000"/>
    <w:embedRegular r:id="rId3" w:fontKey="{324C07D9-8A13-4F55-B10C-382D63AAB5B8}"/>
    <w:embedItalic r:id="rId4" w:fontKey="{39A4234C-869F-4B04-AFBF-A058ABF1455A}"/>
  </w:font>
  <w:font w:name="Book Antiqua">
    <w:panose1 w:val="02040602050305030304"/>
    <w:charset w:val="00"/>
    <w:family w:val="roman"/>
    <w:pitch w:val="variable"/>
    <w:sig w:usb0="00000287" w:usb1="00000000" w:usb2="00000000" w:usb3="00000000" w:csb0="0000009F" w:csb1="00000000"/>
    <w:embedRegular r:id="rId5" w:fontKey="{BAF8E339-1D9D-4A50-8E83-B2AE5BF33E4E}"/>
    <w:embedBold r:id="rId6" w:fontKey="{DA130D9B-AC16-4953-988B-FC4EE1A36338}"/>
    <w:embedItalic r:id="rId7" w:fontKey="{EED5FB5F-2CA0-4C3C-89E7-2BF9F39B2D38}"/>
  </w:font>
  <w:font w:name="Aptos Display">
    <w:charset w:val="00"/>
    <w:family w:val="swiss"/>
    <w:pitch w:val="variable"/>
    <w:sig w:usb0="20000287" w:usb1="00000003" w:usb2="00000000" w:usb3="00000000" w:csb0="0000019F" w:csb1="00000000"/>
    <w:embedRegular r:id="rId8" w:fontKey="{B611B699-D056-4FF8-8175-AB79983B2CA8}"/>
  </w:font>
  <w:font w:name="Aptos">
    <w:charset w:val="00"/>
    <w:family w:val="swiss"/>
    <w:pitch w:val="variable"/>
    <w:sig w:usb0="20000287" w:usb1="00000003" w:usb2="00000000" w:usb3="00000000" w:csb0="0000019F" w:csb1="00000000"/>
    <w:embedRegular r:id="rId9" w:fontKey="{1984A2C1-E49E-48EC-8882-EEBB4F1FF87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FEEFA" w14:textId="77777777" w:rsidR="0025323B" w:rsidRDefault="0025323B">
      <w:r>
        <w:separator/>
      </w:r>
    </w:p>
  </w:footnote>
  <w:footnote w:type="continuationSeparator" w:id="0">
    <w:p w14:paraId="2B1520C1" w14:textId="77777777" w:rsidR="0025323B" w:rsidRDefault="002532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3" w14:textId="22A9B04B" w:rsidR="00F318C4" w:rsidRDefault="0025323B">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A53403">
      <w:rPr>
        <w:noProof/>
        <w:color w:val="000000"/>
      </w:rPr>
      <w:t>2</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2120B"/>
    <w:multiLevelType w:val="hybridMultilevel"/>
    <w:tmpl w:val="BADE578E"/>
    <w:lvl w:ilvl="0" w:tplc="4926C2A2">
      <w:start w:val="1"/>
      <w:numFmt w:val="bullet"/>
      <w:lvlText w:val=""/>
      <w:lvlJc w:val="left"/>
      <w:pPr>
        <w:ind w:left="720" w:hanging="360"/>
      </w:pPr>
      <w:rPr>
        <w:rFonts w:ascii="Symbol" w:hAnsi="Symbol"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89270B"/>
    <w:multiLevelType w:val="multilevel"/>
    <w:tmpl w:val="FFA2B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578512">
    <w:abstractNumId w:val="1"/>
  </w:num>
  <w:num w:numId="2" w16cid:durableId="1960529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8C4"/>
    <w:rsid w:val="0025323B"/>
    <w:rsid w:val="00441338"/>
    <w:rsid w:val="005175B5"/>
    <w:rsid w:val="007C31B4"/>
    <w:rsid w:val="008B798E"/>
    <w:rsid w:val="00A53403"/>
    <w:rsid w:val="00B56866"/>
    <w:rsid w:val="00DD6D1E"/>
    <w:rsid w:val="00E272A2"/>
    <w:rsid w:val="00F318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BD93F"/>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P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767186"/>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767186"/>
    <w:rPr>
      <w:rFonts w:ascii="Segoe UI" w:hAnsi="Segoe UI" w:cs="Segoe UI"/>
      <w:sz w:val="18"/>
      <w:szCs w:val="18"/>
    </w:rPr>
  </w:style>
  <w:style w:type="paragraph" w:styleId="ListParagraph">
    <w:name w:val="List Paragraph"/>
    <w:basedOn w:val="Normal"/>
    <w:uiPriority w:val="34"/>
    <w:qFormat/>
    <w:rsid w:val="005863AD"/>
    <w:pPr>
      <w:ind w:left="720"/>
      <w:contextualSpacing/>
    </w:pPr>
  </w:style>
  <w:style w:type="character" w:styleId="CommentReference">
    <w:name w:val="annotation reference"/>
    <w:uiPriority w:val="99"/>
    <w:semiHidden/>
    <w:unhideWhenUsed/>
    <w:rsid w:val="0020445E"/>
    <w:rPr>
      <w:sz w:val="16"/>
      <w:szCs w:val="16"/>
    </w:rPr>
  </w:style>
  <w:style w:type="paragraph" w:styleId="CommentText">
    <w:name w:val="annotation text"/>
    <w:basedOn w:val="Normal"/>
    <w:link w:val="CommentTextChar"/>
    <w:uiPriority w:val="99"/>
    <w:semiHidden/>
    <w:unhideWhenUsed/>
    <w:rsid w:val="0020445E"/>
    <w:rPr>
      <w:sz w:val="20"/>
    </w:rPr>
  </w:style>
  <w:style w:type="character" w:customStyle="1" w:styleId="CommentTextChar">
    <w:name w:val="Comment Text Char"/>
    <w:basedOn w:val="DefaultParagraphFont"/>
    <w:link w:val="CommentText"/>
    <w:uiPriority w:val="99"/>
    <w:semiHidden/>
    <w:rsid w:val="0020445E"/>
  </w:style>
  <w:style w:type="paragraph" w:styleId="CommentSubject">
    <w:name w:val="annotation subject"/>
    <w:basedOn w:val="CommentText"/>
    <w:next w:val="CommentText"/>
    <w:link w:val="CommentSubjectChar"/>
    <w:uiPriority w:val="99"/>
    <w:semiHidden/>
    <w:unhideWhenUsed/>
    <w:rsid w:val="0020445E"/>
    <w:rPr>
      <w:b/>
      <w:bCs/>
    </w:rPr>
  </w:style>
  <w:style w:type="character" w:customStyle="1" w:styleId="CommentSubjectChar">
    <w:name w:val="Comment Subject Char"/>
    <w:link w:val="CommentSubject"/>
    <w:uiPriority w:val="99"/>
    <w:semiHidden/>
    <w:rsid w:val="0020445E"/>
    <w:rPr>
      <w:b/>
      <w:bCs/>
    </w:rPr>
  </w:style>
  <w:style w:type="character" w:styleId="PlaceholderText">
    <w:name w:val="Placeholder Text"/>
    <w:uiPriority w:val="99"/>
    <w:semiHidden/>
    <w:rsid w:val="00BD7FD8"/>
    <w:rPr>
      <w:color w:val="808080"/>
    </w:rPr>
  </w:style>
  <w:style w:type="paragraph" w:styleId="BodyText">
    <w:name w:val="Body Text"/>
    <w:basedOn w:val="Normal"/>
    <w:link w:val="BodyTextChar"/>
    <w:uiPriority w:val="1"/>
    <w:qFormat/>
    <w:rsid w:val="00CB2DC8"/>
    <w:pPr>
      <w:widowControl w:val="0"/>
      <w:autoSpaceDE w:val="0"/>
      <w:autoSpaceDN w:val="0"/>
      <w:spacing w:before="70"/>
    </w:pPr>
    <w:rPr>
      <w:rFonts w:ascii="Palatino Linotype" w:eastAsia="Palatino Linotype" w:hAnsi="Palatino Linotype" w:cs="Palatino Linotype"/>
      <w:lang w:val="es-ES"/>
    </w:rPr>
  </w:style>
  <w:style w:type="character" w:customStyle="1" w:styleId="BodyTextChar">
    <w:name w:val="Body Text Char"/>
    <w:link w:val="BodyText"/>
    <w:uiPriority w:val="1"/>
    <w:rsid w:val="00CB2DC8"/>
    <w:rPr>
      <w:rFonts w:ascii="Palatino Linotype" w:eastAsia="Palatino Linotype" w:hAnsi="Palatino Linotype" w:cs="Palatino Linotype"/>
      <w:sz w:val="24"/>
      <w:szCs w:val="24"/>
      <w:lang w:val="es-E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i6aJefi9PXHC/92MnXDPN6AeWw==">CgMxLjA4AHIhMWJlWC1JRzB1c1VXSEJyTVcyUGExVG4zd1hmYmNyUU8w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1925</Words>
  <Characters>10592</Characters>
  <Application>Microsoft Office Word</Application>
  <DocSecurity>4</DocSecurity>
  <Lines>88</Lines>
  <Paragraphs>24</Paragraphs>
  <ScaleCrop>false</ScaleCrop>
  <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Calderón Cestero</dc:creator>
  <cp:lastModifiedBy>Carlos Y. Rosado Cruz</cp:lastModifiedBy>
  <cp:revision>2</cp:revision>
  <cp:lastPrinted>2025-03-20T16:35:00Z</cp:lastPrinted>
  <dcterms:created xsi:type="dcterms:W3CDTF">2025-03-21T20:01:00Z</dcterms:created>
  <dcterms:modified xsi:type="dcterms:W3CDTF">2025-03-21T20:01:00Z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623a7f-4aec-4980-abf7-42194908fdf7_Enabled">
    <vt:lpwstr>true</vt:lpwstr>
  </property>
  <property fmtid="{D5CDD505-2E9C-101B-9397-08002B2CF9AE}" pid="3" name="MSIP_Label_e8623a7f-4aec-4980-abf7-42194908fdf7_SetDate">
    <vt:lpwstr>2021-04-17T00:06:28Z</vt:lpwstr>
  </property>
  <property fmtid="{D5CDD505-2E9C-101B-9397-08002B2CF9AE}" pid="4" name="MSIP_Label_e8623a7f-4aec-4980-abf7-42194908fdf7_Method">
    <vt:lpwstr>Privileged</vt:lpwstr>
  </property>
  <property fmtid="{D5CDD505-2E9C-101B-9397-08002B2CF9AE}" pid="5" name="MSIP_Label_e8623a7f-4aec-4980-abf7-42194908fdf7_Name">
    <vt:lpwstr>e8623a7f-4aec-4980-abf7-42194908fdf7</vt:lpwstr>
  </property>
  <property fmtid="{D5CDD505-2E9C-101B-9397-08002B2CF9AE}" pid="6" name="MSIP_Label_e8623a7f-4aec-4980-abf7-42194908fdf7_SiteId">
    <vt:lpwstr>c82f2d55-67d0-4a4a-8820-2f84a18c1cdd</vt:lpwstr>
  </property>
  <property fmtid="{D5CDD505-2E9C-101B-9397-08002B2CF9AE}" pid="7" name="MSIP_Label_e8623a7f-4aec-4980-abf7-42194908fdf7_ActionId">
    <vt:lpwstr>77114131-856b-4997-b298-f25f8a2969e7</vt:lpwstr>
  </property>
  <property fmtid="{D5CDD505-2E9C-101B-9397-08002B2CF9AE}" pid="8" name="MSIP_Label_e8623a7f-4aec-4980-abf7-42194908fdf7_ContentBits">
    <vt:lpwstr>0</vt:lpwstr>
  </property>
</Properties>
</file>