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18F0015E"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ED3F35">
        <w:rPr>
          <w:rFonts w:ascii="Book Antiqua" w:hAnsi="Book Antiqua"/>
          <w:b/>
          <w:sz w:val="52"/>
          <w:szCs w:val="52"/>
          <w:lang w:val="es-ES"/>
        </w:rPr>
        <w:t>47</w:t>
      </w:r>
    </w:p>
    <w:p w14:paraId="35CFB7DE" w14:textId="77777777" w:rsidR="00ED30AA" w:rsidRPr="000E7F54" w:rsidRDefault="00ED30AA" w:rsidP="00ED30AA">
      <w:pPr>
        <w:jc w:val="center"/>
        <w:rPr>
          <w:rFonts w:ascii="Book Antiqua" w:hAnsi="Book Antiqua"/>
          <w:sz w:val="28"/>
          <w:szCs w:val="28"/>
          <w:lang w:val="es-ES"/>
        </w:rPr>
      </w:pPr>
    </w:p>
    <w:p w14:paraId="25A7CA79" w14:textId="3A4F31D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86325E">
        <w:rPr>
          <w:rFonts w:ascii="Book Antiqua" w:hAnsi="Book Antiqua"/>
          <w:sz w:val="28"/>
          <w:szCs w:val="28"/>
          <w:lang w:val="es-ES"/>
        </w:rPr>
        <w:t>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5E590D0B" w:rsidR="00ED30AA" w:rsidRPr="000E7F54" w:rsidRDefault="00136937" w:rsidP="00ED30AA">
      <w:pPr>
        <w:jc w:val="center"/>
        <w:rPr>
          <w:rFonts w:ascii="Book Antiqua" w:hAnsi="Book Antiqua"/>
          <w:szCs w:val="24"/>
          <w:lang w:val="es-ES"/>
        </w:rPr>
      </w:pPr>
      <w:r>
        <w:rPr>
          <w:rFonts w:ascii="Book Antiqua" w:hAnsi="Book Antiqua"/>
          <w:bCs/>
          <w:szCs w:val="24"/>
          <w:lang w:val="es-ES"/>
        </w:rPr>
        <w:t>26</w:t>
      </w:r>
      <w:r w:rsidR="00277C23">
        <w:rPr>
          <w:rFonts w:ascii="Book Antiqua" w:hAnsi="Book Antiqua"/>
          <w:bCs/>
          <w:szCs w:val="24"/>
          <w:lang w:val="es-ES"/>
        </w:rPr>
        <w:t xml:space="preserve"> DE FEBRERO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2DAFBE7" w14:textId="0C46FBF7" w:rsidR="0086325E" w:rsidRDefault="00ED30AA" w:rsidP="00ED3F35">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ED3F35">
        <w:rPr>
          <w:rFonts w:ascii="Book Antiqua" w:hAnsi="Book Antiqua"/>
          <w:b/>
          <w:bCs/>
          <w:szCs w:val="24"/>
          <w:lang w:val="es-ES"/>
        </w:rPr>
        <w:t>47</w:t>
      </w:r>
      <w:r w:rsidR="0086325E" w:rsidRPr="0086325E">
        <w:rPr>
          <w:rFonts w:ascii="Book Antiqua" w:hAnsi="Book Antiqua"/>
          <w:szCs w:val="24"/>
          <w:lang w:val="es-ES"/>
        </w:rPr>
        <w:t>, así como los memoriales y</w:t>
      </w:r>
      <w:r w:rsidR="00ED3F35">
        <w:rPr>
          <w:rFonts w:ascii="Book Antiqua" w:hAnsi="Book Antiqua"/>
          <w:szCs w:val="24"/>
          <w:lang w:val="es-ES"/>
        </w:rPr>
        <w:t>/o</w:t>
      </w:r>
      <w:r w:rsidR="0086325E" w:rsidRPr="0086325E">
        <w:rPr>
          <w:rFonts w:ascii="Book Antiqua" w:hAnsi="Book Antiqua"/>
          <w:szCs w:val="24"/>
          <w:lang w:val="es-ES"/>
        </w:rPr>
        <w:t xml:space="preserve"> ponencias recibidas, comparece respetuosamente para rendir este Informe Negativo, por entender que la medida no adelanta el mejor interés público ni cumple adecuadamente con los objetivos que persigue.</w:t>
      </w:r>
      <w:r w:rsidRPr="009C3FBC">
        <w:rPr>
          <w:rFonts w:ascii="Book Antiqua" w:hAnsi="Book Antiqua"/>
          <w:szCs w:val="24"/>
          <w:lang w:val="es-ES"/>
        </w:rPr>
        <w:t xml:space="preserve"> </w:t>
      </w:r>
    </w:p>
    <w:p w14:paraId="306ECD5D" w14:textId="77777777" w:rsidR="00ED3F35" w:rsidRPr="00ED3F35" w:rsidRDefault="00ED3F35" w:rsidP="00ED3F35">
      <w:pPr>
        <w:ind w:firstLine="720"/>
        <w:jc w:val="both"/>
        <w:rPr>
          <w:rFonts w:ascii="Book Antiqua" w:hAnsi="Book Antiqua"/>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7A7A122B" w14:textId="553FD123" w:rsidR="00ED3F35" w:rsidRPr="00ED3F35"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 xml:space="preserve">El </w:t>
      </w:r>
      <w:r>
        <w:rPr>
          <w:rFonts w:ascii="Book Antiqua" w:hAnsi="Book Antiqua"/>
          <w:bCs/>
          <w:szCs w:val="24"/>
          <w:lang w:val="es-ES"/>
        </w:rPr>
        <w:t>P. de la C.</w:t>
      </w:r>
      <w:r w:rsidRPr="00ED3F35">
        <w:rPr>
          <w:rFonts w:ascii="Book Antiqua" w:hAnsi="Book Antiqua"/>
          <w:bCs/>
          <w:szCs w:val="24"/>
          <w:lang w:val="es-ES"/>
        </w:rPr>
        <w:t xml:space="preserve"> 47 propone enmendar el primer párrafo del Artículo 1 de la Ley Núm. 80 de 30 de mayo de 1976, según enmendada, conocida como la “Ley de Despido Injustificado”, a los fines de incluir expresamente la reinstalación al empleo como remedio adicional cuando un empleado contratado por tiempo indeterminado sea despedido sin justa causa.</w:t>
      </w:r>
    </w:p>
    <w:p w14:paraId="3817E4E5" w14:textId="77777777" w:rsidR="00ED3F35" w:rsidRPr="00ED3F35" w:rsidRDefault="00ED3F35" w:rsidP="00ED3F35">
      <w:pPr>
        <w:ind w:firstLine="720"/>
        <w:jc w:val="both"/>
        <w:rPr>
          <w:rFonts w:ascii="Book Antiqua" w:hAnsi="Book Antiqua"/>
          <w:bCs/>
          <w:szCs w:val="24"/>
          <w:lang w:val="es-ES"/>
        </w:rPr>
      </w:pPr>
    </w:p>
    <w:p w14:paraId="61C80AF4" w14:textId="46D959DF" w:rsidR="008D4ABA"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La medida persigue fortalecer los mecanismos de protección al trabajador, disponiendo que, además de la indemnización económica actualmente establecida, el empleado despedido injustificadamente tenga derecho a ser reinstalado en su puesto bajo las mismas condiciones laborales existentes previo al despido</w:t>
      </w:r>
      <w:r w:rsidR="004A659C" w:rsidRPr="004A659C">
        <w:rPr>
          <w:rFonts w:ascii="Book Antiqua" w:hAnsi="Book Antiqua"/>
          <w:bCs/>
          <w:szCs w:val="24"/>
          <w:lang w:val="es-ES"/>
        </w:rPr>
        <w:t>.</w:t>
      </w:r>
    </w:p>
    <w:p w14:paraId="3FF83D0F" w14:textId="77777777" w:rsidR="008D4ABA" w:rsidRPr="009C3FBC" w:rsidRDefault="008D4ABA" w:rsidP="00ED3F35">
      <w:pP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0B3B6247" w:rsidR="001C0C85" w:rsidRPr="00ED3F35" w:rsidRDefault="001C0C85" w:rsidP="004A659C">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4A659C">
        <w:rPr>
          <w:rFonts w:ascii="Book Antiqua" w:hAnsi="Book Antiqua"/>
          <w:bCs/>
          <w:szCs w:val="24"/>
          <w:lang w:val="es-ES"/>
        </w:rPr>
        <w:t>recibió Memorial Explicativo</w:t>
      </w:r>
      <w:r w:rsidRPr="009C3FBC">
        <w:rPr>
          <w:rFonts w:ascii="Book Antiqua" w:hAnsi="Book Antiqua"/>
          <w:bCs/>
          <w:szCs w:val="24"/>
          <w:lang w:val="es-ES"/>
        </w:rPr>
        <w:t xml:space="preserve"> </w:t>
      </w:r>
      <w:r w:rsidR="004A659C">
        <w:rPr>
          <w:rFonts w:ascii="Book Antiqua" w:hAnsi="Book Antiqua"/>
          <w:bCs/>
          <w:szCs w:val="24"/>
          <w:lang w:val="es-ES"/>
        </w:rPr>
        <w:t>de</w:t>
      </w:r>
      <w:r w:rsidR="00ED3F35">
        <w:rPr>
          <w:rFonts w:ascii="Book Antiqua" w:hAnsi="Book Antiqua"/>
          <w:bCs/>
          <w:szCs w:val="24"/>
          <w:lang w:val="es-ES"/>
        </w:rPr>
        <w:t xml:space="preserve">l </w:t>
      </w:r>
      <w:r w:rsidR="00ED3F35">
        <w:rPr>
          <w:rFonts w:ascii="Book Antiqua" w:hAnsi="Book Antiqua"/>
          <w:b/>
          <w:szCs w:val="24"/>
          <w:lang w:val="es-ES"/>
        </w:rPr>
        <w:t>Departamento del Trabajo y Recursos Humanos de Puerto Rico (DTRH).</w:t>
      </w:r>
    </w:p>
    <w:p w14:paraId="6E54C111" w14:textId="77777777" w:rsidR="00ED3F35" w:rsidRPr="00ED3F35" w:rsidRDefault="00ED3F35" w:rsidP="00ED3F35">
      <w:pPr>
        <w:ind w:firstLine="720"/>
        <w:jc w:val="both"/>
        <w:rPr>
          <w:rFonts w:ascii="Book Antiqua" w:hAnsi="Book Antiqua"/>
          <w:bCs/>
          <w:szCs w:val="24"/>
          <w:lang w:val="es-ES"/>
        </w:rPr>
      </w:pPr>
      <w:r w:rsidRPr="00ED3F35">
        <w:rPr>
          <w:rFonts w:ascii="Book Antiqua" w:hAnsi="Book Antiqua"/>
          <w:bCs/>
          <w:szCs w:val="24"/>
          <w:lang w:val="es-ES"/>
        </w:rPr>
        <w:lastRenderedPageBreak/>
        <w:t>La Ley Núm. 80 fue concebida como una legislación de carácter protector, dirigida a desalentar los despidos sin justa causa mediante la imposición de una indemnización económica al patrono. No obstante, el proponente del proyecto sostiene que dicho remedio no ha resultado suficientemente disuasivo y que, en la práctica, ha propiciado que algunos patronos opten por despedir empleados sin justa causa, asumiendo el pago de la mesada como un costo operacional.</w:t>
      </w:r>
    </w:p>
    <w:p w14:paraId="447F9AC4" w14:textId="77777777" w:rsidR="00ED3F35" w:rsidRPr="00ED3F35" w:rsidRDefault="00ED3F35" w:rsidP="00ED3F35">
      <w:pPr>
        <w:ind w:firstLine="720"/>
        <w:jc w:val="both"/>
        <w:rPr>
          <w:rFonts w:ascii="Book Antiqua" w:hAnsi="Book Antiqua"/>
          <w:bCs/>
          <w:szCs w:val="24"/>
          <w:lang w:val="es-ES"/>
        </w:rPr>
      </w:pPr>
    </w:p>
    <w:p w14:paraId="6E613920" w14:textId="77777777" w:rsidR="00ED3F35" w:rsidRPr="00ED3F35"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La medida introduce un cambio sustantivo al esquema remedial vigente, al reconocer la reinstalación como derecho estatutario del trabajador afectado. Este remedio se asemeja a otros modelos de protección laboral en jurisdicciones donde la restitución del empleo constituye el remedio principal ante un despido injustificado.</w:t>
      </w:r>
    </w:p>
    <w:p w14:paraId="22D97E5B" w14:textId="77777777" w:rsidR="00ED3F35" w:rsidRPr="00ED3F35" w:rsidRDefault="00ED3F35" w:rsidP="00ED3F35">
      <w:pPr>
        <w:ind w:firstLine="720"/>
        <w:jc w:val="both"/>
        <w:rPr>
          <w:rFonts w:ascii="Book Antiqua" w:hAnsi="Book Antiqua"/>
          <w:bCs/>
          <w:szCs w:val="24"/>
          <w:lang w:val="es-ES"/>
        </w:rPr>
      </w:pPr>
    </w:p>
    <w:p w14:paraId="2EBED0D9" w14:textId="0CD13B1C" w:rsidR="009C3FBC"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Sin embargo, la Comisión reconoce que la reinstalación obligatoria puede generar retos prácticos y operacionales, particularmente en el sector privado, donde las relaciones obrero-patronales, la reorganización interna, la confianza y la dinámica laboral son factores determinantes para la continuidad de las operaciones. La imposición de este remedio podría incidir en la toma de decisiones gerenciales, en la flexibilidad operacional de los patronos y en el clima laboral dentro de los centros de trabajo.</w:t>
      </w:r>
    </w:p>
    <w:p w14:paraId="6085AC93" w14:textId="77777777" w:rsidR="00964006" w:rsidRDefault="00964006" w:rsidP="00ED3F35">
      <w:pPr>
        <w:rPr>
          <w:rFonts w:ascii="Book Antiqua" w:hAnsi="Book Antiqua"/>
          <w:b/>
          <w:szCs w:val="24"/>
          <w:u w:val="single"/>
          <w:lang w:val="es-ES"/>
        </w:rPr>
      </w:pPr>
    </w:p>
    <w:p w14:paraId="26626D7F" w14:textId="084CA3AE" w:rsidR="004A659C" w:rsidRDefault="00ED3F35" w:rsidP="00883C0D">
      <w:pPr>
        <w:ind w:firstLine="720"/>
        <w:jc w:val="center"/>
        <w:rPr>
          <w:rFonts w:ascii="Book Antiqua" w:hAnsi="Book Antiqua"/>
          <w:b/>
          <w:szCs w:val="24"/>
          <w:u w:val="single"/>
          <w:lang w:val="es-ES"/>
        </w:rPr>
      </w:pPr>
      <w:r w:rsidRPr="00ED3F35">
        <w:rPr>
          <w:rFonts w:ascii="Book Antiqua" w:hAnsi="Book Antiqua"/>
          <w:b/>
          <w:szCs w:val="24"/>
          <w:u w:val="single"/>
          <w:lang w:val="es-ES"/>
        </w:rPr>
        <w:t>Departamento del Trabajo y Recursos Humanos de Puerto Rico (DTRH)</w:t>
      </w:r>
      <w:r w:rsidR="004A659C" w:rsidRPr="004A659C">
        <w:rPr>
          <w:rFonts w:ascii="Book Antiqua" w:hAnsi="Book Antiqua"/>
          <w:b/>
          <w:szCs w:val="24"/>
          <w:u w:val="single"/>
          <w:lang w:val="es-ES"/>
        </w:rPr>
        <w:t xml:space="preserve"> </w:t>
      </w:r>
    </w:p>
    <w:p w14:paraId="37600A1A" w14:textId="127F13F7"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ED3F35">
        <w:rPr>
          <w:rFonts w:ascii="Book Antiqua" w:hAnsi="Book Antiqua"/>
          <w:bCs/>
          <w:szCs w:val="24"/>
          <w:lang w:val="es-ES"/>
        </w:rPr>
        <w:t>3</w:t>
      </w:r>
      <w:r w:rsidR="004A659C">
        <w:rPr>
          <w:rFonts w:ascii="Book Antiqua" w:hAnsi="Book Antiqua"/>
          <w:bCs/>
          <w:szCs w:val="24"/>
          <w:lang w:val="es-ES"/>
        </w:rPr>
        <w:t xml:space="preserve"> de </w:t>
      </w:r>
      <w:r w:rsidR="00ED3F35">
        <w:rPr>
          <w:rFonts w:ascii="Book Antiqua" w:hAnsi="Book Antiqua"/>
          <w:bCs/>
          <w:szCs w:val="24"/>
          <w:lang w:val="es-ES"/>
        </w:rPr>
        <w:t>febrero</w:t>
      </w:r>
      <w:r w:rsidR="00D63234" w:rsidRPr="009C3FBC">
        <w:rPr>
          <w:rFonts w:ascii="Book Antiqua" w:hAnsi="Book Antiqua"/>
          <w:bCs/>
          <w:szCs w:val="24"/>
          <w:lang w:val="es-ES"/>
        </w:rPr>
        <w:t xml:space="preserve"> 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274D76A9" w14:textId="5F383463" w:rsidR="00ED3F35" w:rsidRPr="00ED3F35"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 xml:space="preserve">El </w:t>
      </w:r>
      <w:r>
        <w:rPr>
          <w:rFonts w:ascii="Book Antiqua" w:hAnsi="Book Antiqua"/>
          <w:bCs/>
          <w:szCs w:val="24"/>
          <w:lang w:val="es-ES"/>
        </w:rPr>
        <w:t>DTRH</w:t>
      </w:r>
      <w:r w:rsidRPr="00ED3F35">
        <w:rPr>
          <w:rFonts w:ascii="Book Antiqua" w:hAnsi="Book Antiqua"/>
          <w:bCs/>
          <w:szCs w:val="24"/>
          <w:lang w:val="es-ES"/>
        </w:rPr>
        <w:t>, en su memorial explicativo, expresó reservas sustanciales con relación a</w:t>
      </w:r>
      <w:r>
        <w:rPr>
          <w:rFonts w:ascii="Book Antiqua" w:hAnsi="Book Antiqua"/>
          <w:bCs/>
          <w:szCs w:val="24"/>
          <w:lang w:val="es-ES"/>
        </w:rPr>
        <w:t xml:space="preserve">l P. de la C. 47. </w:t>
      </w:r>
      <w:r w:rsidRPr="00ED3F35">
        <w:rPr>
          <w:rFonts w:ascii="Book Antiqua" w:hAnsi="Book Antiqua"/>
          <w:bCs/>
          <w:szCs w:val="24"/>
          <w:lang w:val="es-ES"/>
        </w:rPr>
        <w:t>En términos generales, el DTRH reconoció la naturaleza protectora de la Ley Núm. 80 y la importancia de salvaguardar los derechos de los trabajadores; sin embargo, advirtió que la reinstalación compulsoria como remedio automático podría resultar onerosa y de difícil implementación.</w:t>
      </w:r>
    </w:p>
    <w:p w14:paraId="61CDF1C2" w14:textId="77777777" w:rsidR="00ED3F35" w:rsidRPr="00ED3F35" w:rsidRDefault="00ED3F35" w:rsidP="00ED3F35">
      <w:pPr>
        <w:ind w:firstLine="720"/>
        <w:jc w:val="both"/>
        <w:rPr>
          <w:rFonts w:ascii="Book Antiqua" w:hAnsi="Book Antiqua"/>
          <w:bCs/>
          <w:szCs w:val="24"/>
          <w:lang w:val="es-ES"/>
        </w:rPr>
      </w:pPr>
    </w:p>
    <w:p w14:paraId="34C07A71" w14:textId="77777777" w:rsidR="00ED3F35" w:rsidRPr="00ED3F35"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El Departamento señaló que la reinstalación no siempre es viable ni aconsejable, especialmente en aquellos casos donde la relación obrero-patronal se ha deteriorado de forma irreversible o donde han ocurrido cambios organizacionales legítimos posteriores al despido. Asimismo, planteó que la medida podría provocar un aumento en la litigación laboral y en los conflictos en los centros de trabajo, en lugar de promover la estabilidad y la paz laboral.</w:t>
      </w:r>
    </w:p>
    <w:p w14:paraId="57260828" w14:textId="77777777" w:rsidR="00ED3F35" w:rsidRPr="00ED3F35" w:rsidRDefault="00ED3F35" w:rsidP="00ED3F35">
      <w:pPr>
        <w:ind w:firstLine="720"/>
        <w:jc w:val="both"/>
        <w:rPr>
          <w:rFonts w:ascii="Book Antiqua" w:hAnsi="Book Antiqua"/>
          <w:bCs/>
          <w:szCs w:val="24"/>
          <w:lang w:val="es-ES"/>
        </w:rPr>
      </w:pPr>
    </w:p>
    <w:p w14:paraId="07B86E2E" w14:textId="6913CED4" w:rsidR="00141E9A" w:rsidRDefault="00ED3F35" w:rsidP="00ED3F35">
      <w:pPr>
        <w:ind w:firstLine="720"/>
        <w:jc w:val="both"/>
        <w:rPr>
          <w:rFonts w:ascii="Book Antiqua" w:hAnsi="Book Antiqua"/>
          <w:bCs/>
          <w:szCs w:val="24"/>
          <w:lang w:val="es-ES"/>
        </w:rPr>
      </w:pPr>
      <w:r w:rsidRPr="00ED3F35">
        <w:rPr>
          <w:rFonts w:ascii="Book Antiqua" w:hAnsi="Book Antiqua"/>
          <w:bCs/>
          <w:szCs w:val="24"/>
          <w:lang w:val="es-ES"/>
        </w:rPr>
        <w:t>A juicio del DTRH, el esquema remedial actual de la Ley Núm. 80 cumple con su función compensatoria y disuasiva, y cualquier modificación al mismo debe evaluarse con cautela, considerando sus posibles efectos adversos sobre el empleo y la actividad económica.</w:t>
      </w:r>
    </w:p>
    <w:p w14:paraId="1D689B22" w14:textId="77777777" w:rsidR="00ED3F35" w:rsidRDefault="00ED3F35" w:rsidP="00ED3F35">
      <w:pPr>
        <w:jc w:val="both"/>
        <w:rPr>
          <w:rFonts w:ascii="Book Antiqua" w:hAnsi="Book Antiqua"/>
          <w:bCs/>
          <w:szCs w:val="24"/>
          <w:lang w:val="es-ES"/>
        </w:rPr>
      </w:pPr>
    </w:p>
    <w:p w14:paraId="0B5048F3" w14:textId="77777777" w:rsidR="00ED3F35" w:rsidRDefault="00ED3F35" w:rsidP="00ED3F35">
      <w:pPr>
        <w:jc w:val="both"/>
        <w:rPr>
          <w:rFonts w:ascii="Book Antiqua" w:hAnsi="Book Antiqua"/>
          <w:bCs/>
          <w:szCs w:val="24"/>
          <w:lang w:val="es-ES"/>
        </w:rPr>
      </w:pPr>
    </w:p>
    <w:p w14:paraId="26AAC156" w14:textId="77777777" w:rsidR="00ED3F35" w:rsidRPr="003C2D21" w:rsidRDefault="00ED3F35" w:rsidP="00ED3F35">
      <w:pPr>
        <w:jc w:val="both"/>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lastRenderedPageBreak/>
        <w:t>IMPACTO FISCAL</w:t>
      </w:r>
    </w:p>
    <w:p w14:paraId="39F84350" w14:textId="77777777" w:rsidR="00C41234" w:rsidRPr="009C3FBC" w:rsidRDefault="00C41234" w:rsidP="00ED30AA">
      <w:pPr>
        <w:jc w:val="both"/>
        <w:rPr>
          <w:rFonts w:ascii="Book Antiqua" w:hAnsi="Book Antiqua"/>
          <w:szCs w:val="24"/>
          <w:lang w:val="es-ES"/>
        </w:rPr>
      </w:pPr>
    </w:p>
    <w:p w14:paraId="655B7577" w14:textId="520AD207" w:rsidR="00931EA0" w:rsidRDefault="00ED3F35" w:rsidP="00931EA0">
      <w:pPr>
        <w:ind w:firstLine="720"/>
        <w:jc w:val="both"/>
        <w:rPr>
          <w:rFonts w:ascii="Book Antiqua" w:hAnsi="Book Antiqua"/>
          <w:szCs w:val="24"/>
          <w:lang w:val="es-ES"/>
        </w:rPr>
      </w:pPr>
      <w:r>
        <w:rPr>
          <w:rFonts w:ascii="Book Antiqua" w:hAnsi="Book Antiqua"/>
          <w:szCs w:val="24"/>
          <w:lang w:val="es-ES"/>
        </w:rPr>
        <w:t>El P. de la C.</w:t>
      </w:r>
      <w:r w:rsidRPr="00ED3F35">
        <w:rPr>
          <w:rFonts w:ascii="Book Antiqua" w:hAnsi="Book Antiqua"/>
          <w:szCs w:val="24"/>
          <w:lang w:val="es-ES"/>
        </w:rPr>
        <w:t xml:space="preserve"> 47 no conlleva un impacto fiscal directo para el Estado, toda vez que su aplicación recae sobre las relaciones obrero-patronales en el sector privado. No obstante, reconoce que la medida podría generar un impacto económico indirecto en los patronos, particularmente en aquellos casos en que la reinstalación resulte operacionalmente compleja o incompatible con la estructura del negocio.</w:t>
      </w:r>
    </w:p>
    <w:p w14:paraId="1E37E506" w14:textId="77777777" w:rsidR="00ED3F35" w:rsidRPr="009C3FBC" w:rsidRDefault="00ED3F35" w:rsidP="00931EA0">
      <w:pPr>
        <w:ind w:firstLine="720"/>
        <w:jc w:val="both"/>
        <w:rPr>
          <w:rFonts w:ascii="Book Antiqua" w:hAnsi="Book Antiqua"/>
          <w:b/>
          <w:bCs/>
          <w:szCs w:val="24"/>
          <w:lang w:val="es-ES"/>
        </w:rPr>
      </w:pP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01DD93AC" w14:textId="6ECEECC3" w:rsidR="00ED3F35" w:rsidRPr="00ED3F35" w:rsidRDefault="00ED3F35" w:rsidP="00ED3F35">
      <w:pPr>
        <w:ind w:firstLine="720"/>
        <w:jc w:val="both"/>
        <w:rPr>
          <w:rFonts w:ascii="Book Antiqua" w:hAnsi="Book Antiqua"/>
          <w:szCs w:val="24"/>
          <w:lang w:val="es-PR"/>
        </w:rPr>
      </w:pPr>
      <w:r>
        <w:rPr>
          <w:rFonts w:ascii="Book Antiqua" w:hAnsi="Book Antiqua"/>
          <w:szCs w:val="24"/>
          <w:lang w:val="es-PR"/>
        </w:rPr>
        <w:t>L</w:t>
      </w:r>
      <w:r w:rsidRPr="00ED3F35">
        <w:rPr>
          <w:rFonts w:ascii="Book Antiqua" w:hAnsi="Book Antiqua"/>
          <w:szCs w:val="24"/>
          <w:lang w:val="es-PR"/>
        </w:rPr>
        <w:t xml:space="preserve">uego de evaluar el alcance de la medida, el análisis de política pública que la sustenta y las preocupaciones expresadas por el </w:t>
      </w:r>
      <w:r>
        <w:rPr>
          <w:rFonts w:ascii="Book Antiqua" w:hAnsi="Book Antiqua"/>
          <w:szCs w:val="24"/>
          <w:lang w:val="es-PR"/>
        </w:rPr>
        <w:t>DTRH</w:t>
      </w:r>
      <w:r w:rsidRPr="00ED3F35">
        <w:rPr>
          <w:rFonts w:ascii="Book Antiqua" w:hAnsi="Book Antiqua"/>
          <w:szCs w:val="24"/>
          <w:lang w:val="es-PR"/>
        </w:rPr>
        <w:t>, la Comisión del Trabajo y Asuntos Laborales entiende que, si bien el propósito de fortalecer la protección contra los despidos injustificados es meritorio, el remedio de reinstalación obligatoria plantea serios cuestionamientos en cuanto a su viabilidad práctica y sus posibles efectos adversos en las relaciones laborales.</w:t>
      </w:r>
    </w:p>
    <w:p w14:paraId="2C76E2FC" w14:textId="77777777" w:rsidR="00ED3F35" w:rsidRPr="00ED3F35" w:rsidRDefault="00ED3F35" w:rsidP="00ED3F35">
      <w:pPr>
        <w:jc w:val="both"/>
        <w:rPr>
          <w:rFonts w:ascii="Book Antiqua" w:hAnsi="Book Antiqua"/>
          <w:szCs w:val="24"/>
          <w:lang w:val="es-PR"/>
        </w:rPr>
      </w:pPr>
    </w:p>
    <w:p w14:paraId="21CFA533" w14:textId="67EEAB8C" w:rsidR="00931EA0" w:rsidRDefault="00ED3F35" w:rsidP="00ED3F35">
      <w:pPr>
        <w:ind w:firstLine="720"/>
        <w:jc w:val="both"/>
        <w:rPr>
          <w:rFonts w:ascii="Book Antiqua" w:hAnsi="Book Antiqua"/>
          <w:szCs w:val="24"/>
          <w:lang w:val="es-PR"/>
        </w:rPr>
      </w:pPr>
      <w:r w:rsidRPr="00ED3F35">
        <w:rPr>
          <w:rFonts w:ascii="Book Antiqua" w:hAnsi="Book Antiqua"/>
          <w:szCs w:val="24"/>
          <w:lang w:val="es-PR"/>
        </w:rPr>
        <w:t>La Comisión estima que el esquema actual de la Ley Núm. 80 provee un balance razonable entre la protección del trabajador y la capacidad operacional del patrono, y que cualquier alteración sustantiva a dicho balance debe considerar mecanismos alternos menos disruptivos que la reinstalación automática.</w:t>
      </w:r>
    </w:p>
    <w:p w14:paraId="6380BE2D" w14:textId="77777777" w:rsidR="00ED3F35" w:rsidRPr="009C3FBC" w:rsidRDefault="00ED3F35" w:rsidP="00ED3F35">
      <w:pPr>
        <w:jc w:val="both"/>
        <w:rPr>
          <w:rFonts w:ascii="Book Antiqua" w:hAnsi="Book Antiqua"/>
          <w:szCs w:val="24"/>
          <w:lang w:val="es-ES"/>
        </w:rPr>
      </w:pPr>
    </w:p>
    <w:p w14:paraId="45308EBE" w14:textId="7EFAD796"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de Gobierno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Negativo sobre el </w:t>
      </w:r>
      <w:r w:rsidRPr="003052D8">
        <w:rPr>
          <w:rFonts w:ascii="Book Antiqua" w:hAnsi="Book Antiqua"/>
          <w:b/>
          <w:szCs w:val="24"/>
          <w:lang w:val="es-ES"/>
        </w:rPr>
        <w:t xml:space="preserve">Proyecto de la Cámara </w:t>
      </w:r>
      <w:r w:rsidR="00ED3F35">
        <w:rPr>
          <w:rFonts w:ascii="Book Antiqua" w:hAnsi="Book Antiqua"/>
          <w:b/>
          <w:szCs w:val="24"/>
          <w:lang w:val="es-ES"/>
        </w:rPr>
        <w:t>47</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290E329" w:rsidR="00ED30AA" w:rsidRDefault="00ED30AA" w:rsidP="00ED30AA">
      <w:pPr>
        <w:jc w:val="both"/>
        <w:rPr>
          <w:rFonts w:ascii="Book Antiqua" w:hAnsi="Book Antiqua"/>
          <w:noProof/>
          <w:szCs w:val="24"/>
          <w:lang w:val="es-ES"/>
        </w:rPr>
      </w:pPr>
    </w:p>
    <w:p w14:paraId="23D5D2C6" w14:textId="77777777" w:rsidR="00277C23" w:rsidRPr="009C3FBC" w:rsidRDefault="00277C23"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84168" w14:textId="77777777" w:rsidR="00A363DB" w:rsidRDefault="00A363DB">
      <w:r>
        <w:separator/>
      </w:r>
    </w:p>
  </w:endnote>
  <w:endnote w:type="continuationSeparator" w:id="0">
    <w:p w14:paraId="43A246DE" w14:textId="77777777" w:rsidR="00A363DB" w:rsidRDefault="00A36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426D2" w14:textId="77777777" w:rsidR="00A363DB" w:rsidRDefault="00A363DB">
      <w:r>
        <w:separator/>
      </w:r>
    </w:p>
  </w:footnote>
  <w:footnote w:type="continuationSeparator" w:id="0">
    <w:p w14:paraId="694F2578" w14:textId="77777777" w:rsidR="00A363DB" w:rsidRDefault="00A36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6D0E74D6"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ED3F35">
      <w:rPr>
        <w:rFonts w:ascii="Book Antiqua" w:hAnsi="Book Antiqua"/>
        <w:b/>
        <w:sz w:val="20"/>
        <w:lang w:val="es-PR"/>
      </w:rPr>
      <w:t>47</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36937"/>
    <w:rsid w:val="00140A28"/>
    <w:rsid w:val="00141E9A"/>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246"/>
    <w:rsid w:val="002057D6"/>
    <w:rsid w:val="002221AA"/>
    <w:rsid w:val="00233258"/>
    <w:rsid w:val="002375CB"/>
    <w:rsid w:val="00251EAD"/>
    <w:rsid w:val="002548B8"/>
    <w:rsid w:val="002618D7"/>
    <w:rsid w:val="0027727B"/>
    <w:rsid w:val="00277C23"/>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D3D5C"/>
    <w:rsid w:val="005E0522"/>
    <w:rsid w:val="005E2D25"/>
    <w:rsid w:val="005F3BF6"/>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499"/>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363DB"/>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2F95"/>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D3F35"/>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836</Words>
  <Characters>4667</Characters>
  <Application>Microsoft Office Word</Application>
  <DocSecurity>4</DocSecurity>
  <Lines>117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Carlos Y. Rosado Cruz</cp:lastModifiedBy>
  <cp:revision>2</cp:revision>
  <cp:lastPrinted>2026-02-03T19:31:00Z</cp:lastPrinted>
  <dcterms:created xsi:type="dcterms:W3CDTF">2026-02-26T20:26:00Z</dcterms:created>
  <dcterms:modified xsi:type="dcterms:W3CDTF">2026-02-26T20:26:00Z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