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39EEB4" w14:textId="2A832A65" w:rsidR="00865E05" w:rsidRDefault="00456359" w:rsidP="006F4095">
      <w:pPr>
        <w:suppressLineNumbers/>
        <w:spacing w:after="0" w:line="240" w:lineRule="auto"/>
        <w:jc w:val="center"/>
        <w:rPr>
          <w:rFonts w:ascii="Book Antiqua" w:hAnsi="Book Antiqua" w:cs="Book Antiqua"/>
          <w:sz w:val="28"/>
          <w:szCs w:val="28"/>
          <w:lang w:val="es-ES_tradnl" w:eastAsia="x-none" w:bidi="x-none"/>
        </w:rPr>
      </w:pPr>
      <w:r w:rsidRPr="006F4095">
        <w:rPr>
          <w:rFonts w:ascii="Book Antiqua" w:hAnsi="Book Antiqua" w:cs="Book Antiqua"/>
          <w:sz w:val="28"/>
          <w:szCs w:val="28"/>
          <w:lang w:val="es-ES_tradnl" w:eastAsia="x-none" w:bidi="x-none"/>
        </w:rPr>
        <w:t>GOBIERNO DE PUERTO RICO</w:t>
      </w:r>
    </w:p>
    <w:p w14:paraId="4AF52BB7" w14:textId="77777777" w:rsidR="006F4095" w:rsidRPr="006F4095" w:rsidRDefault="006F4095" w:rsidP="006F4095">
      <w:pPr>
        <w:suppressLineNumbers/>
        <w:spacing w:after="0" w:line="240" w:lineRule="auto"/>
        <w:jc w:val="center"/>
        <w:rPr>
          <w:rFonts w:ascii="Book Antiqua" w:hAnsi="Book Antiqua" w:cs="Book Antiqua"/>
          <w:lang w:val="es-ES_tradnl" w:eastAsia="x-none" w:bidi="x-none"/>
        </w:rPr>
      </w:pPr>
    </w:p>
    <w:p w14:paraId="4E873C0B" w14:textId="77777777" w:rsidR="00865E05" w:rsidRPr="00A213F0" w:rsidRDefault="00456359" w:rsidP="006F4095">
      <w:pPr>
        <w:suppressLineNumbers/>
        <w:tabs>
          <w:tab w:val="left" w:pos="648"/>
          <w:tab w:val="right" w:pos="7776"/>
          <w:tab w:val="left" w:pos="7848"/>
        </w:tabs>
        <w:spacing w:after="0" w:line="240" w:lineRule="auto"/>
        <w:rPr>
          <w:rFonts w:ascii="Book Antiqua" w:hAnsi="Book Antiqua" w:cs="Book Antiqua"/>
          <w:lang w:val="es-ES_tradnl" w:eastAsia="x-none" w:bidi="x-none"/>
        </w:rPr>
      </w:pPr>
      <w:r>
        <w:rPr>
          <w:rFonts w:ascii="Book Antiqua" w:hAnsi="Book Antiqua" w:cs="Book Antiqua"/>
          <w:lang w:val="es-ES_tradnl" w:eastAsia="x-none" w:bidi="x-none"/>
        </w:rPr>
        <w:t>20</w:t>
      </w:r>
      <w:r w:rsidR="00295D08">
        <w:rPr>
          <w:rFonts w:ascii="Book Antiqua" w:hAnsi="Book Antiqua" w:cs="Book Antiqua"/>
          <w:vertAlign w:val="superscript"/>
          <w:lang w:val="es-ES_tradnl" w:eastAsia="x-none" w:bidi="x-none"/>
        </w:rPr>
        <w:t>m</w:t>
      </w:r>
      <w:r w:rsidR="00865E05" w:rsidRPr="00A213F0">
        <w:rPr>
          <w:rFonts w:ascii="Book Antiqua" w:hAnsi="Book Antiqua" w:cs="Book Antiqua"/>
          <w:vertAlign w:val="superscript"/>
          <w:lang w:val="es-ES_tradnl" w:eastAsia="x-none" w:bidi="x-none"/>
        </w:rPr>
        <w:t>a.</w:t>
      </w:r>
      <w:r w:rsidR="00865E05" w:rsidRPr="00A213F0">
        <w:rPr>
          <w:rFonts w:ascii="Book Antiqua" w:hAnsi="Book Antiqua" w:cs="Book Antiqua"/>
          <w:lang w:val="es-ES_tradnl" w:eastAsia="x-none" w:bidi="x-none"/>
        </w:rPr>
        <w:t xml:space="preserve"> Asamblea                                                                                                         </w:t>
      </w:r>
      <w:r>
        <w:rPr>
          <w:rFonts w:ascii="Book Antiqua" w:hAnsi="Book Antiqua" w:cs="Book Antiqua"/>
          <w:lang w:val="es-ES_tradnl" w:eastAsia="x-none" w:bidi="x-none"/>
        </w:rPr>
        <w:t>1</w:t>
      </w:r>
      <w:r>
        <w:rPr>
          <w:rFonts w:ascii="Book Antiqua" w:hAnsi="Book Antiqua" w:cs="Book Antiqua"/>
          <w:vertAlign w:val="superscript"/>
          <w:lang w:val="es-ES_tradnl" w:eastAsia="x-none" w:bidi="x-none"/>
        </w:rPr>
        <w:t>ra</w:t>
      </w:r>
      <w:r w:rsidR="00865E05" w:rsidRPr="00A213F0">
        <w:rPr>
          <w:rFonts w:ascii="Book Antiqua" w:hAnsi="Book Antiqua" w:cs="Book Antiqua"/>
          <w:vertAlign w:val="superscript"/>
          <w:lang w:val="es-ES_tradnl" w:eastAsia="x-none" w:bidi="x-none"/>
        </w:rPr>
        <w:t>.</w:t>
      </w:r>
      <w:r w:rsidR="00865E05" w:rsidRPr="00A213F0">
        <w:rPr>
          <w:rFonts w:ascii="Book Antiqua" w:hAnsi="Book Antiqua" w:cs="Book Antiqua"/>
          <w:lang w:val="es-ES_tradnl" w:eastAsia="x-none" w:bidi="x-none"/>
        </w:rPr>
        <w:t xml:space="preserve"> Sesión</w:t>
      </w:r>
    </w:p>
    <w:p w14:paraId="351744DE" w14:textId="77777777" w:rsidR="00865E05" w:rsidRPr="00A213F0" w:rsidRDefault="00865E05" w:rsidP="006F4095">
      <w:pPr>
        <w:suppressLineNumbers/>
        <w:tabs>
          <w:tab w:val="left" w:pos="648"/>
          <w:tab w:val="right" w:pos="7776"/>
          <w:tab w:val="left" w:pos="7848"/>
        </w:tabs>
        <w:spacing w:after="0" w:line="240" w:lineRule="auto"/>
        <w:rPr>
          <w:rFonts w:ascii="Book Antiqua" w:hAnsi="Book Antiqua" w:cs="Book Antiqua"/>
          <w:lang w:val="es-ES_tradnl" w:eastAsia="x-none" w:bidi="x-none"/>
        </w:rPr>
      </w:pPr>
      <w:r w:rsidRPr="00A213F0">
        <w:rPr>
          <w:rFonts w:ascii="Book Antiqua" w:hAnsi="Book Antiqua" w:cs="Book Antiqua"/>
          <w:lang w:val="es-ES_tradnl" w:eastAsia="x-none" w:bidi="x-none"/>
        </w:rPr>
        <w:t xml:space="preserve">         Legislativa</w:t>
      </w:r>
      <w:r w:rsidRPr="00A213F0">
        <w:rPr>
          <w:rFonts w:ascii="Book Antiqua" w:hAnsi="Book Antiqua" w:cs="Book Antiqua"/>
          <w:lang w:val="es-ES_tradnl" w:eastAsia="x-none" w:bidi="x-none"/>
        </w:rPr>
        <w:tab/>
      </w:r>
      <w:r w:rsidRPr="00A213F0">
        <w:rPr>
          <w:rFonts w:ascii="Book Antiqua" w:hAnsi="Book Antiqua" w:cs="Book Antiqua"/>
          <w:lang w:val="es-ES_tradnl" w:eastAsia="x-none" w:bidi="x-none"/>
        </w:rPr>
        <w:tab/>
        <w:t xml:space="preserve">       Ordinaria</w:t>
      </w:r>
    </w:p>
    <w:p w14:paraId="58B9CE71" w14:textId="77777777" w:rsidR="00867C12" w:rsidRPr="00A213F0" w:rsidRDefault="00867C12" w:rsidP="006F4095">
      <w:pPr>
        <w:widowControl w:val="0"/>
        <w:suppressLineNumbers/>
        <w:autoSpaceDE w:val="0"/>
        <w:autoSpaceDN w:val="0"/>
        <w:adjustRightInd w:val="0"/>
        <w:spacing w:after="0" w:line="240" w:lineRule="auto"/>
        <w:rPr>
          <w:rFonts w:ascii="Book Antiqua" w:hAnsi="Book Antiqua" w:cs="Courier New"/>
          <w:lang w:val="es-ES_tradnl"/>
        </w:rPr>
      </w:pPr>
    </w:p>
    <w:p w14:paraId="6B319E10" w14:textId="77777777" w:rsidR="00456359" w:rsidRPr="00456359" w:rsidRDefault="00456359" w:rsidP="006F4095">
      <w:pPr>
        <w:widowControl w:val="0"/>
        <w:suppressLineNumbers/>
        <w:autoSpaceDE w:val="0"/>
        <w:autoSpaceDN w:val="0"/>
        <w:adjustRightInd w:val="0"/>
        <w:spacing w:after="0" w:line="240" w:lineRule="auto"/>
        <w:jc w:val="center"/>
        <w:outlineLvl w:val="0"/>
        <w:rPr>
          <w:rFonts w:ascii="Book Antiqua" w:hAnsi="Book Antiqua" w:cs="Courier New"/>
          <w:b/>
          <w:bCs/>
          <w:iCs/>
          <w:sz w:val="36"/>
          <w:szCs w:val="36"/>
          <w:lang w:val="es-ES_tradnl"/>
        </w:rPr>
      </w:pPr>
      <w:r w:rsidRPr="00456359">
        <w:rPr>
          <w:rFonts w:ascii="Book Antiqua" w:hAnsi="Book Antiqua" w:cs="Courier New"/>
          <w:b/>
          <w:bCs/>
          <w:iCs/>
          <w:sz w:val="36"/>
          <w:szCs w:val="36"/>
          <w:lang w:val="es-ES_tradnl"/>
        </w:rPr>
        <w:t>CÁMARA DE REPRESENTANTES</w:t>
      </w:r>
    </w:p>
    <w:p w14:paraId="6989C3EC" w14:textId="77777777" w:rsidR="00867C12" w:rsidRPr="006F4095" w:rsidRDefault="00867C12" w:rsidP="006F4095">
      <w:pPr>
        <w:widowControl w:val="0"/>
        <w:suppressLineNumbers/>
        <w:autoSpaceDE w:val="0"/>
        <w:autoSpaceDN w:val="0"/>
        <w:adjustRightInd w:val="0"/>
        <w:spacing w:after="0" w:line="240" w:lineRule="auto"/>
        <w:outlineLvl w:val="0"/>
        <w:rPr>
          <w:rFonts w:ascii="Book Antiqua" w:hAnsi="Book Antiqua" w:cs="Courier New"/>
          <w:b/>
          <w:lang w:val="es-ES_tradnl"/>
        </w:rPr>
      </w:pPr>
    </w:p>
    <w:p w14:paraId="652E152A" w14:textId="07DC6354" w:rsidR="00B2500F" w:rsidRPr="00A213F0" w:rsidRDefault="00B2500F" w:rsidP="006F4095">
      <w:pPr>
        <w:keepNext/>
        <w:keepLines/>
        <w:suppressLineNumbers/>
        <w:suppressAutoHyphens/>
        <w:spacing w:after="0" w:line="240" w:lineRule="auto"/>
        <w:jc w:val="center"/>
        <w:rPr>
          <w:rFonts w:ascii="Book Antiqua" w:hAnsi="Book Antiqua"/>
          <w:sz w:val="52"/>
          <w:szCs w:val="48"/>
          <w:lang w:val="es-ES"/>
        </w:rPr>
      </w:pPr>
      <w:r w:rsidRPr="00A213F0">
        <w:rPr>
          <w:rFonts w:ascii="Book Antiqua" w:hAnsi="Book Antiqua"/>
          <w:b/>
          <w:sz w:val="52"/>
          <w:szCs w:val="48"/>
          <w:lang w:val="es-ES"/>
        </w:rPr>
        <w:t xml:space="preserve">R. C. de </w:t>
      </w:r>
      <w:r w:rsidR="00456359">
        <w:rPr>
          <w:rFonts w:ascii="Book Antiqua" w:hAnsi="Book Antiqua"/>
          <w:b/>
          <w:sz w:val="52"/>
          <w:szCs w:val="48"/>
          <w:lang w:val="es-ES"/>
        </w:rPr>
        <w:t>C</w:t>
      </w:r>
      <w:r w:rsidRPr="00A213F0">
        <w:rPr>
          <w:rFonts w:ascii="Book Antiqua" w:hAnsi="Book Antiqua"/>
          <w:b/>
          <w:sz w:val="52"/>
          <w:szCs w:val="48"/>
          <w:lang w:val="es-ES"/>
        </w:rPr>
        <w:t xml:space="preserve">. </w:t>
      </w:r>
      <w:r w:rsidR="00FC2C35">
        <w:rPr>
          <w:rFonts w:ascii="Book Antiqua" w:hAnsi="Book Antiqua"/>
          <w:b/>
          <w:sz w:val="52"/>
          <w:szCs w:val="48"/>
          <w:lang w:val="es-ES"/>
        </w:rPr>
        <w:t>19</w:t>
      </w:r>
    </w:p>
    <w:p w14:paraId="33EEE3B2" w14:textId="77777777" w:rsidR="00B2500F" w:rsidRPr="006F4095" w:rsidRDefault="00B2500F" w:rsidP="006F4095">
      <w:pPr>
        <w:suppressLineNumbers/>
        <w:suppressAutoHyphens/>
        <w:spacing w:after="0" w:line="240" w:lineRule="auto"/>
        <w:rPr>
          <w:rFonts w:ascii="Book Antiqua" w:hAnsi="Book Antiqua"/>
          <w:lang w:val="es-ES"/>
        </w:rPr>
      </w:pPr>
    </w:p>
    <w:p w14:paraId="6EA1EBAB" w14:textId="60AD27DB" w:rsidR="00B2500F" w:rsidRDefault="006F4095" w:rsidP="006F4095">
      <w:pPr>
        <w:suppressLineNumbers/>
        <w:suppressAutoHyphens/>
        <w:spacing w:after="0" w:line="240" w:lineRule="auto"/>
        <w:jc w:val="center"/>
        <w:rPr>
          <w:rFonts w:ascii="Book Antiqua" w:hAnsi="Book Antiqua"/>
          <w:lang w:val="es-ES"/>
        </w:rPr>
      </w:pPr>
      <w:r>
        <w:rPr>
          <w:rFonts w:ascii="Book Antiqua" w:hAnsi="Book Antiqua"/>
          <w:lang w:val="es-ES"/>
        </w:rPr>
        <w:t xml:space="preserve">3 </w:t>
      </w:r>
      <w:r w:rsidRPr="00A213F0">
        <w:rPr>
          <w:rFonts w:ascii="Book Antiqua" w:hAnsi="Book Antiqua"/>
          <w:lang w:val="es-ES"/>
        </w:rPr>
        <w:t xml:space="preserve">DE </w:t>
      </w:r>
      <w:r>
        <w:rPr>
          <w:rFonts w:ascii="Book Antiqua" w:hAnsi="Book Antiqua"/>
          <w:lang w:val="es-ES"/>
        </w:rPr>
        <w:t>ENERO</w:t>
      </w:r>
      <w:r w:rsidRPr="00A213F0">
        <w:rPr>
          <w:rFonts w:ascii="Book Antiqua" w:hAnsi="Book Antiqua"/>
          <w:lang w:val="es-ES"/>
        </w:rPr>
        <w:t xml:space="preserve"> DE 20</w:t>
      </w:r>
      <w:r>
        <w:rPr>
          <w:rFonts w:ascii="Book Antiqua" w:hAnsi="Book Antiqua"/>
          <w:lang w:val="es-ES"/>
        </w:rPr>
        <w:t>25</w:t>
      </w:r>
    </w:p>
    <w:p w14:paraId="041F1BD6" w14:textId="77777777" w:rsidR="006F4095" w:rsidRPr="00A213F0" w:rsidRDefault="006F4095" w:rsidP="006F4095">
      <w:pPr>
        <w:suppressLineNumbers/>
        <w:suppressAutoHyphens/>
        <w:spacing w:after="0" w:line="240" w:lineRule="auto"/>
        <w:jc w:val="center"/>
        <w:rPr>
          <w:rFonts w:ascii="Book Antiqua" w:hAnsi="Book Antiqua"/>
          <w:lang w:val="es-ES"/>
        </w:rPr>
      </w:pPr>
    </w:p>
    <w:p w14:paraId="54DAEE50" w14:textId="72169E68" w:rsidR="00B2500F" w:rsidRPr="00486F35" w:rsidRDefault="00B2500F" w:rsidP="006F4095">
      <w:pPr>
        <w:suppressLineNumbers/>
        <w:spacing w:after="0" w:line="240" w:lineRule="auto"/>
        <w:jc w:val="center"/>
        <w:rPr>
          <w:rFonts w:ascii="Book Antiqua" w:hAnsi="Book Antiqua"/>
          <w:spacing w:val="-3"/>
          <w:lang w:val="es-PR"/>
        </w:rPr>
      </w:pPr>
      <w:r w:rsidRPr="00A213F0">
        <w:rPr>
          <w:rFonts w:ascii="Book Antiqua" w:hAnsi="Book Antiqua" w:cs="Times New Roman"/>
          <w:spacing w:val="-3"/>
          <w:lang w:val="es-ES"/>
        </w:rPr>
        <w:t xml:space="preserve">Presentada por </w:t>
      </w:r>
      <w:r w:rsidR="00456359">
        <w:rPr>
          <w:rFonts w:ascii="Book Antiqua" w:hAnsi="Book Antiqua" w:cs="Times New Roman"/>
          <w:spacing w:val="-3"/>
          <w:lang w:val="es-PR"/>
        </w:rPr>
        <w:t>el</w:t>
      </w:r>
      <w:r w:rsidR="00486F35" w:rsidRPr="00486F35">
        <w:rPr>
          <w:rFonts w:ascii="Book Antiqua" w:hAnsi="Book Antiqua" w:cs="Times New Roman"/>
          <w:spacing w:val="-3"/>
          <w:lang w:val="es-PR"/>
        </w:rPr>
        <w:t xml:space="preserve"> </w:t>
      </w:r>
      <w:r w:rsidR="006F4095">
        <w:rPr>
          <w:rFonts w:ascii="Book Antiqua" w:hAnsi="Book Antiqua" w:cs="Times New Roman"/>
          <w:spacing w:val="-3"/>
          <w:lang w:val="es-PR"/>
        </w:rPr>
        <w:t>representante</w:t>
      </w:r>
      <w:r w:rsidR="00486F35" w:rsidRPr="00486F35">
        <w:rPr>
          <w:rFonts w:ascii="Book Antiqua" w:hAnsi="Book Antiqua" w:cs="Times New Roman"/>
          <w:spacing w:val="-3"/>
          <w:lang w:val="es-PR"/>
        </w:rPr>
        <w:t xml:space="preserve"> </w:t>
      </w:r>
      <w:r w:rsidR="00456359">
        <w:rPr>
          <w:rFonts w:ascii="Book Antiqua" w:hAnsi="Book Antiqua" w:cs="Times New Roman"/>
          <w:i/>
          <w:spacing w:val="-3"/>
          <w:lang w:val="es-PR"/>
        </w:rPr>
        <w:t xml:space="preserve">Nieves Rosario </w:t>
      </w:r>
    </w:p>
    <w:p w14:paraId="6DF5622E" w14:textId="77777777" w:rsidR="003903A3" w:rsidRPr="009D0708" w:rsidRDefault="003903A3" w:rsidP="006F4095">
      <w:pPr>
        <w:suppressLineNumbers/>
        <w:spacing w:after="0" w:line="240" w:lineRule="auto"/>
        <w:rPr>
          <w:rFonts w:ascii="Book Antiqua" w:hAnsi="Book Antiqua"/>
          <w:sz w:val="16"/>
          <w:szCs w:val="16"/>
          <w:lang w:val="es-ES"/>
        </w:rPr>
      </w:pPr>
    </w:p>
    <w:p w14:paraId="79C466DC" w14:textId="34E85E45" w:rsidR="009D0708" w:rsidRPr="006F4095" w:rsidRDefault="003903A3" w:rsidP="006F4095">
      <w:pPr>
        <w:suppressLineNumbers/>
        <w:spacing w:after="0" w:line="240" w:lineRule="auto"/>
        <w:jc w:val="center"/>
        <w:rPr>
          <w:rFonts w:ascii="Book Antiqua" w:hAnsi="Book Antiqua"/>
          <w:iCs/>
          <w:lang w:val="es-PR"/>
        </w:rPr>
      </w:pPr>
      <w:r w:rsidRPr="006F4095">
        <w:rPr>
          <w:rFonts w:ascii="Book Antiqua" w:hAnsi="Book Antiqua"/>
          <w:iCs/>
          <w:lang w:val="es-ES"/>
        </w:rPr>
        <w:t xml:space="preserve"> </w:t>
      </w:r>
      <w:r w:rsidR="009D0708" w:rsidRPr="006F4095">
        <w:rPr>
          <w:rFonts w:ascii="Book Antiqua" w:hAnsi="Book Antiqua"/>
          <w:iCs/>
          <w:lang w:val="es-ES"/>
        </w:rPr>
        <w:t xml:space="preserve">Referida a la Comisión de </w:t>
      </w:r>
      <w:r w:rsidR="006F4095">
        <w:rPr>
          <w:rFonts w:ascii="Book Antiqua" w:hAnsi="Book Antiqua"/>
          <w:iCs/>
          <w:lang w:val="es-ES"/>
        </w:rPr>
        <w:t>Transportación e Infraestructura</w:t>
      </w:r>
    </w:p>
    <w:p w14:paraId="7F1FED83" w14:textId="77777777" w:rsidR="00CA5AD6" w:rsidRPr="00A213F0" w:rsidRDefault="00CA5AD6" w:rsidP="006F4095">
      <w:pPr>
        <w:suppressLineNumbers/>
        <w:spacing w:after="0" w:line="240" w:lineRule="auto"/>
        <w:jc w:val="center"/>
        <w:rPr>
          <w:rFonts w:ascii="Book Antiqua" w:hAnsi="Book Antiqua"/>
          <w:b/>
          <w:lang w:val="es-ES"/>
        </w:rPr>
      </w:pPr>
    </w:p>
    <w:p w14:paraId="06E7A8D0" w14:textId="77777777" w:rsidR="00B2500F" w:rsidRPr="006F4095" w:rsidRDefault="00B2500F" w:rsidP="006F4095">
      <w:pPr>
        <w:suppressLineNumbers/>
        <w:spacing w:after="0" w:line="240" w:lineRule="auto"/>
        <w:jc w:val="center"/>
        <w:rPr>
          <w:rFonts w:ascii="Book Antiqua" w:hAnsi="Book Antiqua"/>
          <w:b/>
          <w:sz w:val="28"/>
          <w:szCs w:val="32"/>
          <w:u w:val="single"/>
          <w:lang w:val="es-ES"/>
        </w:rPr>
      </w:pPr>
      <w:r w:rsidRPr="006F4095">
        <w:rPr>
          <w:rFonts w:ascii="Book Antiqua" w:hAnsi="Book Antiqua"/>
          <w:b/>
          <w:sz w:val="28"/>
          <w:szCs w:val="32"/>
          <w:lang w:val="es-ES"/>
        </w:rPr>
        <w:t>RESOLUCIÓN CONJUNTA</w:t>
      </w:r>
    </w:p>
    <w:p w14:paraId="0043EE89" w14:textId="77777777" w:rsidR="00B2500F" w:rsidRPr="00A213F0" w:rsidRDefault="00B2500F" w:rsidP="006F4095">
      <w:pPr>
        <w:suppressLineNumbers/>
        <w:spacing w:after="0" w:line="240" w:lineRule="auto"/>
        <w:jc w:val="center"/>
        <w:rPr>
          <w:rFonts w:ascii="Book Antiqua" w:hAnsi="Book Antiqua"/>
          <w:lang w:val="es-ES"/>
        </w:rPr>
      </w:pPr>
    </w:p>
    <w:p w14:paraId="4922AF5F" w14:textId="77777777" w:rsidR="007C3C57" w:rsidRDefault="007C3C57" w:rsidP="006F4095">
      <w:pPr>
        <w:suppressLineNumbers/>
        <w:spacing w:after="0" w:line="240" w:lineRule="auto"/>
        <w:ind w:left="360" w:hanging="360"/>
        <w:jc w:val="both"/>
        <w:rPr>
          <w:rFonts w:ascii="Book Antiqua" w:hAnsi="Book Antiqua"/>
          <w:lang w:val="es-PR"/>
        </w:rPr>
      </w:pPr>
      <w:r w:rsidRPr="00A213F0">
        <w:rPr>
          <w:rFonts w:ascii="Book Antiqua" w:hAnsi="Book Antiqua"/>
          <w:lang w:val="es-ES_tradnl"/>
        </w:rPr>
        <w:t xml:space="preserve">Para </w:t>
      </w:r>
      <w:r w:rsidRPr="00A213F0">
        <w:rPr>
          <w:rFonts w:ascii="Book Antiqua" w:hAnsi="Book Antiqua"/>
          <w:lang w:val="es-PR"/>
        </w:rPr>
        <w:t>ordenar al Departamento de Transportación y Obras Públicas y a la Autoridad de Carreteras y Transportación llevar a cabo todas las gestiones necesarias con LUMA Energy, la Autoridad de Energía Eléctrica, o cualquier otra entidad correspondiente, para la instalación de</w:t>
      </w:r>
      <w:r w:rsidR="00CD553D">
        <w:rPr>
          <w:rFonts w:ascii="Book Antiqua" w:hAnsi="Book Antiqua"/>
          <w:lang w:val="es-PR"/>
        </w:rPr>
        <w:t xml:space="preserve"> </w:t>
      </w:r>
      <w:r w:rsidR="00FF401B">
        <w:rPr>
          <w:rFonts w:ascii="Book Antiqua" w:hAnsi="Book Antiqua"/>
          <w:lang w:val="es-PR"/>
        </w:rPr>
        <w:t>alumbrado en la Carretera PR-2</w:t>
      </w:r>
      <w:r w:rsidRPr="00A213F0">
        <w:rPr>
          <w:rFonts w:ascii="Book Antiqua" w:hAnsi="Book Antiqua"/>
          <w:lang w:val="es-PR"/>
        </w:rPr>
        <w:t xml:space="preserve"> en la jurisdicción de los Municipios de </w:t>
      </w:r>
      <w:r w:rsidR="00FF401B" w:rsidRPr="00FF401B">
        <w:rPr>
          <w:rFonts w:ascii="Book Antiqua" w:hAnsi="Book Antiqua"/>
          <w:lang w:val="es-PR"/>
        </w:rPr>
        <w:tab/>
        <w:t>San Juan, Guaynabo, Bayamón, Toa Baja, Dorado, Vega Alta, Vega Baja, Manatí, Barceloneta, Arecibo, Hatillo, Camuy, Quebradillas, Isabela, Moca, Aguadilla, Aguada, Añasco, Mayagüez, Hormigueros, San Germán, Sabana Grande, Guánica, Yauco, Guayanilla, Peñuelas, Ponce</w:t>
      </w:r>
      <w:r w:rsidR="00F7155A" w:rsidRPr="00F7155A">
        <w:rPr>
          <w:rFonts w:ascii="Book Antiqua" w:hAnsi="Book Antiqua"/>
          <w:lang w:val="es-PR"/>
        </w:rPr>
        <w:t>; disponer la procedencia de fondos para las obras ordenadas; y para otros fines relacionados.</w:t>
      </w:r>
    </w:p>
    <w:p w14:paraId="6516F88B" w14:textId="77777777" w:rsidR="006F4095" w:rsidRPr="00A213F0" w:rsidRDefault="006F4095" w:rsidP="006F4095">
      <w:pPr>
        <w:suppressLineNumbers/>
        <w:spacing w:after="0" w:line="240" w:lineRule="auto"/>
        <w:ind w:left="360" w:hanging="360"/>
        <w:jc w:val="both"/>
        <w:rPr>
          <w:rFonts w:ascii="Book Antiqua" w:hAnsi="Book Antiqua"/>
          <w:lang w:val="es-PR"/>
        </w:rPr>
      </w:pPr>
    </w:p>
    <w:p w14:paraId="130DF176" w14:textId="3CA5C520" w:rsidR="00B2500F" w:rsidRPr="00A213F0" w:rsidRDefault="00B2500F" w:rsidP="006F4095">
      <w:pPr>
        <w:suppressLineNumbers/>
        <w:spacing w:after="0" w:line="240" w:lineRule="auto"/>
        <w:jc w:val="center"/>
        <w:rPr>
          <w:rFonts w:ascii="Book Antiqua" w:hAnsi="Book Antiqua"/>
          <w:szCs w:val="28"/>
          <w:lang w:val="es-ES"/>
        </w:rPr>
      </w:pPr>
      <w:r w:rsidRPr="00A213F0">
        <w:rPr>
          <w:rFonts w:ascii="Book Antiqua" w:hAnsi="Book Antiqua"/>
          <w:szCs w:val="28"/>
          <w:lang w:val="es-ES"/>
        </w:rPr>
        <w:t>EXPOSICIÓN DE MOTIVOS</w:t>
      </w:r>
    </w:p>
    <w:p w14:paraId="18F4FBEF" w14:textId="77777777" w:rsidR="00DE30FF" w:rsidRPr="006F4095" w:rsidRDefault="00DE30FF" w:rsidP="006F4095">
      <w:pPr>
        <w:suppressLineNumbers/>
        <w:spacing w:after="0" w:line="240" w:lineRule="auto"/>
        <w:ind w:firstLine="360"/>
        <w:jc w:val="both"/>
        <w:rPr>
          <w:rFonts w:ascii="Book Antiqua" w:hAnsi="Book Antiqua"/>
          <w:lang w:val="es-ES"/>
        </w:rPr>
      </w:pPr>
    </w:p>
    <w:p w14:paraId="0971BEEB" w14:textId="77777777" w:rsidR="004D2117" w:rsidRDefault="004D2117" w:rsidP="006F4095">
      <w:pPr>
        <w:suppressLineNumbers/>
        <w:spacing w:after="0" w:line="240" w:lineRule="auto"/>
        <w:ind w:firstLine="706"/>
        <w:jc w:val="both"/>
        <w:rPr>
          <w:rFonts w:ascii="Book Antiqua" w:hAnsi="Book Antiqua"/>
          <w:lang w:val="es-ES"/>
        </w:rPr>
      </w:pPr>
      <w:r w:rsidRPr="00A213F0">
        <w:rPr>
          <w:rFonts w:ascii="Book Antiqua" w:hAnsi="Book Antiqua"/>
          <w:lang w:val="es-ES"/>
        </w:rPr>
        <w:t xml:space="preserve">Durante </w:t>
      </w:r>
      <w:r w:rsidR="00281E51" w:rsidRPr="00A213F0">
        <w:rPr>
          <w:rFonts w:ascii="Book Antiqua" w:hAnsi="Book Antiqua"/>
          <w:lang w:val="es-ES"/>
        </w:rPr>
        <w:t>décadas, las condiciones de las carreteras en Puerto Rico han sido, con razón, motivo de señalamientos y críticas, debido a su precario estado. La falta de rotulación y el deterioro del pavimento han sido tradicionalmente las deficiencias más señaladas por la ciudadanía general.</w:t>
      </w:r>
    </w:p>
    <w:p w14:paraId="313F9C1D" w14:textId="77777777" w:rsidR="006F4095" w:rsidRPr="00A213F0" w:rsidRDefault="006F4095" w:rsidP="006F4095">
      <w:pPr>
        <w:suppressLineNumbers/>
        <w:spacing w:after="0" w:line="240" w:lineRule="auto"/>
        <w:ind w:firstLine="706"/>
        <w:jc w:val="both"/>
        <w:rPr>
          <w:rFonts w:ascii="Book Antiqua" w:hAnsi="Book Antiqua"/>
          <w:lang w:val="es-ES"/>
        </w:rPr>
      </w:pPr>
    </w:p>
    <w:p w14:paraId="6BB5EE99" w14:textId="77777777" w:rsidR="00D62B02" w:rsidRDefault="00D62B02" w:rsidP="006F4095">
      <w:pPr>
        <w:suppressLineNumbers/>
        <w:spacing w:after="0" w:line="240" w:lineRule="auto"/>
        <w:ind w:firstLine="706"/>
        <w:jc w:val="both"/>
        <w:rPr>
          <w:rFonts w:ascii="Book Antiqua" w:hAnsi="Book Antiqua"/>
          <w:lang w:val="es-ES"/>
        </w:rPr>
      </w:pPr>
      <w:r w:rsidRPr="00A213F0">
        <w:rPr>
          <w:rFonts w:ascii="Book Antiqua" w:hAnsi="Book Antiqua"/>
          <w:lang w:val="es-ES"/>
        </w:rPr>
        <w:t>Pese a los múltiples esfuerzos por mejorar las condiciones de las carreteras del país,</w:t>
      </w:r>
      <w:r w:rsidR="00F64031" w:rsidRPr="00A213F0">
        <w:rPr>
          <w:rFonts w:ascii="Book Antiqua" w:hAnsi="Book Antiqua"/>
          <w:lang w:val="es-ES"/>
        </w:rPr>
        <w:t xml:space="preserve"> esto no ha sido suficiente para optimizar la experiencia de los conductores en todas las áreas. Recientemente, se ha levantado bandera sobre la poca o ninguna iluminación con la que cuentan distintas carreteras de </w:t>
      </w:r>
      <w:r w:rsidR="00F929C3">
        <w:rPr>
          <w:rFonts w:ascii="Book Antiqua" w:hAnsi="Book Antiqua"/>
          <w:lang w:val="es-ES"/>
        </w:rPr>
        <w:t>Puerto R</w:t>
      </w:r>
      <w:r w:rsidR="00CD553D">
        <w:rPr>
          <w:rFonts w:ascii="Book Antiqua" w:hAnsi="Book Antiqua"/>
          <w:lang w:val="es-ES"/>
        </w:rPr>
        <w:t>ico, incluyendo la PR-</w:t>
      </w:r>
      <w:r w:rsidR="00FF401B">
        <w:rPr>
          <w:rFonts w:ascii="Book Antiqua" w:hAnsi="Book Antiqua"/>
          <w:lang w:val="es-ES"/>
        </w:rPr>
        <w:t>2</w:t>
      </w:r>
      <w:r w:rsidR="00F64031" w:rsidRPr="00A213F0">
        <w:rPr>
          <w:rFonts w:ascii="Book Antiqua" w:hAnsi="Book Antiqua"/>
          <w:lang w:val="es-ES"/>
        </w:rPr>
        <w:t xml:space="preserve">, la cual comprende los pueblos de </w:t>
      </w:r>
      <w:r w:rsidR="00FF401B" w:rsidRPr="00FF401B">
        <w:rPr>
          <w:rFonts w:ascii="Book Antiqua" w:hAnsi="Book Antiqua"/>
          <w:lang w:val="es-PR"/>
        </w:rPr>
        <w:t xml:space="preserve">San Juan, Guaynabo, Bayamón, Toa Baja, Dorado, Vega Alta, Vega Baja, Manatí, Barceloneta, Arecibo, Hatillo, Camuy, Quebradillas, Isabela, Moca, </w:t>
      </w:r>
      <w:r w:rsidR="00FF401B" w:rsidRPr="00FF401B">
        <w:rPr>
          <w:rFonts w:ascii="Book Antiqua" w:hAnsi="Book Antiqua"/>
          <w:lang w:val="es-PR"/>
        </w:rPr>
        <w:lastRenderedPageBreak/>
        <w:t>Aguadilla, Aguada, Añasco, Mayagüez, Hormigueros, San Germán, Sabana Grande, Guánica, Yauco, Guayanilla, Peñuelas, Ponce</w:t>
      </w:r>
      <w:r w:rsidR="00F64031" w:rsidRPr="00A213F0">
        <w:rPr>
          <w:rFonts w:ascii="Book Antiqua" w:hAnsi="Book Antiqua"/>
          <w:lang w:val="es-ES"/>
        </w:rPr>
        <w:t>.</w:t>
      </w:r>
    </w:p>
    <w:p w14:paraId="53E4D8B6" w14:textId="77777777" w:rsidR="006F4095" w:rsidRPr="00A213F0" w:rsidRDefault="006F4095" w:rsidP="006F4095">
      <w:pPr>
        <w:suppressLineNumbers/>
        <w:spacing w:after="0" w:line="240" w:lineRule="auto"/>
        <w:ind w:firstLine="706"/>
        <w:jc w:val="both"/>
        <w:rPr>
          <w:rFonts w:ascii="Book Antiqua" w:hAnsi="Book Antiqua"/>
          <w:lang w:val="es-ES"/>
        </w:rPr>
      </w:pPr>
    </w:p>
    <w:p w14:paraId="3D8F4A62" w14:textId="77777777" w:rsidR="00F64031" w:rsidRDefault="00F64031" w:rsidP="006F4095">
      <w:pPr>
        <w:suppressLineNumbers/>
        <w:spacing w:after="0" w:line="240" w:lineRule="auto"/>
        <w:ind w:firstLine="706"/>
        <w:jc w:val="both"/>
        <w:rPr>
          <w:rFonts w:ascii="Book Antiqua" w:hAnsi="Book Antiqua"/>
          <w:lang w:val="es-ES"/>
        </w:rPr>
      </w:pPr>
      <w:r w:rsidRPr="00A213F0">
        <w:rPr>
          <w:rFonts w:ascii="Book Antiqua" w:hAnsi="Book Antiqua"/>
          <w:lang w:val="es-ES"/>
        </w:rPr>
        <w:t>La falta de iluminación representa un serio problema de seguridad para todas las personas que transitan en horas de la noche, toda vez que no es posible observar con claridad la condición del pavimento, el tramo recorrido las vallas de seguridad y, en ocasiones, también se dificulta el poder ver con claridad a los demás vehículos alrededor. Esto puede provocar choques vehiculares y hasta accidentes fatales.</w:t>
      </w:r>
    </w:p>
    <w:p w14:paraId="1A2D4AA9" w14:textId="77777777" w:rsidR="006F4095" w:rsidRPr="00A213F0" w:rsidRDefault="006F4095" w:rsidP="006F4095">
      <w:pPr>
        <w:suppressLineNumbers/>
        <w:spacing w:after="0" w:line="240" w:lineRule="auto"/>
        <w:ind w:firstLine="706"/>
        <w:jc w:val="both"/>
        <w:rPr>
          <w:rFonts w:ascii="Book Antiqua" w:hAnsi="Book Antiqua"/>
          <w:lang w:val="es-ES"/>
        </w:rPr>
      </w:pPr>
    </w:p>
    <w:p w14:paraId="3D257389" w14:textId="77777777" w:rsidR="00F64031" w:rsidRDefault="00F64031" w:rsidP="006F4095">
      <w:pPr>
        <w:suppressLineNumbers/>
        <w:spacing w:after="0" w:line="240" w:lineRule="auto"/>
        <w:ind w:firstLine="706"/>
        <w:jc w:val="both"/>
        <w:rPr>
          <w:rFonts w:ascii="Book Antiqua" w:hAnsi="Book Antiqua"/>
          <w:lang w:val="es-ES"/>
        </w:rPr>
      </w:pPr>
      <w:r w:rsidRPr="00A213F0">
        <w:rPr>
          <w:rFonts w:ascii="Book Antiqua" w:hAnsi="Book Antiqua"/>
          <w:lang w:val="es-ES"/>
        </w:rPr>
        <w:t>El Gobierno es responsable de velar por la seguridad de la ciudadanía, así como por</w:t>
      </w:r>
      <w:r w:rsidR="00590821" w:rsidRPr="00A213F0">
        <w:rPr>
          <w:rFonts w:ascii="Book Antiqua" w:hAnsi="Book Antiqua"/>
          <w:lang w:val="es-ES"/>
        </w:rPr>
        <w:t xml:space="preserve"> la eficiencia en los servicios ofrecidos y</w:t>
      </w:r>
      <w:r w:rsidRPr="00A213F0">
        <w:rPr>
          <w:rFonts w:ascii="Book Antiqua" w:hAnsi="Book Antiqua"/>
          <w:lang w:val="es-ES"/>
        </w:rPr>
        <w:t xml:space="preserve"> el buen uso de </w:t>
      </w:r>
      <w:r w:rsidR="00590821" w:rsidRPr="00A213F0">
        <w:rPr>
          <w:rFonts w:ascii="Book Antiqua" w:hAnsi="Book Antiqua"/>
          <w:lang w:val="es-ES"/>
        </w:rPr>
        <w:t>los fondos públicos locales y federales.</w:t>
      </w:r>
    </w:p>
    <w:p w14:paraId="6ED2F8D2" w14:textId="77777777" w:rsidR="006F4095" w:rsidRPr="00A213F0" w:rsidRDefault="006F4095" w:rsidP="006F4095">
      <w:pPr>
        <w:suppressLineNumbers/>
        <w:spacing w:after="0" w:line="240" w:lineRule="auto"/>
        <w:ind w:firstLine="706"/>
        <w:jc w:val="both"/>
        <w:rPr>
          <w:rFonts w:ascii="Book Antiqua" w:hAnsi="Book Antiqua"/>
          <w:lang w:val="es-ES"/>
        </w:rPr>
      </w:pPr>
    </w:p>
    <w:p w14:paraId="60CE11C1" w14:textId="77777777" w:rsidR="004D2117" w:rsidRPr="00A213F0" w:rsidRDefault="004D2117" w:rsidP="006F4095">
      <w:pPr>
        <w:suppressLineNumbers/>
        <w:spacing w:after="0" w:line="240" w:lineRule="auto"/>
        <w:ind w:firstLine="706"/>
        <w:jc w:val="both"/>
        <w:rPr>
          <w:rFonts w:ascii="Book Antiqua" w:hAnsi="Book Antiqua"/>
          <w:lang w:val="es-ES"/>
        </w:rPr>
      </w:pPr>
      <w:r w:rsidRPr="00A213F0">
        <w:rPr>
          <w:rFonts w:ascii="Book Antiqua" w:hAnsi="Book Antiqua"/>
          <w:lang w:val="es-ES"/>
        </w:rPr>
        <w:t xml:space="preserve">Ante </w:t>
      </w:r>
      <w:r w:rsidR="00590821" w:rsidRPr="00A213F0">
        <w:rPr>
          <w:rFonts w:ascii="Book Antiqua" w:hAnsi="Book Antiqua"/>
          <w:lang w:val="es-ES"/>
        </w:rPr>
        <w:t>el riesgo inminente que representa la falta de iluminación en las carreteras del país</w:t>
      </w:r>
      <w:r w:rsidRPr="00A213F0">
        <w:rPr>
          <w:rFonts w:ascii="Book Antiqua" w:hAnsi="Book Antiqua"/>
          <w:lang w:val="es-ES"/>
        </w:rPr>
        <w:t xml:space="preserve">, </w:t>
      </w:r>
      <w:r w:rsidR="00590821" w:rsidRPr="00A213F0">
        <w:rPr>
          <w:rFonts w:ascii="Book Antiqua" w:hAnsi="Book Antiqua"/>
          <w:lang w:val="es-ES"/>
        </w:rPr>
        <w:t xml:space="preserve">la Asamblea Legislativa, mediante esta medida, ordena </w:t>
      </w:r>
      <w:r w:rsidR="00E9739E" w:rsidRPr="00A213F0">
        <w:rPr>
          <w:rFonts w:ascii="Book Antiqua" w:hAnsi="Book Antiqua"/>
          <w:lang w:val="es-ES"/>
        </w:rPr>
        <w:t>que,</w:t>
      </w:r>
      <w:r w:rsidR="00590821" w:rsidRPr="00A213F0">
        <w:rPr>
          <w:rFonts w:ascii="Book Antiqua" w:hAnsi="Book Antiqua"/>
          <w:lang w:val="es-ES"/>
        </w:rPr>
        <w:t xml:space="preserve"> de manera inmediata, los entes correspondientes del Gobierno Central resuelvan el problema de iluminación que enfrenta la </w:t>
      </w:r>
      <w:r w:rsidR="00FF401B">
        <w:rPr>
          <w:rFonts w:ascii="Book Antiqua" w:hAnsi="Book Antiqua"/>
          <w:lang w:val="es-ES"/>
        </w:rPr>
        <w:t>Carretera PR-2</w:t>
      </w:r>
      <w:r w:rsidR="00590821" w:rsidRPr="00A213F0">
        <w:rPr>
          <w:rFonts w:ascii="Book Antiqua" w:hAnsi="Book Antiqua"/>
          <w:lang w:val="es-ES"/>
        </w:rPr>
        <w:t>, ya sea mediante la reparación del alumbrado o instalando un nuevo sistema.</w:t>
      </w:r>
    </w:p>
    <w:p w14:paraId="5C8C01C9" w14:textId="77777777" w:rsidR="00295D08" w:rsidRDefault="00295D08" w:rsidP="006F4095">
      <w:pPr>
        <w:suppressLineNumbers/>
        <w:spacing w:after="0" w:line="240" w:lineRule="auto"/>
        <w:jc w:val="both"/>
        <w:rPr>
          <w:rFonts w:ascii="Book Antiqua" w:hAnsi="Book Antiqua"/>
          <w:b/>
          <w:lang w:val="es-ES"/>
        </w:rPr>
      </w:pPr>
    </w:p>
    <w:p w14:paraId="022D72B6" w14:textId="77777777" w:rsidR="00676E23" w:rsidRPr="006F4095" w:rsidRDefault="00292A8B" w:rsidP="006F4095">
      <w:pPr>
        <w:suppressLineNumbers/>
        <w:spacing w:after="0" w:line="480" w:lineRule="auto"/>
        <w:jc w:val="both"/>
        <w:rPr>
          <w:rFonts w:ascii="Book Antiqua" w:hAnsi="Book Antiqua"/>
          <w:bCs/>
          <w:i/>
          <w:iCs/>
          <w:lang w:val="es-ES"/>
        </w:rPr>
      </w:pPr>
      <w:r w:rsidRPr="006F4095">
        <w:rPr>
          <w:rFonts w:ascii="Book Antiqua" w:hAnsi="Book Antiqua"/>
          <w:bCs/>
          <w:i/>
          <w:iCs/>
          <w:lang w:val="es-ES"/>
        </w:rPr>
        <w:t>RESUÉLVESE POR LA ASAMB</w:t>
      </w:r>
      <w:r w:rsidR="00676E23" w:rsidRPr="006F4095">
        <w:rPr>
          <w:rFonts w:ascii="Book Antiqua" w:hAnsi="Book Antiqua"/>
          <w:bCs/>
          <w:i/>
          <w:iCs/>
          <w:lang w:val="es-ES"/>
        </w:rPr>
        <w:t>LEA LEGISLATIVA DE PUERTO RICO:</w:t>
      </w:r>
    </w:p>
    <w:p w14:paraId="249658CE" w14:textId="77777777" w:rsidR="004D2117" w:rsidRPr="00A213F0" w:rsidRDefault="00C1062C" w:rsidP="006F4095">
      <w:pPr>
        <w:spacing w:after="0" w:line="480" w:lineRule="auto"/>
        <w:ind w:firstLine="706"/>
        <w:jc w:val="both"/>
        <w:rPr>
          <w:rFonts w:ascii="Book Antiqua" w:hAnsi="Book Antiqua"/>
          <w:lang w:val="es-PR"/>
        </w:rPr>
      </w:pPr>
      <w:r w:rsidRPr="00A213F0">
        <w:rPr>
          <w:rFonts w:ascii="Book Antiqua" w:hAnsi="Book Antiqua"/>
          <w:lang w:val="es-ES"/>
        </w:rPr>
        <w:t>Sección 1.</w:t>
      </w:r>
      <w:r w:rsidR="00F50D81" w:rsidRPr="00A213F0">
        <w:rPr>
          <w:rFonts w:ascii="Book Antiqua" w:hAnsi="Book Antiqua"/>
          <w:lang w:val="es-ES"/>
        </w:rPr>
        <w:t>-</w:t>
      </w:r>
      <w:r w:rsidRPr="00A213F0">
        <w:rPr>
          <w:rFonts w:ascii="Book Antiqua" w:hAnsi="Book Antiqua"/>
          <w:lang w:val="es-ES"/>
        </w:rPr>
        <w:t xml:space="preserve"> </w:t>
      </w:r>
      <w:r w:rsidR="00281E51" w:rsidRPr="00A213F0">
        <w:rPr>
          <w:rFonts w:ascii="Book Antiqua" w:hAnsi="Book Antiqua"/>
          <w:lang w:val="es-PR"/>
        </w:rPr>
        <w:t>Se ordena al Departamento de Transportación y Obras Públicas y a la Autoridad</w:t>
      </w:r>
      <w:r w:rsidR="00590821" w:rsidRPr="00A213F0">
        <w:rPr>
          <w:rFonts w:ascii="Book Antiqua" w:hAnsi="Book Antiqua"/>
          <w:lang w:val="es-PR"/>
        </w:rPr>
        <w:t xml:space="preserve"> de Carreteras y Transportación</w:t>
      </w:r>
      <w:r w:rsidR="00281E51" w:rsidRPr="00A213F0">
        <w:rPr>
          <w:rFonts w:ascii="Book Antiqua" w:hAnsi="Book Antiqua"/>
          <w:lang w:val="es-PR"/>
        </w:rPr>
        <w:t xml:space="preserve"> llevar a cabo todas las gestiones necesarias con LUMA Energy, la Autoridad de energía Eléctrica de Puerto Rico</w:t>
      </w:r>
      <w:r w:rsidR="00590821" w:rsidRPr="00A213F0">
        <w:rPr>
          <w:rFonts w:ascii="Book Antiqua" w:hAnsi="Book Antiqua"/>
          <w:lang w:val="es-PR"/>
        </w:rPr>
        <w:t>,</w:t>
      </w:r>
      <w:r w:rsidR="00281E51" w:rsidRPr="00A213F0">
        <w:rPr>
          <w:rFonts w:ascii="Book Antiqua" w:hAnsi="Book Antiqua"/>
          <w:lang w:val="es-PR"/>
        </w:rPr>
        <w:t xml:space="preserve"> o cualquier otra entidad </w:t>
      </w:r>
      <w:r w:rsidR="00590821" w:rsidRPr="00A213F0">
        <w:rPr>
          <w:rFonts w:ascii="Book Antiqua" w:hAnsi="Book Antiqua"/>
          <w:lang w:val="es-PR"/>
        </w:rPr>
        <w:t>responsable</w:t>
      </w:r>
      <w:r w:rsidR="00281E51" w:rsidRPr="00A213F0">
        <w:rPr>
          <w:rFonts w:ascii="Book Antiqua" w:hAnsi="Book Antiqua"/>
          <w:lang w:val="es-PR"/>
        </w:rPr>
        <w:t xml:space="preserve"> en Ley, para la instalación de alumbrado en la Carretera PR-</w:t>
      </w:r>
      <w:r w:rsidR="00FF401B">
        <w:rPr>
          <w:rFonts w:ascii="Book Antiqua" w:hAnsi="Book Antiqua"/>
          <w:lang w:val="es-PR"/>
        </w:rPr>
        <w:t>2</w:t>
      </w:r>
      <w:r w:rsidR="00281E51" w:rsidRPr="00A213F0">
        <w:rPr>
          <w:rFonts w:ascii="Book Antiqua" w:hAnsi="Book Antiqua"/>
          <w:lang w:val="es-PR"/>
        </w:rPr>
        <w:t xml:space="preserve"> en la jurisdicción de los Municipios de </w:t>
      </w:r>
      <w:r w:rsidR="00FF401B" w:rsidRPr="00FF401B">
        <w:rPr>
          <w:rFonts w:ascii="Book Antiqua" w:hAnsi="Book Antiqua"/>
          <w:lang w:val="es-PR"/>
        </w:rPr>
        <w:t>San Juan, Guaynabo, Bayamón, Toa Baja, Dorado, Vega Alta, Vega Baja, Manatí, Barceloneta, Arecibo, Hatillo, Camuy, Quebradillas, Isabela, Moca, Aguadilla, Aguada, Añasco, Mayagüez, Hormigueros, San Germán, Sabana Grande, Guánica, Yauco, Guayanilla, Peñuelas, Ponce</w:t>
      </w:r>
      <w:r w:rsidR="00456359">
        <w:rPr>
          <w:rFonts w:ascii="Book Antiqua" w:hAnsi="Book Antiqua"/>
          <w:lang w:val="es-PR"/>
        </w:rPr>
        <w:t xml:space="preserve"> </w:t>
      </w:r>
      <w:r w:rsidR="00281E51" w:rsidRPr="00A213F0">
        <w:rPr>
          <w:rFonts w:ascii="Book Antiqua" w:hAnsi="Book Antiqua"/>
          <w:lang w:val="es-PR"/>
        </w:rPr>
        <w:t>y cualquier otra mejora necesaria para su optimización, ante la falta de iluminación y la gran cantidad de accidentes fatales que han ocurrido.</w:t>
      </w:r>
    </w:p>
    <w:p w14:paraId="36D9A284" w14:textId="77777777" w:rsidR="00ED1590" w:rsidRDefault="00ED1590" w:rsidP="006F4095">
      <w:pPr>
        <w:spacing w:after="0" w:line="480" w:lineRule="auto"/>
        <w:ind w:firstLine="706"/>
        <w:jc w:val="both"/>
        <w:rPr>
          <w:rFonts w:ascii="Book Antiqua" w:hAnsi="Book Antiqua"/>
          <w:lang w:val="es-ES"/>
        </w:rPr>
      </w:pPr>
      <w:r w:rsidRPr="00A213F0">
        <w:rPr>
          <w:rFonts w:ascii="Book Antiqua" w:hAnsi="Book Antiqua"/>
          <w:lang w:val="es-ES_tradnl"/>
        </w:rPr>
        <w:lastRenderedPageBreak/>
        <w:t xml:space="preserve">Sección </w:t>
      </w:r>
      <w:r w:rsidR="00281E51" w:rsidRPr="00A213F0">
        <w:rPr>
          <w:rFonts w:ascii="Book Antiqua" w:hAnsi="Book Antiqua"/>
          <w:lang w:val="es-ES_tradnl"/>
        </w:rPr>
        <w:t>2</w:t>
      </w:r>
      <w:r w:rsidRPr="00A213F0">
        <w:rPr>
          <w:rFonts w:ascii="Book Antiqua" w:hAnsi="Book Antiqua"/>
          <w:lang w:val="es-ES_tradnl"/>
        </w:rPr>
        <w:t xml:space="preserve">.- Se </w:t>
      </w:r>
      <w:r w:rsidR="00A351C8" w:rsidRPr="00A213F0">
        <w:rPr>
          <w:rFonts w:ascii="Book Antiqua" w:hAnsi="Book Antiqua"/>
          <w:lang w:val="es-ES_tradnl"/>
        </w:rPr>
        <w:t xml:space="preserve">ordena al </w:t>
      </w:r>
      <w:r w:rsidR="00281E51" w:rsidRPr="00A213F0">
        <w:rPr>
          <w:rFonts w:ascii="Book Antiqua" w:hAnsi="Book Antiqua"/>
          <w:lang w:val="es-ES_tradnl"/>
        </w:rPr>
        <w:t>Departamento de Transportación y Obras Públicas y a la Autoridad de Carreteras y Transportación</w:t>
      </w:r>
      <w:r w:rsidR="00540BA5" w:rsidRPr="00A213F0">
        <w:rPr>
          <w:rFonts w:ascii="Book Antiqua" w:hAnsi="Book Antiqua"/>
          <w:lang w:val="es-ES_tradnl"/>
        </w:rPr>
        <w:t xml:space="preserve"> </w:t>
      </w:r>
      <w:r w:rsidRPr="00A213F0">
        <w:rPr>
          <w:rFonts w:ascii="Book Antiqua" w:hAnsi="Book Antiqua"/>
          <w:lang w:val="es-ES_tradnl"/>
        </w:rPr>
        <w:t xml:space="preserve">a informar a la Asamblea Legislativa, a través de la </w:t>
      </w:r>
      <w:r w:rsidR="00540BA5" w:rsidRPr="00A213F0">
        <w:rPr>
          <w:rFonts w:ascii="Book Antiqua" w:hAnsi="Book Antiqua"/>
          <w:lang w:val="es-ES_tradnl"/>
        </w:rPr>
        <w:t xml:space="preserve">respectiva </w:t>
      </w:r>
      <w:r w:rsidRPr="00A213F0">
        <w:rPr>
          <w:rFonts w:ascii="Book Antiqua" w:hAnsi="Book Antiqua"/>
          <w:lang w:val="es-ES_tradnl"/>
        </w:rPr>
        <w:t>Secretaría de cada Cuerpo, de las gestiones llevadas a cabo para cumplir con los propósitos de esta Resolución Conjunta</w:t>
      </w:r>
      <w:r w:rsidR="00281E51" w:rsidRPr="00A213F0">
        <w:rPr>
          <w:rFonts w:ascii="Book Antiqua" w:hAnsi="Book Antiqua"/>
          <w:lang w:val="es-ES_tradnl"/>
        </w:rPr>
        <w:t xml:space="preserve"> en</w:t>
      </w:r>
      <w:r w:rsidR="00FF401B">
        <w:rPr>
          <w:rFonts w:ascii="Book Antiqua" w:hAnsi="Book Antiqua"/>
          <w:lang w:val="es-ES_tradnl"/>
        </w:rPr>
        <w:t xml:space="preserve"> un término no mayor de quince (15</w:t>
      </w:r>
      <w:r w:rsidR="00281E51" w:rsidRPr="00A213F0">
        <w:rPr>
          <w:rFonts w:ascii="Book Antiqua" w:hAnsi="Book Antiqua"/>
          <w:lang w:val="es-ES_tradnl"/>
        </w:rPr>
        <w:t>) días laborales luego de aprobada esta Resolución Conjunta</w:t>
      </w:r>
      <w:r w:rsidRPr="00A213F0">
        <w:rPr>
          <w:rFonts w:ascii="Book Antiqua" w:hAnsi="Book Antiqua"/>
          <w:lang w:val="es-ES_tradnl"/>
        </w:rPr>
        <w:t xml:space="preserve">.   </w:t>
      </w:r>
      <w:r w:rsidR="00281E51" w:rsidRPr="00A213F0">
        <w:rPr>
          <w:rFonts w:ascii="Book Antiqua" w:hAnsi="Book Antiqua"/>
          <w:lang w:val="es-ES"/>
        </w:rPr>
        <w:t>Posteriormente, remitirán informes semanales a ambas Secretar</w:t>
      </w:r>
      <w:r w:rsidR="00590821" w:rsidRPr="00A213F0">
        <w:rPr>
          <w:rFonts w:ascii="Book Antiqua" w:hAnsi="Book Antiqua"/>
          <w:lang w:val="es-ES"/>
        </w:rPr>
        <w:t>ías, hasta en tanto y en cuanto</w:t>
      </w:r>
      <w:r w:rsidR="00281E51" w:rsidRPr="00A213F0">
        <w:rPr>
          <w:rFonts w:ascii="Book Antiqua" w:hAnsi="Book Antiqua"/>
          <w:lang w:val="es-ES"/>
        </w:rPr>
        <w:t xml:space="preserve"> esté finalizada la obra descrita en la Sección 1 de la presente Resolución Conjunta.</w:t>
      </w:r>
    </w:p>
    <w:p w14:paraId="563C7DF7" w14:textId="77777777" w:rsidR="00F929C3" w:rsidRPr="00A213F0" w:rsidRDefault="00F929C3" w:rsidP="006F4095">
      <w:pPr>
        <w:spacing w:after="0" w:line="480" w:lineRule="auto"/>
        <w:ind w:firstLine="706"/>
        <w:jc w:val="both"/>
        <w:rPr>
          <w:rFonts w:ascii="Book Antiqua" w:hAnsi="Book Antiqua"/>
          <w:lang w:val="es-ES_tradnl"/>
        </w:rPr>
      </w:pPr>
      <w:r w:rsidRPr="00F929C3">
        <w:rPr>
          <w:rFonts w:ascii="Book Antiqua" w:hAnsi="Book Antiqua"/>
          <w:lang w:val="es-ES"/>
        </w:rPr>
        <w:t xml:space="preserve">Sección 3.- </w:t>
      </w:r>
      <w:r w:rsidRPr="00F929C3">
        <w:rPr>
          <w:rFonts w:ascii="Book Antiqua" w:hAnsi="Book Antiqua"/>
          <w:iCs/>
          <w:lang w:val="es-ES_tradnl"/>
        </w:rPr>
        <w:t xml:space="preserve">Se autoriza al Departamento de Transportación y Obras Públicas; a la Autoridad de Carreteras y Transportación; a LUMA Energy y a la Autoridad de Energía Eléctrica a solicitar y utilizar fondos </w:t>
      </w:r>
      <w:r w:rsidRPr="00F929C3">
        <w:rPr>
          <w:rFonts w:ascii="Book Antiqua" w:hAnsi="Book Antiqua"/>
          <w:iCs/>
          <w:lang w:val="es-PR"/>
        </w:rPr>
        <w:t>provenientes</w:t>
      </w:r>
      <w:r w:rsidRPr="00F929C3">
        <w:rPr>
          <w:rFonts w:ascii="Book Antiqua" w:hAnsi="Book Antiqua"/>
          <w:iCs/>
          <w:lang w:val="es-ES"/>
        </w:rPr>
        <w:t xml:space="preserve"> de la </w:t>
      </w:r>
      <w:r w:rsidRPr="00F929C3">
        <w:rPr>
          <w:rFonts w:ascii="Book Antiqua" w:hAnsi="Book Antiqua"/>
          <w:i/>
          <w:iCs/>
          <w:lang w:val="es-ES"/>
        </w:rPr>
        <w:t xml:space="preserve">Public Law </w:t>
      </w:r>
      <w:r w:rsidRPr="00F929C3">
        <w:rPr>
          <w:rFonts w:ascii="Book Antiqua" w:hAnsi="Book Antiqua"/>
          <w:iCs/>
          <w:lang w:val="es-ES"/>
        </w:rPr>
        <w:t xml:space="preserve">117-58, conocida como </w:t>
      </w:r>
      <w:r w:rsidRPr="00F929C3">
        <w:rPr>
          <w:rFonts w:ascii="Book Antiqua" w:hAnsi="Book Antiqua"/>
          <w:i/>
          <w:iCs/>
          <w:lang w:val="es-ES"/>
        </w:rPr>
        <w:t>Infrastructure Investment and Jobs Act</w:t>
      </w:r>
      <w:r w:rsidRPr="00F929C3">
        <w:rPr>
          <w:rFonts w:ascii="Book Antiqua" w:hAnsi="Book Antiqua"/>
          <w:iCs/>
          <w:lang w:val="es-ES_tradnl"/>
        </w:rPr>
        <w:t>. La Oficina de Gerencia y Presupuesto certificará la distribución de los fondos aquí asignados para los propósitos expresados.</w:t>
      </w:r>
    </w:p>
    <w:p w14:paraId="69B948AA" w14:textId="77777777" w:rsidR="00676E23" w:rsidRPr="00A213F0" w:rsidRDefault="00867C12" w:rsidP="006F4095">
      <w:pPr>
        <w:spacing w:after="0" w:line="480" w:lineRule="auto"/>
        <w:ind w:firstLine="706"/>
        <w:jc w:val="both"/>
        <w:rPr>
          <w:rFonts w:ascii="Book Antiqua" w:hAnsi="Book Antiqua"/>
          <w:lang w:val="es-ES"/>
        </w:rPr>
      </w:pPr>
      <w:r w:rsidRPr="00A213F0">
        <w:rPr>
          <w:rFonts w:ascii="Book Antiqua" w:hAnsi="Book Antiqua"/>
          <w:lang w:val="es-ES"/>
        </w:rPr>
        <w:t xml:space="preserve">Sección </w:t>
      </w:r>
      <w:r w:rsidR="00F929C3">
        <w:rPr>
          <w:rFonts w:ascii="Book Antiqua" w:hAnsi="Book Antiqua"/>
          <w:lang w:val="es-ES"/>
        </w:rPr>
        <w:t>4</w:t>
      </w:r>
      <w:r w:rsidR="0093090B" w:rsidRPr="00A213F0">
        <w:rPr>
          <w:rFonts w:ascii="Book Antiqua" w:hAnsi="Book Antiqua"/>
          <w:lang w:val="es-ES"/>
        </w:rPr>
        <w:t>.-</w:t>
      </w:r>
      <w:r w:rsidR="00E144A2" w:rsidRPr="00A213F0">
        <w:rPr>
          <w:rFonts w:ascii="Book Antiqua" w:hAnsi="Book Antiqua"/>
          <w:lang w:val="es-ES"/>
        </w:rPr>
        <w:t xml:space="preserve"> </w:t>
      </w:r>
      <w:r w:rsidR="0093090B" w:rsidRPr="00A213F0">
        <w:rPr>
          <w:rFonts w:ascii="Book Antiqua" w:hAnsi="Book Antiqua"/>
          <w:lang w:val="es-ES"/>
        </w:rPr>
        <w:t>Esta Resolución Conjunta comenzará a regir inmediatamente después de su aprobación.</w:t>
      </w:r>
      <w:r w:rsidR="006A226E" w:rsidRPr="00A213F0">
        <w:rPr>
          <w:rFonts w:ascii="Book Antiqua" w:hAnsi="Book Antiqua"/>
          <w:lang w:val="es-ES"/>
        </w:rPr>
        <w:t xml:space="preserve"> </w:t>
      </w:r>
    </w:p>
    <w:sectPr w:rsidR="00676E23" w:rsidRPr="00A213F0" w:rsidSect="006F4095">
      <w:headerReference w:type="default" r:id="rId8"/>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20D38D" w14:textId="77777777" w:rsidR="00A753BE" w:rsidRDefault="00A753BE" w:rsidP="00676E23">
      <w:r>
        <w:separator/>
      </w:r>
    </w:p>
  </w:endnote>
  <w:endnote w:type="continuationSeparator" w:id="0">
    <w:p w14:paraId="13A0FAB2" w14:textId="77777777" w:rsidR="00A753BE" w:rsidRDefault="00A753BE" w:rsidP="00676E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259D18" w14:textId="77777777" w:rsidR="00A753BE" w:rsidRDefault="00A753BE" w:rsidP="00676E23">
      <w:r>
        <w:separator/>
      </w:r>
    </w:p>
  </w:footnote>
  <w:footnote w:type="continuationSeparator" w:id="0">
    <w:p w14:paraId="049C7222" w14:textId="77777777" w:rsidR="00A753BE" w:rsidRDefault="00A753BE" w:rsidP="00676E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8D76AB" w14:textId="77777777" w:rsidR="00386BD3" w:rsidRDefault="00386BD3">
    <w:pPr>
      <w:jc w:val="center"/>
    </w:pPr>
    <w:r>
      <w:fldChar w:fldCharType="begin"/>
    </w:r>
    <w:r>
      <w:instrText xml:space="preserve"> PAGE   \* MERGEFORMAT </w:instrText>
    </w:r>
    <w:r>
      <w:fldChar w:fldCharType="separate"/>
    </w:r>
    <w:r>
      <w:rPr>
        <w:noProof/>
      </w:rPr>
      <w:t>2</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464CD7D"/>
    <w:multiLevelType w:val="hybridMultilevel"/>
    <w:tmpl w:val="9A94F4C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00F"/>
    <w:rsid w:val="00010634"/>
    <w:rsid w:val="00014637"/>
    <w:rsid w:val="00014817"/>
    <w:rsid w:val="000367C8"/>
    <w:rsid w:val="00061A40"/>
    <w:rsid w:val="00084BD1"/>
    <w:rsid w:val="00095183"/>
    <w:rsid w:val="000A70B6"/>
    <w:rsid w:val="000B4956"/>
    <w:rsid w:val="000E320F"/>
    <w:rsid w:val="0010568A"/>
    <w:rsid w:val="00106846"/>
    <w:rsid w:val="001167A4"/>
    <w:rsid w:val="00117724"/>
    <w:rsid w:val="00123875"/>
    <w:rsid w:val="00124914"/>
    <w:rsid w:val="00124F9A"/>
    <w:rsid w:val="00163234"/>
    <w:rsid w:val="00173F41"/>
    <w:rsid w:val="001766CF"/>
    <w:rsid w:val="00192B76"/>
    <w:rsid w:val="001A61E0"/>
    <w:rsid w:val="001D660E"/>
    <w:rsid w:val="002022A9"/>
    <w:rsid w:val="00213C3F"/>
    <w:rsid w:val="00227FC3"/>
    <w:rsid w:val="00242EF6"/>
    <w:rsid w:val="00264271"/>
    <w:rsid w:val="00271A51"/>
    <w:rsid w:val="00281E51"/>
    <w:rsid w:val="002841D4"/>
    <w:rsid w:val="00292A8B"/>
    <w:rsid w:val="00295D08"/>
    <w:rsid w:val="002C42F1"/>
    <w:rsid w:val="002F19B7"/>
    <w:rsid w:val="00302142"/>
    <w:rsid w:val="00304A58"/>
    <w:rsid w:val="00304C98"/>
    <w:rsid w:val="003060E8"/>
    <w:rsid w:val="00317189"/>
    <w:rsid w:val="00346821"/>
    <w:rsid w:val="00354E16"/>
    <w:rsid w:val="00370628"/>
    <w:rsid w:val="0037138E"/>
    <w:rsid w:val="00373084"/>
    <w:rsid w:val="00383622"/>
    <w:rsid w:val="00386BD3"/>
    <w:rsid w:val="003903A3"/>
    <w:rsid w:val="003A79E4"/>
    <w:rsid w:val="003B2A30"/>
    <w:rsid w:val="003C3DD5"/>
    <w:rsid w:val="003D4C44"/>
    <w:rsid w:val="003E0596"/>
    <w:rsid w:val="003E24E1"/>
    <w:rsid w:val="003E49B4"/>
    <w:rsid w:val="003F53AA"/>
    <w:rsid w:val="003F79D1"/>
    <w:rsid w:val="0040143D"/>
    <w:rsid w:val="0041314E"/>
    <w:rsid w:val="00421435"/>
    <w:rsid w:val="00430367"/>
    <w:rsid w:val="004360A6"/>
    <w:rsid w:val="004409C9"/>
    <w:rsid w:val="00456359"/>
    <w:rsid w:val="004753AD"/>
    <w:rsid w:val="00483878"/>
    <w:rsid w:val="00485826"/>
    <w:rsid w:val="004868A1"/>
    <w:rsid w:val="00486F35"/>
    <w:rsid w:val="00487D9B"/>
    <w:rsid w:val="0049309E"/>
    <w:rsid w:val="0049595A"/>
    <w:rsid w:val="004A4745"/>
    <w:rsid w:val="004B412B"/>
    <w:rsid w:val="004B6EC2"/>
    <w:rsid w:val="004C1498"/>
    <w:rsid w:val="004D07E0"/>
    <w:rsid w:val="004D2117"/>
    <w:rsid w:val="004D7D2B"/>
    <w:rsid w:val="004E658E"/>
    <w:rsid w:val="004F1E6D"/>
    <w:rsid w:val="00522081"/>
    <w:rsid w:val="00523F66"/>
    <w:rsid w:val="005310ED"/>
    <w:rsid w:val="00540BA5"/>
    <w:rsid w:val="005568B1"/>
    <w:rsid w:val="005710C5"/>
    <w:rsid w:val="00577E8E"/>
    <w:rsid w:val="00583A69"/>
    <w:rsid w:val="00590821"/>
    <w:rsid w:val="0059328A"/>
    <w:rsid w:val="005B3F75"/>
    <w:rsid w:val="005C25CA"/>
    <w:rsid w:val="005E56D3"/>
    <w:rsid w:val="0060160E"/>
    <w:rsid w:val="0060414F"/>
    <w:rsid w:val="00606913"/>
    <w:rsid w:val="00612D7B"/>
    <w:rsid w:val="006231FE"/>
    <w:rsid w:val="006262B7"/>
    <w:rsid w:val="00655F28"/>
    <w:rsid w:val="00664503"/>
    <w:rsid w:val="00672C2D"/>
    <w:rsid w:val="0067383C"/>
    <w:rsid w:val="00676799"/>
    <w:rsid w:val="00676E23"/>
    <w:rsid w:val="006A180E"/>
    <w:rsid w:val="006A226E"/>
    <w:rsid w:val="006A2995"/>
    <w:rsid w:val="006A324B"/>
    <w:rsid w:val="006A7CAE"/>
    <w:rsid w:val="006D2A98"/>
    <w:rsid w:val="006D4CBE"/>
    <w:rsid w:val="006F4095"/>
    <w:rsid w:val="00735B7B"/>
    <w:rsid w:val="00741A15"/>
    <w:rsid w:val="00747791"/>
    <w:rsid w:val="00756E4F"/>
    <w:rsid w:val="0076730F"/>
    <w:rsid w:val="007752B2"/>
    <w:rsid w:val="007806CD"/>
    <w:rsid w:val="00793F92"/>
    <w:rsid w:val="007969DE"/>
    <w:rsid w:val="007B3A7D"/>
    <w:rsid w:val="007B3D89"/>
    <w:rsid w:val="007B4E71"/>
    <w:rsid w:val="007C0E6C"/>
    <w:rsid w:val="007C27EC"/>
    <w:rsid w:val="007C3C57"/>
    <w:rsid w:val="007C7CC9"/>
    <w:rsid w:val="007D4771"/>
    <w:rsid w:val="008030AD"/>
    <w:rsid w:val="00814696"/>
    <w:rsid w:val="00824EA2"/>
    <w:rsid w:val="00836E8B"/>
    <w:rsid w:val="0084026D"/>
    <w:rsid w:val="00851190"/>
    <w:rsid w:val="00865E05"/>
    <w:rsid w:val="00867C12"/>
    <w:rsid w:val="0087435F"/>
    <w:rsid w:val="008748BD"/>
    <w:rsid w:val="00886875"/>
    <w:rsid w:val="0089604F"/>
    <w:rsid w:val="008B1055"/>
    <w:rsid w:val="008B3D6D"/>
    <w:rsid w:val="008C7334"/>
    <w:rsid w:val="008D03D9"/>
    <w:rsid w:val="008D5BF1"/>
    <w:rsid w:val="008D612A"/>
    <w:rsid w:val="008D6D2F"/>
    <w:rsid w:val="008E676B"/>
    <w:rsid w:val="008F0A4C"/>
    <w:rsid w:val="009017B9"/>
    <w:rsid w:val="009072F2"/>
    <w:rsid w:val="00915CA5"/>
    <w:rsid w:val="0092004B"/>
    <w:rsid w:val="0093090B"/>
    <w:rsid w:val="009320A5"/>
    <w:rsid w:val="009341A1"/>
    <w:rsid w:val="0093616B"/>
    <w:rsid w:val="00940F6E"/>
    <w:rsid w:val="00944A08"/>
    <w:rsid w:val="00950504"/>
    <w:rsid w:val="0098152C"/>
    <w:rsid w:val="009919C1"/>
    <w:rsid w:val="009A0399"/>
    <w:rsid w:val="009A44BF"/>
    <w:rsid w:val="009C6D2B"/>
    <w:rsid w:val="009D0708"/>
    <w:rsid w:val="009D3163"/>
    <w:rsid w:val="009E6FC8"/>
    <w:rsid w:val="009F520E"/>
    <w:rsid w:val="00A040DD"/>
    <w:rsid w:val="00A04E52"/>
    <w:rsid w:val="00A07D1C"/>
    <w:rsid w:val="00A213F0"/>
    <w:rsid w:val="00A27022"/>
    <w:rsid w:val="00A33993"/>
    <w:rsid w:val="00A351C8"/>
    <w:rsid w:val="00A41394"/>
    <w:rsid w:val="00A4500E"/>
    <w:rsid w:val="00A57048"/>
    <w:rsid w:val="00A64474"/>
    <w:rsid w:val="00A679D6"/>
    <w:rsid w:val="00A753BE"/>
    <w:rsid w:val="00A842FA"/>
    <w:rsid w:val="00A845FF"/>
    <w:rsid w:val="00A96223"/>
    <w:rsid w:val="00A967D7"/>
    <w:rsid w:val="00AA3616"/>
    <w:rsid w:val="00AB645C"/>
    <w:rsid w:val="00AB75D4"/>
    <w:rsid w:val="00AC6850"/>
    <w:rsid w:val="00AF56C5"/>
    <w:rsid w:val="00AF5825"/>
    <w:rsid w:val="00B02B60"/>
    <w:rsid w:val="00B07202"/>
    <w:rsid w:val="00B2181C"/>
    <w:rsid w:val="00B21D47"/>
    <w:rsid w:val="00B2500F"/>
    <w:rsid w:val="00B54BE3"/>
    <w:rsid w:val="00B61F96"/>
    <w:rsid w:val="00B90365"/>
    <w:rsid w:val="00BB38CC"/>
    <w:rsid w:val="00BB71FA"/>
    <w:rsid w:val="00BC7F5C"/>
    <w:rsid w:val="00BD0CDB"/>
    <w:rsid w:val="00BD731F"/>
    <w:rsid w:val="00BE15BA"/>
    <w:rsid w:val="00BE2A47"/>
    <w:rsid w:val="00C1062C"/>
    <w:rsid w:val="00C15443"/>
    <w:rsid w:val="00C21195"/>
    <w:rsid w:val="00C46A8D"/>
    <w:rsid w:val="00C75A3B"/>
    <w:rsid w:val="00C90F15"/>
    <w:rsid w:val="00C93242"/>
    <w:rsid w:val="00CA0E26"/>
    <w:rsid w:val="00CA5AD6"/>
    <w:rsid w:val="00CB3AC8"/>
    <w:rsid w:val="00CD553D"/>
    <w:rsid w:val="00CD675D"/>
    <w:rsid w:val="00CE2B4E"/>
    <w:rsid w:val="00CE3041"/>
    <w:rsid w:val="00CE5449"/>
    <w:rsid w:val="00CF1D77"/>
    <w:rsid w:val="00D05F45"/>
    <w:rsid w:val="00D17E01"/>
    <w:rsid w:val="00D23A76"/>
    <w:rsid w:val="00D35F31"/>
    <w:rsid w:val="00D43A8A"/>
    <w:rsid w:val="00D532EF"/>
    <w:rsid w:val="00D62B02"/>
    <w:rsid w:val="00D71BA3"/>
    <w:rsid w:val="00D72831"/>
    <w:rsid w:val="00D7336F"/>
    <w:rsid w:val="00D8090C"/>
    <w:rsid w:val="00D8591E"/>
    <w:rsid w:val="00D97CEB"/>
    <w:rsid w:val="00DA2BF9"/>
    <w:rsid w:val="00DB2B31"/>
    <w:rsid w:val="00DB307F"/>
    <w:rsid w:val="00DC288D"/>
    <w:rsid w:val="00DC3B96"/>
    <w:rsid w:val="00DD3038"/>
    <w:rsid w:val="00DE30FF"/>
    <w:rsid w:val="00DE35CB"/>
    <w:rsid w:val="00DE62EA"/>
    <w:rsid w:val="00E02E10"/>
    <w:rsid w:val="00E144A2"/>
    <w:rsid w:val="00E160B5"/>
    <w:rsid w:val="00E17A5E"/>
    <w:rsid w:val="00E312C4"/>
    <w:rsid w:val="00E32102"/>
    <w:rsid w:val="00E32902"/>
    <w:rsid w:val="00E43B09"/>
    <w:rsid w:val="00E4414D"/>
    <w:rsid w:val="00E47B8A"/>
    <w:rsid w:val="00E5090A"/>
    <w:rsid w:val="00E56CC6"/>
    <w:rsid w:val="00E64067"/>
    <w:rsid w:val="00E67AEA"/>
    <w:rsid w:val="00E7109B"/>
    <w:rsid w:val="00E72587"/>
    <w:rsid w:val="00E72E27"/>
    <w:rsid w:val="00E7372D"/>
    <w:rsid w:val="00E92E1B"/>
    <w:rsid w:val="00E94B02"/>
    <w:rsid w:val="00E9739E"/>
    <w:rsid w:val="00EB4A51"/>
    <w:rsid w:val="00ED1590"/>
    <w:rsid w:val="00ED5FF3"/>
    <w:rsid w:val="00EE42A6"/>
    <w:rsid w:val="00EF3D5E"/>
    <w:rsid w:val="00F03F1F"/>
    <w:rsid w:val="00F20A78"/>
    <w:rsid w:val="00F211E4"/>
    <w:rsid w:val="00F25E3B"/>
    <w:rsid w:val="00F25F3E"/>
    <w:rsid w:val="00F26C8E"/>
    <w:rsid w:val="00F50D81"/>
    <w:rsid w:val="00F50DAC"/>
    <w:rsid w:val="00F64031"/>
    <w:rsid w:val="00F7155A"/>
    <w:rsid w:val="00F80A5D"/>
    <w:rsid w:val="00F913E1"/>
    <w:rsid w:val="00F929C3"/>
    <w:rsid w:val="00F94D0F"/>
    <w:rsid w:val="00FA511B"/>
    <w:rsid w:val="00FB0309"/>
    <w:rsid w:val="00FC2C35"/>
    <w:rsid w:val="00FD0FB0"/>
    <w:rsid w:val="00FE5F3F"/>
    <w:rsid w:val="00FF40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34E14B"/>
  <w15:chartTrackingRefBased/>
  <w15:docId w15:val="{94700931-8946-4E99-B813-7D091519C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uiPriority w:val="99"/>
    <w:semiHidden/>
    <w:unhideWhenUsed/>
    <w:rsid w:val="00D71BA3"/>
  </w:style>
  <w:style w:type="paragraph" w:styleId="Header">
    <w:name w:val="header"/>
    <w:basedOn w:val="Normal"/>
    <w:link w:val="HeaderChar"/>
    <w:uiPriority w:val="99"/>
    <w:unhideWhenUsed/>
    <w:rsid w:val="006F40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4095"/>
  </w:style>
  <w:style w:type="paragraph" w:styleId="Footer">
    <w:name w:val="footer"/>
    <w:basedOn w:val="Normal"/>
    <w:link w:val="FooterChar"/>
    <w:uiPriority w:val="99"/>
    <w:unhideWhenUsed/>
    <w:rsid w:val="006F40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40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807559-1A4D-4A82-8AFB-783016F2C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737</Words>
  <Characters>4203</Characters>
  <Application>Microsoft Office Word</Application>
  <DocSecurity>0</DocSecurity>
  <Lines>35</Lines>
  <Paragraphs>9</Paragraphs>
  <ScaleCrop>false</ScaleCrop>
  <Company/>
  <LinksUpToDate>false</LinksUpToDate>
  <CharactersWithSpaces>4931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Jessica M. Caraballo Rivera</dc:creator>
  <cp:lastModifiedBy>Gladys J. Burgos Torres</cp:lastModifiedBy>
  <cp:revision>3</cp:revision>
  <cp:lastPrinted>2025-01-03T19:35:00Z</cp:lastPrinted>
  <dcterms:created xsi:type="dcterms:W3CDTF">2025-01-03T19:54:00Z</dcterms:created>
  <dcterms:modified xsi:type="dcterms:W3CDTF">2025-01-08T19:09:00Z</dcterms:modified>
</cp:coreProperties>
</file>