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09E54ACD"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485B74">
        <w:rPr>
          <w:rFonts w:ascii="Book Antiqua" w:hAnsi="Book Antiqua"/>
          <w:b/>
          <w:sz w:val="52"/>
          <w:lang w:val="es-ES_tradnl"/>
        </w:rPr>
        <w:t>106</w:t>
      </w:r>
    </w:p>
    <w:p w14:paraId="1443CA0F" w14:textId="77777777" w:rsidR="007535BB" w:rsidRPr="00485B74" w:rsidRDefault="007535BB" w:rsidP="0027212A">
      <w:pPr>
        <w:spacing w:line="360" w:lineRule="auto"/>
        <w:jc w:val="center"/>
        <w:rPr>
          <w:rFonts w:ascii="Book Antiqua" w:hAnsi="Book Antiqua"/>
          <w:b/>
          <w:bCs/>
          <w:lang w:val="pt-BR"/>
        </w:rPr>
      </w:pPr>
      <w:r w:rsidRPr="001B5218">
        <w:rPr>
          <w:rFonts w:ascii="Book Antiqua" w:hAnsi="Book Antiqua"/>
          <w:b/>
          <w:bCs/>
          <w:lang w:val="es-ES_tradnl"/>
        </w:rPr>
        <w:t xml:space="preserve"> </w:t>
      </w:r>
      <w:bookmarkStart w:id="3" w:name="_Hlk183037684"/>
      <w:r w:rsidR="001B5218" w:rsidRPr="00485B74">
        <w:rPr>
          <w:rFonts w:ascii="Book Antiqua" w:hAnsi="Book Antiqua"/>
          <w:b/>
          <w:bCs/>
          <w:sz w:val="28"/>
          <w:szCs w:val="22"/>
          <w:lang w:val="pt-BR"/>
        </w:rPr>
        <w:t xml:space="preserve">INFORME POSITIVO </w:t>
      </w:r>
    </w:p>
    <w:p w14:paraId="07AB4BDD" w14:textId="5D559854" w:rsidR="001B5218" w:rsidRPr="00485B74" w:rsidRDefault="002221D2" w:rsidP="0027212A">
      <w:pPr>
        <w:spacing w:line="360" w:lineRule="auto"/>
        <w:jc w:val="center"/>
        <w:rPr>
          <w:rFonts w:ascii="Book Antiqua" w:hAnsi="Book Antiqua"/>
          <w:lang w:val="pt-BR"/>
        </w:rPr>
      </w:pPr>
      <w:r>
        <w:rPr>
          <w:rFonts w:ascii="Book Antiqua" w:hAnsi="Book Antiqua"/>
          <w:lang w:val="pt-BR"/>
        </w:rPr>
        <w:t xml:space="preserve">15 </w:t>
      </w:r>
      <w:r w:rsidR="006239E8" w:rsidRPr="00485B74">
        <w:rPr>
          <w:rFonts w:ascii="Book Antiqua" w:hAnsi="Book Antiqua"/>
          <w:lang w:val="pt-BR"/>
        </w:rPr>
        <w:t xml:space="preserve">de agosto </w:t>
      </w:r>
      <w:r w:rsidR="00D13D23" w:rsidRPr="00485B74">
        <w:rPr>
          <w:rFonts w:ascii="Book Antiqua" w:hAnsi="Book Antiqua"/>
          <w:lang w:val="pt-BR"/>
        </w:rPr>
        <w:t>de 2025</w:t>
      </w:r>
    </w:p>
    <w:bookmarkEnd w:id="2"/>
    <w:bookmarkEnd w:id="3"/>
    <w:p w14:paraId="518A096B" w14:textId="07DCC0DC" w:rsidR="005B2884" w:rsidRPr="00E14B9C" w:rsidRDefault="001B5218" w:rsidP="00AA2618">
      <w:pPr>
        <w:tabs>
          <w:tab w:val="left" w:pos="-720"/>
        </w:tabs>
        <w:suppressAutoHyphens/>
        <w:spacing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6EFA7CF8" w:rsidR="005B2884" w:rsidRPr="00A11ED0" w:rsidRDefault="00A52CD9" w:rsidP="00AA2618">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485B74" w:rsidRPr="00A11ED0">
        <w:rPr>
          <w:rFonts w:ascii="Book Antiqua" w:hAnsi="Book Antiqua"/>
          <w:lang w:val="es-PR"/>
        </w:rPr>
        <w:t>Proyecto del Senado</w:t>
      </w:r>
      <w:r w:rsidR="00485B74">
        <w:rPr>
          <w:rFonts w:ascii="Book Antiqua" w:hAnsi="Book Antiqua"/>
          <w:spacing w:val="-3"/>
          <w:lang w:val="es-ES_tradnl"/>
        </w:rPr>
        <w:t xml:space="preserve"> 106</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6E7252">
        <w:rPr>
          <w:rFonts w:ascii="Book Antiqua" w:hAnsi="Book Antiqua"/>
          <w:b/>
          <w:bCs/>
          <w:spacing w:val="-3"/>
          <w:lang w:val="es-ES_tradnl"/>
        </w:rPr>
        <w:t>aprobación</w:t>
      </w:r>
      <w:r w:rsidR="001B5218" w:rsidRPr="00485B74">
        <w:rPr>
          <w:rFonts w:ascii="Book Antiqua" w:hAnsi="Book Antiqua"/>
          <w:spacing w:val="-3"/>
          <w:lang w:val="es-ES_tradnl"/>
        </w:rPr>
        <w:t>, con las enmiendas contenidas en el entirillado electrónico que se acompaña</w:t>
      </w:r>
      <w:r w:rsidR="002C402D" w:rsidRPr="00485B74">
        <w:rPr>
          <w:rFonts w:ascii="Book Antiqua" w:hAnsi="Book Antiqua"/>
          <w:spacing w:val="-3"/>
          <w:lang w:val="es-ES_tradnl"/>
        </w:rPr>
        <w:t>.</w:t>
      </w:r>
      <w:r w:rsidR="002C402D" w:rsidRPr="00A11ED0">
        <w:rPr>
          <w:rFonts w:ascii="Book Antiqua" w:hAnsi="Book Antiqua"/>
          <w:spacing w:val="-3"/>
          <w:lang w:val="es-ES_tradnl"/>
        </w:rPr>
        <w:t xml:space="preserve"> </w:t>
      </w:r>
    </w:p>
    <w:p w14:paraId="1C36686D" w14:textId="77777777" w:rsidR="000C52A1" w:rsidRPr="00A11ED0" w:rsidRDefault="000C52A1" w:rsidP="00AA2618">
      <w:pPr>
        <w:suppressAutoHyphens/>
        <w:spacing w:line="276" w:lineRule="auto"/>
        <w:jc w:val="both"/>
        <w:rPr>
          <w:rFonts w:ascii="Book Antiqua" w:hAnsi="Book Antiqua"/>
          <w:spacing w:val="-3"/>
          <w:lang w:val="es-ES_tradnl"/>
        </w:rPr>
      </w:pPr>
    </w:p>
    <w:p w14:paraId="632423B1" w14:textId="77777777" w:rsidR="0024131E" w:rsidRPr="00A11ED0" w:rsidRDefault="001B5218" w:rsidP="00AA2618">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AA2618">
      <w:pPr>
        <w:tabs>
          <w:tab w:val="left" w:pos="-720"/>
        </w:tabs>
        <w:suppressAutoHyphens/>
        <w:spacing w:line="276" w:lineRule="auto"/>
        <w:rPr>
          <w:rFonts w:ascii="Book Antiqua" w:hAnsi="Book Antiqua"/>
          <w:b/>
          <w:bCs/>
          <w:szCs w:val="24"/>
          <w:lang w:val="es-ES_tradnl"/>
        </w:rPr>
      </w:pPr>
    </w:p>
    <w:p w14:paraId="7C7A3389" w14:textId="0A31BF0E" w:rsidR="006F51A8" w:rsidRPr="00A11ED0" w:rsidRDefault="009F427F" w:rsidP="00AA2618">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485B74">
        <w:rPr>
          <w:rFonts w:ascii="Book Antiqua" w:hAnsi="Book Antiqua"/>
          <w:lang w:val="es-PR"/>
        </w:rPr>
        <w:t>106</w:t>
      </w:r>
      <w:r w:rsidRPr="00A11ED0">
        <w:rPr>
          <w:rFonts w:ascii="Book Antiqua" w:hAnsi="Book Antiqua"/>
          <w:lang w:val="es-PR"/>
        </w:rPr>
        <w:t xml:space="preserve"> </w:t>
      </w:r>
      <w:r w:rsidRPr="00337BB7">
        <w:rPr>
          <w:rFonts w:ascii="Book Antiqua" w:hAnsi="Book Antiqua"/>
          <w:lang w:val="es-PR"/>
        </w:rPr>
        <w:t xml:space="preserve">(en adelante, P. del S. </w:t>
      </w:r>
      <w:r w:rsidR="00485B74">
        <w:rPr>
          <w:rFonts w:ascii="Book Antiqua" w:hAnsi="Book Antiqua"/>
          <w:lang w:val="es-PR"/>
        </w:rPr>
        <w:t>106</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xml:space="preserve">, </w:t>
      </w:r>
      <w:r w:rsidR="001918C8">
        <w:rPr>
          <w:rFonts w:ascii="Book Antiqua" w:hAnsi="Book Antiqua"/>
          <w:lang w:val="es-PR"/>
        </w:rPr>
        <w:t>propone</w:t>
      </w:r>
      <w:r w:rsidR="001B5218" w:rsidRPr="00A11ED0">
        <w:rPr>
          <w:rFonts w:ascii="Book Antiqua" w:hAnsi="Book Antiqua"/>
          <w:lang w:val="es-PR"/>
        </w:rPr>
        <w:t xml:space="preserve"> </w:t>
      </w:r>
      <w:r w:rsidR="008E051A" w:rsidRPr="00337BB7">
        <w:rPr>
          <w:rFonts w:ascii="Book Antiqua" w:hAnsi="Book Antiqua"/>
          <w:lang w:val="es-PR"/>
        </w:rPr>
        <w:t>“</w:t>
      </w:r>
      <w:r w:rsidR="00485B74" w:rsidRPr="006C1EBB">
        <w:rPr>
          <w:rFonts w:ascii="Book Antiqua" w:hAnsi="Book Antiqua"/>
          <w:szCs w:val="24"/>
          <w:lang w:val="es-ES_tradnl"/>
        </w:rPr>
        <w:t>enmendar las Reglas 172 y 177 de las de Procedimiento Criminal, según enmendadas, a los fines de atemperar su contenido a lo dispuesto en el Artículo 57 del Código Penal de Puerto Rico, para garantizar los derechos de los ciudadanos en la etapa de cumplimiento de pena de multa en los procedimientos criminales</w:t>
      </w:r>
      <w:r w:rsidR="001918C8">
        <w:rPr>
          <w:rFonts w:ascii="Book Antiqua" w:hAnsi="Book Antiqua"/>
          <w:szCs w:val="24"/>
          <w:lang w:val="es-ES_tradnl"/>
        </w:rPr>
        <w:t xml:space="preserve"> </w:t>
      </w:r>
      <w:r w:rsidR="001918C8" w:rsidRPr="001918C8">
        <w:rPr>
          <w:rFonts w:ascii="Book Antiqua" w:hAnsi="Book Antiqua"/>
          <w:szCs w:val="24"/>
          <w:lang w:val="es-PR"/>
        </w:rPr>
        <w:t>y para otros fines relacionados</w:t>
      </w:r>
      <w:r w:rsidR="00485B74">
        <w:rPr>
          <w:rFonts w:ascii="Book Antiqua" w:hAnsi="Book Antiqua"/>
          <w:szCs w:val="24"/>
          <w:lang w:val="es-ES_tradnl"/>
        </w:rPr>
        <w:t>.</w:t>
      </w:r>
      <w:r w:rsidR="00A11ED0" w:rsidRPr="00A11ED0">
        <w:rPr>
          <w:rFonts w:ascii="Book Antiqua" w:hAnsi="Book Antiqua"/>
          <w:lang w:val="es-PR"/>
        </w:rPr>
        <w:t>”</w:t>
      </w:r>
      <w:bookmarkStart w:id="4" w:name="_Hlk194438498"/>
    </w:p>
    <w:bookmarkEnd w:id="4"/>
    <w:p w14:paraId="771800BC" w14:textId="77777777" w:rsidR="00A06A16" w:rsidRPr="00A11ED0" w:rsidRDefault="00A06A16" w:rsidP="00AA2618">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AA2618">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AA2618">
      <w:pPr>
        <w:tabs>
          <w:tab w:val="left" w:pos="-720"/>
        </w:tabs>
        <w:suppressAutoHyphens/>
        <w:spacing w:line="276" w:lineRule="auto"/>
        <w:ind w:firstLine="360"/>
        <w:jc w:val="center"/>
        <w:rPr>
          <w:rFonts w:ascii="Book Antiqua" w:hAnsi="Book Antiqua"/>
          <w:b/>
          <w:bCs/>
          <w:lang w:val="es-PR"/>
        </w:rPr>
      </w:pPr>
    </w:p>
    <w:p w14:paraId="06B510AA" w14:textId="77777777" w:rsidR="00B02D1B" w:rsidRDefault="00B02D1B"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031719" w:rsidRPr="000F3813">
        <w:rPr>
          <w:rFonts w:ascii="Book Antiqua" w:hAnsi="Book Antiqua"/>
          <w:lang w:val="es-PR"/>
        </w:rPr>
        <w:t>En los procesos penales, l</w:t>
      </w:r>
      <w:r w:rsidR="00031719" w:rsidRPr="006C2B3A">
        <w:rPr>
          <w:rFonts w:ascii="Book Antiqua" w:hAnsi="Book Antiqua"/>
          <w:lang w:val="es-PR"/>
        </w:rPr>
        <w:t xml:space="preserve">a multa es una pena contemplada </w:t>
      </w:r>
      <w:r w:rsidR="00031719" w:rsidRPr="000F3813">
        <w:rPr>
          <w:rFonts w:ascii="Book Antiqua" w:hAnsi="Book Antiqua"/>
          <w:lang w:val="es-PR"/>
        </w:rPr>
        <w:t>en algunos de los delitos dispuestos en el Código Penal mediante la cual se</w:t>
      </w:r>
      <w:r w:rsidR="00031719" w:rsidRPr="006C2B3A">
        <w:rPr>
          <w:rFonts w:ascii="Book Antiqua" w:hAnsi="Book Antiqua"/>
          <w:lang w:val="es-PR"/>
        </w:rPr>
        <w:t xml:space="preserve"> impone al convicto la obligación de pagar una suma de dinero como consecuencia de haber infringido las normas de conducta necesarias para una convivencia </w:t>
      </w:r>
      <w:r>
        <w:rPr>
          <w:rFonts w:ascii="Book Antiqua" w:hAnsi="Book Antiqua"/>
          <w:lang w:val="es-PR"/>
        </w:rPr>
        <w:t xml:space="preserve">social </w:t>
      </w:r>
      <w:r w:rsidR="00031719" w:rsidRPr="006C2B3A">
        <w:rPr>
          <w:rFonts w:ascii="Book Antiqua" w:hAnsi="Book Antiqua"/>
          <w:lang w:val="es-PR"/>
        </w:rPr>
        <w:t>armoniosa. Su propósito principal es que la persona declarada culpable internalice los valores y pautas de comportamiento que la sociedad exige</w:t>
      </w:r>
      <w:r w:rsidR="00031719" w:rsidRPr="000F3813">
        <w:rPr>
          <w:rFonts w:ascii="Book Antiqua" w:hAnsi="Book Antiqua"/>
          <w:lang w:val="es-PR"/>
        </w:rPr>
        <w:t xml:space="preserve">. </w:t>
      </w:r>
    </w:p>
    <w:p w14:paraId="7116B9DE" w14:textId="7DA6BD71" w:rsidR="00B02D1B" w:rsidRDefault="00B02D1B"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0F3813" w:rsidRPr="00D15BF0">
        <w:rPr>
          <w:rFonts w:ascii="Book Antiqua" w:hAnsi="Book Antiqua"/>
          <w:szCs w:val="24"/>
          <w:lang w:val="es-PR"/>
        </w:rPr>
        <w:t xml:space="preserve">El Código </w:t>
      </w:r>
      <w:r w:rsidR="000F3813">
        <w:rPr>
          <w:rFonts w:ascii="Book Antiqua" w:hAnsi="Book Antiqua"/>
          <w:szCs w:val="24"/>
          <w:lang w:val="es-PR"/>
        </w:rPr>
        <w:t xml:space="preserve">Penal </w:t>
      </w:r>
      <w:r>
        <w:rPr>
          <w:rFonts w:ascii="Book Antiqua" w:hAnsi="Book Antiqua"/>
          <w:szCs w:val="24"/>
          <w:lang w:val="es-PR"/>
        </w:rPr>
        <w:t xml:space="preserve">de Puerto Rico de 2012 </w:t>
      </w:r>
      <w:r w:rsidR="000F3813" w:rsidRPr="00D15BF0">
        <w:rPr>
          <w:rFonts w:ascii="Book Antiqua" w:hAnsi="Book Antiqua"/>
          <w:szCs w:val="24"/>
          <w:lang w:val="es-PR"/>
        </w:rPr>
        <w:t xml:space="preserve">también establece </w:t>
      </w:r>
      <w:r w:rsidR="000F3813">
        <w:rPr>
          <w:rFonts w:ascii="Book Antiqua" w:hAnsi="Book Antiqua"/>
          <w:szCs w:val="24"/>
          <w:lang w:val="es-PR"/>
        </w:rPr>
        <w:t>que cuando</w:t>
      </w:r>
      <w:r w:rsidR="000F3813" w:rsidRPr="00D15BF0">
        <w:rPr>
          <w:rFonts w:ascii="Book Antiqua" w:hAnsi="Book Antiqua"/>
          <w:szCs w:val="24"/>
          <w:lang w:val="es-PR"/>
        </w:rPr>
        <w:t xml:space="preserve"> el convicto no pueda pagar </w:t>
      </w:r>
      <w:r w:rsidR="000F3813">
        <w:rPr>
          <w:rFonts w:ascii="Book Antiqua" w:hAnsi="Book Antiqua"/>
          <w:szCs w:val="24"/>
          <w:lang w:val="es-PR"/>
        </w:rPr>
        <w:t>la multa impuesta</w:t>
      </w:r>
      <w:r w:rsidR="000F3813" w:rsidRPr="00D15BF0">
        <w:rPr>
          <w:rFonts w:ascii="Book Antiqua" w:hAnsi="Book Antiqua"/>
          <w:szCs w:val="24"/>
          <w:lang w:val="es-PR"/>
        </w:rPr>
        <w:t xml:space="preserve">, el </w:t>
      </w:r>
      <w:r>
        <w:rPr>
          <w:rFonts w:ascii="Book Antiqua" w:hAnsi="Book Antiqua"/>
          <w:szCs w:val="24"/>
          <w:lang w:val="es-PR"/>
        </w:rPr>
        <w:t>T</w:t>
      </w:r>
      <w:r w:rsidR="000F3813" w:rsidRPr="00D15BF0">
        <w:rPr>
          <w:rFonts w:ascii="Book Antiqua" w:hAnsi="Book Antiqua"/>
          <w:szCs w:val="24"/>
          <w:lang w:val="es-PR"/>
        </w:rPr>
        <w:t xml:space="preserve">ribunal tiene la facultad de autorizar </w:t>
      </w:r>
      <w:r w:rsidR="000F3813" w:rsidRPr="00D15BF0">
        <w:rPr>
          <w:rFonts w:ascii="Book Antiqua" w:hAnsi="Book Antiqua"/>
          <w:szCs w:val="24"/>
          <w:lang w:val="es-PR"/>
        </w:rPr>
        <w:lastRenderedPageBreak/>
        <w:t xml:space="preserve">que </w:t>
      </w:r>
      <w:r w:rsidR="00F36DBE">
        <w:rPr>
          <w:rFonts w:ascii="Book Antiqua" w:hAnsi="Book Antiqua"/>
          <w:szCs w:val="24"/>
          <w:lang w:val="es-PR"/>
        </w:rPr>
        <w:t>esta sea satisfecha</w:t>
      </w:r>
      <w:r w:rsidR="000F3813" w:rsidRPr="00D15BF0">
        <w:rPr>
          <w:rFonts w:ascii="Book Antiqua" w:hAnsi="Book Antiqua"/>
          <w:szCs w:val="24"/>
          <w:lang w:val="es-PR"/>
        </w:rPr>
        <w:t xml:space="preserve"> mediante </w:t>
      </w:r>
      <w:r w:rsidR="00F36DBE">
        <w:rPr>
          <w:rFonts w:ascii="Book Antiqua" w:hAnsi="Book Antiqua"/>
          <w:szCs w:val="24"/>
          <w:lang w:val="es-PR"/>
        </w:rPr>
        <w:t xml:space="preserve">la prestación de </w:t>
      </w:r>
      <w:r w:rsidR="000F3813" w:rsidRPr="00D15BF0">
        <w:rPr>
          <w:rFonts w:ascii="Book Antiqua" w:hAnsi="Book Antiqua"/>
          <w:szCs w:val="24"/>
          <w:lang w:val="es-PR"/>
        </w:rPr>
        <w:t xml:space="preserve">servicios comunitarios. </w:t>
      </w:r>
      <w:r w:rsidR="000F3813">
        <w:rPr>
          <w:rFonts w:ascii="Book Antiqua" w:hAnsi="Book Antiqua"/>
          <w:szCs w:val="24"/>
          <w:lang w:val="es-PR"/>
        </w:rPr>
        <w:t xml:space="preserve">Disponiendo, además, </w:t>
      </w:r>
      <w:r w:rsidR="000F3813" w:rsidRPr="00D15BF0">
        <w:rPr>
          <w:rFonts w:ascii="Book Antiqua" w:hAnsi="Book Antiqua"/>
          <w:szCs w:val="24"/>
          <w:lang w:val="es-PR"/>
        </w:rPr>
        <w:t>que cada día de servicio comunitario equivale a cincuenta dólares</w:t>
      </w:r>
      <w:r w:rsidR="00F36DBE">
        <w:rPr>
          <w:rFonts w:ascii="Book Antiqua" w:hAnsi="Book Antiqua"/>
          <w:szCs w:val="24"/>
          <w:lang w:val="es-PR"/>
        </w:rPr>
        <w:t xml:space="preserve"> </w:t>
      </w:r>
      <w:r w:rsidR="00F36DBE" w:rsidRPr="006C2B3A">
        <w:rPr>
          <w:rFonts w:ascii="Book Antiqua" w:hAnsi="Book Antiqua"/>
          <w:szCs w:val="24"/>
          <w:lang w:val="es-PR"/>
        </w:rPr>
        <w:t>($50</w:t>
      </w:r>
      <w:r>
        <w:rPr>
          <w:rFonts w:ascii="Book Antiqua" w:hAnsi="Book Antiqua"/>
          <w:szCs w:val="24"/>
          <w:lang w:val="es-PR"/>
        </w:rPr>
        <w:t>.00</w:t>
      </w:r>
      <w:r w:rsidR="00F36DBE" w:rsidRPr="006C2B3A">
        <w:rPr>
          <w:rFonts w:ascii="Book Antiqua" w:hAnsi="Book Antiqua"/>
          <w:szCs w:val="24"/>
          <w:lang w:val="es-PR"/>
        </w:rPr>
        <w:t>)</w:t>
      </w:r>
      <w:r w:rsidR="000F3813">
        <w:rPr>
          <w:rFonts w:ascii="Book Antiqua" w:hAnsi="Book Antiqua"/>
          <w:szCs w:val="24"/>
          <w:lang w:val="es-PR"/>
        </w:rPr>
        <w:t>.</w:t>
      </w:r>
    </w:p>
    <w:p w14:paraId="30F2DC1A" w14:textId="77777777" w:rsidR="00B02D1B" w:rsidRDefault="00B02D1B"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5043E4" w:rsidRPr="006C2B3A">
        <w:rPr>
          <w:rFonts w:ascii="Book Antiqua" w:hAnsi="Book Antiqua"/>
          <w:szCs w:val="24"/>
          <w:lang w:val="es-PR"/>
        </w:rPr>
        <w:t>Cuando una persona no cumple con el pago de la multa o con los días de servicio comunitario</w:t>
      </w:r>
      <w:r w:rsidR="005043E4" w:rsidRPr="00D15BF0">
        <w:rPr>
          <w:rFonts w:ascii="Book Antiqua" w:hAnsi="Book Antiqua"/>
          <w:szCs w:val="24"/>
          <w:lang w:val="es-PR"/>
        </w:rPr>
        <w:t xml:space="preserve">, </w:t>
      </w:r>
      <w:r w:rsidR="005043E4">
        <w:rPr>
          <w:rFonts w:ascii="Book Antiqua" w:hAnsi="Book Antiqua"/>
          <w:szCs w:val="24"/>
          <w:lang w:val="es-PR"/>
        </w:rPr>
        <w:t>el Tribunal</w:t>
      </w:r>
      <w:r w:rsidR="005043E4" w:rsidRPr="00D15BF0">
        <w:rPr>
          <w:rFonts w:ascii="Book Antiqua" w:hAnsi="Book Antiqua"/>
          <w:szCs w:val="24"/>
          <w:lang w:val="es-PR"/>
        </w:rPr>
        <w:t xml:space="preserve"> procederá a imponer una pena de reclusión</w:t>
      </w:r>
      <w:r w:rsidR="005043E4">
        <w:rPr>
          <w:rFonts w:ascii="Book Antiqua" w:hAnsi="Book Antiqua"/>
          <w:szCs w:val="24"/>
          <w:lang w:val="es-PR"/>
        </w:rPr>
        <w:t xml:space="preserve">, </w:t>
      </w:r>
      <w:r w:rsidR="00116479">
        <w:rPr>
          <w:rFonts w:ascii="Book Antiqua" w:hAnsi="Book Antiqua"/>
          <w:szCs w:val="24"/>
          <w:lang w:val="es-PR"/>
        </w:rPr>
        <w:t>la cual</w:t>
      </w:r>
      <w:r w:rsidR="005043E4">
        <w:rPr>
          <w:rFonts w:ascii="Book Antiqua" w:hAnsi="Book Antiqua"/>
          <w:szCs w:val="24"/>
          <w:lang w:val="es-PR"/>
        </w:rPr>
        <w:t xml:space="preserve"> </w:t>
      </w:r>
      <w:r w:rsidR="005043E4" w:rsidRPr="00D15BF0">
        <w:rPr>
          <w:rFonts w:ascii="Book Antiqua" w:hAnsi="Book Antiqua"/>
          <w:szCs w:val="24"/>
          <w:lang w:val="es-PR"/>
        </w:rPr>
        <w:t xml:space="preserve">se calculará a razón de cincuenta dólares </w:t>
      </w:r>
      <w:r w:rsidR="005043E4" w:rsidRPr="006C2B3A">
        <w:rPr>
          <w:rFonts w:ascii="Book Antiqua" w:hAnsi="Book Antiqua"/>
          <w:szCs w:val="24"/>
          <w:lang w:val="es-PR"/>
        </w:rPr>
        <w:t>($50</w:t>
      </w:r>
      <w:r>
        <w:rPr>
          <w:rFonts w:ascii="Book Antiqua" w:hAnsi="Book Antiqua"/>
          <w:szCs w:val="24"/>
          <w:lang w:val="es-PR"/>
        </w:rPr>
        <w:t>.00</w:t>
      </w:r>
      <w:r w:rsidR="005043E4" w:rsidRPr="006C2B3A">
        <w:rPr>
          <w:rFonts w:ascii="Book Antiqua" w:hAnsi="Book Antiqua"/>
          <w:szCs w:val="24"/>
          <w:lang w:val="es-PR"/>
        </w:rPr>
        <w:t xml:space="preserve">) </w:t>
      </w:r>
      <w:r w:rsidR="005043E4" w:rsidRPr="00D15BF0">
        <w:rPr>
          <w:rFonts w:ascii="Book Antiqua" w:hAnsi="Book Antiqua"/>
          <w:szCs w:val="24"/>
          <w:lang w:val="es-PR"/>
        </w:rPr>
        <w:t>por cada día de prisión</w:t>
      </w:r>
      <w:r w:rsidR="005043E4">
        <w:rPr>
          <w:rFonts w:ascii="Book Antiqua" w:hAnsi="Book Antiqua"/>
          <w:szCs w:val="24"/>
          <w:lang w:val="es-PR"/>
        </w:rPr>
        <w:t>, según el Código Penal.</w:t>
      </w:r>
    </w:p>
    <w:p w14:paraId="2FFB892E" w14:textId="77777777" w:rsidR="00E1052E" w:rsidRDefault="00B02D1B"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DF4EDF" w:rsidRPr="00D15BF0">
        <w:rPr>
          <w:rFonts w:ascii="Book Antiqua" w:hAnsi="Book Antiqua"/>
          <w:szCs w:val="24"/>
          <w:lang w:val="es-PR"/>
        </w:rPr>
        <w:t xml:space="preserve">Sin embargo, las disposiciones </w:t>
      </w:r>
      <w:r w:rsidR="00DF4EDF">
        <w:rPr>
          <w:rFonts w:ascii="Book Antiqua" w:hAnsi="Book Antiqua"/>
          <w:szCs w:val="24"/>
          <w:lang w:val="es-PR"/>
        </w:rPr>
        <w:t xml:space="preserve">de las </w:t>
      </w:r>
      <w:r w:rsidR="00DF4EDF" w:rsidRPr="00D15BF0">
        <w:rPr>
          <w:rFonts w:ascii="Book Antiqua" w:hAnsi="Book Antiqua"/>
          <w:szCs w:val="24"/>
          <w:lang w:val="es-PR"/>
        </w:rPr>
        <w:t>Reglas de Procedimiento Criminal</w:t>
      </w:r>
      <w:r w:rsidR="00F36DBE">
        <w:rPr>
          <w:rFonts w:ascii="Book Antiqua" w:hAnsi="Book Antiqua"/>
          <w:szCs w:val="24"/>
          <w:lang w:val="es-PR"/>
        </w:rPr>
        <w:t xml:space="preserve"> de</w:t>
      </w:r>
      <w:r>
        <w:rPr>
          <w:rFonts w:ascii="Book Antiqua" w:hAnsi="Book Antiqua"/>
          <w:szCs w:val="24"/>
          <w:lang w:val="es-PR"/>
        </w:rPr>
        <w:t xml:space="preserve"> Puerto Rico de</w:t>
      </w:r>
      <w:r w:rsidR="00F36DBE">
        <w:rPr>
          <w:rFonts w:ascii="Book Antiqua" w:hAnsi="Book Antiqua"/>
          <w:szCs w:val="24"/>
          <w:lang w:val="es-PR"/>
        </w:rPr>
        <w:t xml:space="preserve"> 1963</w:t>
      </w:r>
      <w:r w:rsidR="00DF4EDF" w:rsidRPr="00D15BF0">
        <w:rPr>
          <w:rFonts w:ascii="Book Antiqua" w:hAnsi="Book Antiqua"/>
          <w:szCs w:val="24"/>
          <w:lang w:val="es-PR"/>
        </w:rPr>
        <w:t xml:space="preserve"> </w:t>
      </w:r>
      <w:r w:rsidR="00DF4EDF">
        <w:rPr>
          <w:rFonts w:ascii="Book Antiqua" w:hAnsi="Book Antiqua"/>
          <w:szCs w:val="24"/>
          <w:lang w:val="es-PR"/>
        </w:rPr>
        <w:t>contrastan con las del Código Penal en cuanto al valor monetario en la conversión de las penas de multa.</w:t>
      </w:r>
    </w:p>
    <w:p w14:paraId="39A510F8" w14:textId="77777777" w:rsidR="00EE30C9" w:rsidRDefault="00E1052E"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DF4EDF">
        <w:rPr>
          <w:rFonts w:ascii="Book Antiqua" w:hAnsi="Book Antiqua"/>
          <w:szCs w:val="24"/>
          <w:lang w:val="es-PR"/>
        </w:rPr>
        <w:t xml:space="preserve">A </w:t>
      </w:r>
      <w:r w:rsidR="00116479">
        <w:rPr>
          <w:rFonts w:ascii="Book Antiqua" w:hAnsi="Book Antiqua"/>
          <w:szCs w:val="24"/>
          <w:lang w:val="es-PR"/>
        </w:rPr>
        <w:t>tales efectos,</w:t>
      </w:r>
      <w:r w:rsidR="00DF4EDF">
        <w:rPr>
          <w:rFonts w:ascii="Book Antiqua" w:hAnsi="Book Antiqua"/>
          <w:szCs w:val="24"/>
          <w:lang w:val="es-PR"/>
        </w:rPr>
        <w:t xml:space="preserve"> l</w:t>
      </w:r>
      <w:r w:rsidR="00DF4EDF" w:rsidRPr="00D15BF0">
        <w:rPr>
          <w:rFonts w:ascii="Book Antiqua" w:hAnsi="Book Antiqua"/>
          <w:szCs w:val="24"/>
          <w:lang w:val="es-PR"/>
        </w:rPr>
        <w:t xml:space="preserve">a Regla 172 </w:t>
      </w:r>
      <w:r w:rsidR="00F36DBE">
        <w:rPr>
          <w:rFonts w:ascii="Book Antiqua" w:hAnsi="Book Antiqua"/>
          <w:szCs w:val="24"/>
          <w:lang w:val="es-PR"/>
        </w:rPr>
        <w:t xml:space="preserve">de las </w:t>
      </w:r>
      <w:r w:rsidR="00F36DBE" w:rsidRPr="00D15BF0">
        <w:rPr>
          <w:rFonts w:ascii="Book Antiqua" w:hAnsi="Book Antiqua"/>
          <w:szCs w:val="24"/>
          <w:lang w:val="es-PR"/>
        </w:rPr>
        <w:t>Reglas de Procedimiento Criminal</w:t>
      </w:r>
      <w:r w:rsidR="00F36DBE">
        <w:rPr>
          <w:rFonts w:ascii="Book Antiqua" w:hAnsi="Book Antiqua"/>
          <w:szCs w:val="24"/>
          <w:lang w:val="es-PR"/>
        </w:rPr>
        <w:t xml:space="preserve"> </w:t>
      </w:r>
      <w:r w:rsidR="00DF4EDF" w:rsidRPr="00D15BF0">
        <w:rPr>
          <w:rFonts w:ascii="Book Antiqua" w:hAnsi="Book Antiqua"/>
          <w:szCs w:val="24"/>
          <w:lang w:val="es-PR"/>
        </w:rPr>
        <w:t xml:space="preserve">dispone que, de no pagarse la multa, el convicto cumplirá </w:t>
      </w:r>
      <w:r w:rsidR="00DF4EDF" w:rsidRPr="00E1052E">
        <w:rPr>
          <w:rFonts w:ascii="Book Antiqua" w:hAnsi="Book Antiqua"/>
          <w:szCs w:val="24"/>
          <w:lang w:val="es-PR"/>
        </w:rPr>
        <w:t>un día de prisión por cada dólar dejado de pagar</w:t>
      </w:r>
      <w:r w:rsidR="00DF4EDF" w:rsidRPr="00D15BF0">
        <w:rPr>
          <w:rFonts w:ascii="Book Antiqua" w:hAnsi="Book Antiqua"/>
          <w:szCs w:val="24"/>
          <w:lang w:val="es-PR"/>
        </w:rPr>
        <w:t xml:space="preserve">, hasta un máximo de noventa </w:t>
      </w:r>
      <w:r>
        <w:rPr>
          <w:rFonts w:ascii="Book Antiqua" w:hAnsi="Book Antiqua"/>
          <w:szCs w:val="24"/>
          <w:lang w:val="es-PR"/>
        </w:rPr>
        <w:t xml:space="preserve">(90) </w:t>
      </w:r>
      <w:r w:rsidR="00DF4EDF" w:rsidRPr="00D15BF0">
        <w:rPr>
          <w:rFonts w:ascii="Book Antiqua" w:hAnsi="Book Antiqua"/>
          <w:szCs w:val="24"/>
          <w:lang w:val="es-PR"/>
        </w:rPr>
        <w:t xml:space="preserve">días. </w:t>
      </w:r>
      <w:r w:rsidR="00DF4EDF">
        <w:rPr>
          <w:rFonts w:ascii="Book Antiqua" w:hAnsi="Book Antiqua"/>
          <w:szCs w:val="24"/>
          <w:lang w:val="es-PR"/>
        </w:rPr>
        <w:t xml:space="preserve">Por su parte, </w:t>
      </w:r>
      <w:r w:rsidR="00DF4EDF" w:rsidRPr="00D15BF0">
        <w:rPr>
          <w:rFonts w:ascii="Book Antiqua" w:hAnsi="Book Antiqua"/>
          <w:szCs w:val="24"/>
          <w:lang w:val="es-PR"/>
        </w:rPr>
        <w:t xml:space="preserve">la Regla 177 </w:t>
      </w:r>
      <w:r w:rsidR="00F36DBE">
        <w:rPr>
          <w:rFonts w:ascii="Book Antiqua" w:hAnsi="Book Antiqua"/>
          <w:szCs w:val="24"/>
          <w:lang w:val="es-PR"/>
        </w:rPr>
        <w:t xml:space="preserve">del referido Cuerpo de Reglas </w:t>
      </w:r>
      <w:r w:rsidR="00DF4EDF" w:rsidRPr="00D15BF0">
        <w:rPr>
          <w:rFonts w:ascii="Book Antiqua" w:hAnsi="Book Antiqua"/>
          <w:szCs w:val="24"/>
          <w:lang w:val="es-PR"/>
        </w:rPr>
        <w:t>establece que</w:t>
      </w:r>
      <w:r w:rsidR="00F36DBE">
        <w:rPr>
          <w:rFonts w:ascii="Book Antiqua" w:hAnsi="Book Antiqua"/>
          <w:szCs w:val="24"/>
          <w:lang w:val="es-PR"/>
        </w:rPr>
        <w:t>,</w:t>
      </w:r>
      <w:r w:rsidR="00DF4EDF" w:rsidRPr="00D15BF0">
        <w:rPr>
          <w:rFonts w:ascii="Book Antiqua" w:hAnsi="Book Antiqua"/>
          <w:szCs w:val="24"/>
          <w:lang w:val="es-PR"/>
        </w:rPr>
        <w:t xml:space="preserve"> si se empieza a cumplir con la pena de </w:t>
      </w:r>
      <w:r w:rsidR="00F36DBE">
        <w:rPr>
          <w:rFonts w:ascii="Book Antiqua" w:hAnsi="Book Antiqua"/>
          <w:szCs w:val="24"/>
          <w:lang w:val="es-PR"/>
        </w:rPr>
        <w:t>cárcel</w:t>
      </w:r>
      <w:r w:rsidR="00DF4EDF" w:rsidRPr="00D15BF0">
        <w:rPr>
          <w:rFonts w:ascii="Book Antiqua" w:hAnsi="Book Antiqua"/>
          <w:szCs w:val="24"/>
          <w:lang w:val="es-PR"/>
        </w:rPr>
        <w:t xml:space="preserve"> y luego se </w:t>
      </w:r>
      <w:r w:rsidR="00F36DBE">
        <w:rPr>
          <w:rFonts w:ascii="Book Antiqua" w:hAnsi="Book Antiqua"/>
          <w:szCs w:val="24"/>
          <w:lang w:val="es-PR"/>
        </w:rPr>
        <w:t>procede a</w:t>
      </w:r>
      <w:r w:rsidR="00DF4EDF" w:rsidRPr="00D15BF0">
        <w:rPr>
          <w:rFonts w:ascii="Book Antiqua" w:hAnsi="Book Antiqua"/>
          <w:szCs w:val="24"/>
          <w:lang w:val="es-PR"/>
        </w:rPr>
        <w:t xml:space="preserve"> pagar la multa, se abonará un dólar por cada día de reclusión cumplido</w:t>
      </w:r>
      <w:r w:rsidR="00DF4EDF">
        <w:rPr>
          <w:rFonts w:ascii="Book Antiqua" w:hAnsi="Book Antiqua"/>
          <w:szCs w:val="24"/>
          <w:lang w:val="es-PR"/>
        </w:rPr>
        <w:t>.</w:t>
      </w:r>
    </w:p>
    <w:p w14:paraId="15EB68D4" w14:textId="77777777" w:rsidR="00AA2618" w:rsidRDefault="00EE30C9"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F36DBE" w:rsidRPr="006C2B3A">
        <w:rPr>
          <w:rFonts w:ascii="Book Antiqua" w:hAnsi="Book Antiqua"/>
          <w:szCs w:val="24"/>
          <w:lang w:val="es-PR"/>
        </w:rPr>
        <w:t xml:space="preserve">Esta </w:t>
      </w:r>
      <w:r w:rsidR="00F36DBE" w:rsidRPr="00F36DBE">
        <w:rPr>
          <w:rFonts w:ascii="Book Antiqua" w:hAnsi="Book Antiqua"/>
          <w:szCs w:val="24"/>
          <w:lang w:val="es-PR"/>
        </w:rPr>
        <w:t>discrepancia</w:t>
      </w:r>
      <w:r w:rsidR="00F36DBE" w:rsidRPr="006C2B3A">
        <w:rPr>
          <w:rFonts w:ascii="Book Antiqua" w:hAnsi="Book Antiqua"/>
          <w:szCs w:val="24"/>
          <w:lang w:val="es-PR"/>
        </w:rPr>
        <w:t xml:space="preserve"> entre el Código Penal y las reglas procesales crea una contradicción normativa que debe atenderse</w:t>
      </w:r>
      <w:r w:rsidR="00F36DBE">
        <w:rPr>
          <w:rFonts w:ascii="Book Antiqua" w:hAnsi="Book Antiqua"/>
          <w:szCs w:val="24"/>
          <w:lang w:val="es-PR"/>
        </w:rPr>
        <w:t xml:space="preserve"> promoviendo la </w:t>
      </w:r>
      <w:r w:rsidR="00F36DBE" w:rsidRPr="006C2B3A">
        <w:rPr>
          <w:rFonts w:ascii="Book Antiqua" w:hAnsi="Book Antiqua"/>
          <w:szCs w:val="24"/>
          <w:lang w:val="es-PR"/>
        </w:rPr>
        <w:t xml:space="preserve">uniformidad y coherencia entre las normas sustantivas y procesales, a fin de proteger los derechos fundamentales de </w:t>
      </w:r>
      <w:r w:rsidR="00F36DBE">
        <w:rPr>
          <w:rFonts w:ascii="Book Antiqua" w:hAnsi="Book Antiqua"/>
          <w:szCs w:val="24"/>
          <w:lang w:val="es-PR"/>
        </w:rPr>
        <w:t>todo ciudadano.</w:t>
      </w:r>
      <w:r w:rsidR="00AA2618">
        <w:rPr>
          <w:rFonts w:ascii="Book Antiqua" w:hAnsi="Book Antiqua"/>
          <w:lang w:val="es-PR"/>
        </w:rPr>
        <w:tab/>
      </w:r>
    </w:p>
    <w:p w14:paraId="3E4FD21E" w14:textId="77777777" w:rsidR="00AA2618" w:rsidRDefault="00AA2618"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F36DBE">
        <w:rPr>
          <w:rFonts w:ascii="Book Antiqua" w:hAnsi="Book Antiqua"/>
          <w:szCs w:val="24"/>
          <w:lang w:val="es-PR"/>
        </w:rPr>
        <w:t>E</w:t>
      </w:r>
      <w:r w:rsidR="00F36DBE" w:rsidRPr="00D15BF0">
        <w:rPr>
          <w:rFonts w:ascii="Book Antiqua" w:hAnsi="Book Antiqua"/>
          <w:szCs w:val="24"/>
          <w:lang w:val="es-PR"/>
        </w:rPr>
        <w:t xml:space="preserve">l </w:t>
      </w:r>
      <w:r>
        <w:rPr>
          <w:rFonts w:ascii="Book Antiqua" w:hAnsi="Book Antiqua"/>
          <w:szCs w:val="24"/>
          <w:lang w:val="es-PR"/>
        </w:rPr>
        <w:t>P. del S.</w:t>
      </w:r>
      <w:r w:rsidR="00F36DBE">
        <w:rPr>
          <w:rFonts w:ascii="Book Antiqua" w:hAnsi="Book Antiqua"/>
          <w:szCs w:val="24"/>
          <w:lang w:val="es-PR"/>
        </w:rPr>
        <w:t xml:space="preserve"> 106</w:t>
      </w:r>
      <w:r w:rsidR="00F36DBE" w:rsidRPr="00D15BF0">
        <w:rPr>
          <w:rFonts w:ascii="Book Antiqua" w:hAnsi="Book Antiqua"/>
          <w:szCs w:val="24"/>
          <w:lang w:val="es-PR"/>
        </w:rPr>
        <w:t xml:space="preserve"> propone enmendar las Reglas 172 y 177 </w:t>
      </w:r>
      <w:r w:rsidR="00F36DBE" w:rsidRPr="006C1EBB">
        <w:rPr>
          <w:rFonts w:ascii="Book Antiqua" w:hAnsi="Book Antiqua"/>
          <w:szCs w:val="24"/>
          <w:lang w:val="es-ES_tradnl"/>
        </w:rPr>
        <w:t xml:space="preserve">de las de Procedimiento Criminal </w:t>
      </w:r>
      <w:r w:rsidR="00F36DBE">
        <w:rPr>
          <w:rFonts w:ascii="Book Antiqua" w:hAnsi="Book Antiqua"/>
          <w:szCs w:val="24"/>
          <w:lang w:val="es-ES_tradnl"/>
        </w:rPr>
        <w:t>para</w:t>
      </w:r>
      <w:r w:rsidR="00F36DBE" w:rsidRPr="006C1EBB">
        <w:rPr>
          <w:rFonts w:ascii="Book Antiqua" w:hAnsi="Book Antiqua"/>
          <w:szCs w:val="24"/>
          <w:lang w:val="es-ES_tradnl"/>
        </w:rPr>
        <w:t xml:space="preserve"> atemperar su contenido a lo dispuesto en el Artículo 57 del Código Penal de Puerto Rico</w:t>
      </w:r>
      <w:r w:rsidR="00F36DBE">
        <w:rPr>
          <w:rFonts w:ascii="Book Antiqua" w:hAnsi="Book Antiqua"/>
          <w:szCs w:val="24"/>
          <w:lang w:val="es-PR"/>
        </w:rPr>
        <w:t>.</w:t>
      </w:r>
    </w:p>
    <w:p w14:paraId="5FB20965" w14:textId="173C9B53" w:rsidR="00DB7098" w:rsidRDefault="00AA2618"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084A93" w:rsidRPr="00337BB7">
        <w:rPr>
          <w:rFonts w:ascii="Book Antiqua" w:hAnsi="Book Antiqua"/>
          <w:lang w:val="es-PR"/>
        </w:rPr>
        <w:t xml:space="preserve">P. del S. </w:t>
      </w:r>
      <w:r w:rsidR="00084A93">
        <w:rPr>
          <w:rFonts w:ascii="Book Antiqua" w:hAnsi="Book Antiqua"/>
          <w:lang w:val="es-PR"/>
        </w:rPr>
        <w:t xml:space="preserve">106, </w:t>
      </w:r>
      <w:r w:rsidR="009F524F">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9154BD" w:rsidRPr="00337BB7">
        <w:rPr>
          <w:rFonts w:ascii="Book Antiqua" w:hAnsi="Book Antiqua"/>
          <w:lang w:val="es-PR"/>
        </w:rPr>
        <w:t>a las siguientes agencias y entidades</w:t>
      </w:r>
      <w:r w:rsidR="009313EE">
        <w:rPr>
          <w:rFonts w:ascii="Book Antiqua" w:hAnsi="Book Antiqua"/>
          <w:lang w:val="es-PR"/>
        </w:rPr>
        <w:t>:</w:t>
      </w:r>
      <w:r w:rsidR="00393CA6">
        <w:rPr>
          <w:rFonts w:ascii="Book Antiqua" w:hAnsi="Book Antiqua"/>
          <w:lang w:val="es-PR"/>
        </w:rPr>
        <w:t xml:space="preserve"> </w:t>
      </w:r>
      <w:r w:rsidR="00D45C67">
        <w:rPr>
          <w:rFonts w:ascii="Book Antiqua" w:hAnsi="Book Antiqua"/>
          <w:lang w:val="es-PR"/>
        </w:rPr>
        <w:t xml:space="preserve">Oficina de Administración de los Tribunales y de la </w:t>
      </w:r>
      <w:r w:rsidR="00BF2AF9" w:rsidRPr="00A25DA1">
        <w:rPr>
          <w:rFonts w:ascii="Book Antiqua" w:hAnsi="Book Antiqua"/>
          <w:lang w:val="es-PR"/>
        </w:rPr>
        <w:t>Ofici</w:t>
      </w:r>
      <w:r w:rsidR="00BF2AF9">
        <w:rPr>
          <w:rFonts w:ascii="Book Antiqua" w:hAnsi="Book Antiqua"/>
          <w:lang w:val="es-PR"/>
        </w:rPr>
        <w:t>na del Procurador del Ciudadano</w:t>
      </w:r>
      <w:r w:rsidR="006D5838" w:rsidRPr="00A11ED0">
        <w:rPr>
          <w:rFonts w:ascii="Book Antiqua" w:hAnsi="Book Antiqua"/>
          <w:lang w:val="es-PR"/>
        </w:rPr>
        <w:t xml:space="preserve">. </w:t>
      </w:r>
    </w:p>
    <w:p w14:paraId="7D81C205" w14:textId="60C40D37" w:rsidR="006D5838" w:rsidRPr="00337BB7" w:rsidRDefault="00AA2618"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AA2618">
      <w:pPr>
        <w:tabs>
          <w:tab w:val="left" w:pos="-720"/>
        </w:tabs>
        <w:suppressAutoHyphens/>
        <w:spacing w:line="276" w:lineRule="auto"/>
        <w:jc w:val="both"/>
        <w:rPr>
          <w:rFonts w:ascii="Book Antiqua" w:hAnsi="Book Antiqua"/>
          <w:b/>
          <w:bCs/>
          <w:u w:val="single"/>
          <w:lang w:val="es-PR"/>
        </w:rPr>
      </w:pPr>
    </w:p>
    <w:p w14:paraId="506697A3" w14:textId="27A772B4" w:rsidR="00CA1098" w:rsidRPr="00803E06" w:rsidRDefault="001918C8" w:rsidP="00AA2618">
      <w:pPr>
        <w:tabs>
          <w:tab w:val="left" w:pos="-720"/>
        </w:tabs>
        <w:suppressAutoHyphens/>
        <w:spacing w:line="276" w:lineRule="auto"/>
        <w:jc w:val="center"/>
        <w:rPr>
          <w:rFonts w:ascii="Book Antiqua" w:hAnsi="Book Antiqua"/>
          <w:b/>
          <w:bCs/>
          <w:lang w:val="es-PR"/>
        </w:rPr>
      </w:pPr>
      <w:r w:rsidRPr="00803E06">
        <w:rPr>
          <w:rFonts w:ascii="Book Antiqua" w:hAnsi="Book Antiqua"/>
          <w:b/>
          <w:bCs/>
          <w:lang w:val="es-PR"/>
        </w:rPr>
        <w:t xml:space="preserve">OFICINA DE ADMINISTRACIÓN DE LOS TRIBUNALES </w:t>
      </w:r>
    </w:p>
    <w:p w14:paraId="471B5547" w14:textId="77777777" w:rsidR="00867243" w:rsidRPr="00803E06" w:rsidRDefault="00867243" w:rsidP="00AA2618">
      <w:pPr>
        <w:tabs>
          <w:tab w:val="left" w:pos="-720"/>
        </w:tabs>
        <w:suppressAutoHyphens/>
        <w:spacing w:line="276" w:lineRule="auto"/>
        <w:jc w:val="both"/>
        <w:rPr>
          <w:rFonts w:ascii="Book Antiqua" w:hAnsi="Book Antiqua"/>
          <w:b/>
          <w:bCs/>
          <w:lang w:val="es-PR"/>
        </w:rPr>
      </w:pPr>
    </w:p>
    <w:p w14:paraId="39679CF4" w14:textId="77777777" w:rsidR="00AA2618" w:rsidRDefault="00803E06" w:rsidP="00AA2618">
      <w:pPr>
        <w:spacing w:line="276" w:lineRule="auto"/>
        <w:ind w:firstLine="720"/>
        <w:jc w:val="both"/>
        <w:rPr>
          <w:rFonts w:ascii="Book Antiqua" w:hAnsi="Book Antiqua"/>
          <w:lang w:val="es-PR"/>
        </w:rPr>
      </w:pPr>
      <w:r w:rsidRPr="00803E06">
        <w:rPr>
          <w:rFonts w:ascii="Book Antiqua" w:hAnsi="Book Antiqua"/>
          <w:lang w:val="es-PR"/>
        </w:rPr>
        <w:t>La Oficina de Administración de los Tribunales (en adelante, OAT) expuso que el Código Penal de Puerto Rico de 2012 reconoce la multa como una de las penas que pueden imponerse a una persona natural declarada culpable de delito. Así lo dispone el Artículo 48, el cual establece que el tribunal fijará el importe de la multa tomando en consideración distintos factores, tales como la capacidad económica del convicto, sus responsabilidades familiares, su salud, edad, profesión y cualquier otra circunstancia particular del caso.</w:t>
      </w:r>
    </w:p>
    <w:p w14:paraId="4377BC52" w14:textId="77777777" w:rsidR="00AA2618" w:rsidRDefault="00803E06" w:rsidP="00AA2618">
      <w:pPr>
        <w:spacing w:line="276" w:lineRule="auto"/>
        <w:ind w:firstLine="720"/>
        <w:jc w:val="both"/>
        <w:rPr>
          <w:rFonts w:ascii="Book Antiqua" w:hAnsi="Book Antiqua"/>
          <w:lang w:val="es-PR"/>
        </w:rPr>
      </w:pPr>
      <w:r w:rsidRPr="00803E06">
        <w:rPr>
          <w:rFonts w:ascii="Book Antiqua" w:hAnsi="Book Antiqua"/>
          <w:lang w:val="es-PR"/>
        </w:rPr>
        <w:lastRenderedPageBreak/>
        <w:t>Indicó, además, que el referido Código establece procedimientos específicos para el pago de la multa. En ese sentido</w:t>
      </w:r>
      <w:r w:rsidR="005569A7">
        <w:rPr>
          <w:rFonts w:ascii="Book Antiqua" w:hAnsi="Book Antiqua"/>
          <w:lang w:val="es-PR"/>
        </w:rPr>
        <w:t xml:space="preserve"> sostuvo que</w:t>
      </w:r>
      <w:r w:rsidRPr="00803E06">
        <w:rPr>
          <w:rFonts w:ascii="Book Antiqua" w:hAnsi="Book Antiqua"/>
          <w:lang w:val="es-PR"/>
        </w:rPr>
        <w:t xml:space="preserve">, el Artículo 55 dispone que el pago debe realizarse dentro de los treinta (30) días siguientes a su imposición, aunque el tribunal puede permitir que se efectúe en plazos o dentro de un término mayor, si así lo solicita la </w:t>
      </w:r>
      <w:bookmarkStart w:id="5" w:name="_Hlk203325423"/>
      <w:r w:rsidRPr="00803E06">
        <w:rPr>
          <w:rFonts w:ascii="Book Antiqua" w:hAnsi="Book Antiqua"/>
          <w:lang w:val="es-PR"/>
        </w:rPr>
        <w:t>persona sentenciada</w:t>
      </w:r>
      <w:bookmarkEnd w:id="5"/>
      <w:r w:rsidRPr="00803E06">
        <w:rPr>
          <w:rFonts w:ascii="Book Antiqua" w:hAnsi="Book Antiqua"/>
          <w:lang w:val="es-PR"/>
        </w:rPr>
        <w:t xml:space="preserve">. En caso de que el convicto no pueda pagar y así lo demuestre, el </w:t>
      </w:r>
      <w:r w:rsidR="00AA2618">
        <w:rPr>
          <w:rFonts w:ascii="Book Antiqua" w:hAnsi="Book Antiqua"/>
          <w:lang w:val="es-PR"/>
        </w:rPr>
        <w:t>T</w:t>
      </w:r>
      <w:r w:rsidRPr="00803E06">
        <w:rPr>
          <w:rFonts w:ascii="Book Antiqua" w:hAnsi="Book Antiqua"/>
          <w:lang w:val="es-PR"/>
        </w:rPr>
        <w:t>ribunal tiene la facultad de autorizar que la multa se salde mediante la prestación de servicios comunitarios. A esos efectos, señaló que el ordenamiento legal dispone que cada día de servicio comunitario equivale a cincuenta dólares ($50</w:t>
      </w:r>
      <w:r w:rsidR="00AA2618">
        <w:rPr>
          <w:rFonts w:ascii="Book Antiqua" w:hAnsi="Book Antiqua"/>
          <w:lang w:val="es-PR"/>
        </w:rPr>
        <w:t>.00</w:t>
      </w:r>
      <w:r w:rsidRPr="00803E06">
        <w:rPr>
          <w:rFonts w:ascii="Book Antiqua" w:hAnsi="Book Antiqua"/>
          <w:lang w:val="es-PR"/>
        </w:rPr>
        <w:t>).</w:t>
      </w:r>
    </w:p>
    <w:p w14:paraId="5D766713" w14:textId="77777777" w:rsidR="00AA2618" w:rsidRDefault="00803E06" w:rsidP="00AA2618">
      <w:pPr>
        <w:spacing w:line="276" w:lineRule="auto"/>
        <w:ind w:firstLine="720"/>
        <w:jc w:val="both"/>
        <w:rPr>
          <w:rFonts w:ascii="Book Antiqua" w:hAnsi="Book Antiqua"/>
          <w:lang w:val="es-PR"/>
        </w:rPr>
      </w:pPr>
      <w:r w:rsidRPr="00803E06">
        <w:rPr>
          <w:rFonts w:ascii="Book Antiqua" w:hAnsi="Book Antiqua"/>
          <w:lang w:val="es-PR"/>
        </w:rPr>
        <w:t xml:space="preserve">De igual forma, </w:t>
      </w:r>
      <w:r>
        <w:rPr>
          <w:rFonts w:ascii="Book Antiqua" w:hAnsi="Book Antiqua"/>
          <w:lang w:val="es-PR"/>
        </w:rPr>
        <w:t xml:space="preserve">la OAT </w:t>
      </w:r>
      <w:r w:rsidR="00AE5DCE">
        <w:rPr>
          <w:rFonts w:ascii="Book Antiqua" w:hAnsi="Book Antiqua"/>
          <w:lang w:val="es-PR"/>
        </w:rPr>
        <w:t>señaló</w:t>
      </w:r>
      <w:r w:rsidRPr="00803E06">
        <w:rPr>
          <w:rFonts w:ascii="Book Antiqua" w:hAnsi="Book Antiqua"/>
          <w:lang w:val="es-PR"/>
        </w:rPr>
        <w:t xml:space="preserve"> que el Artículo 57 del Código Penal establece que, si el pago de la multa o de los servicios comunitarios no se cumple conforme a lo dispuesto, se podrá imponer una pena de reclusión subsidiaria, la cual se calculará a razón de cincuenta dólares ($50</w:t>
      </w:r>
      <w:r w:rsidR="00AA2618">
        <w:rPr>
          <w:rFonts w:ascii="Book Antiqua" w:hAnsi="Book Antiqua"/>
          <w:lang w:val="es-PR"/>
        </w:rPr>
        <w:t>.00</w:t>
      </w:r>
      <w:r w:rsidRPr="00803E06">
        <w:rPr>
          <w:rFonts w:ascii="Book Antiqua" w:hAnsi="Book Antiqua"/>
          <w:lang w:val="es-PR"/>
        </w:rPr>
        <w:t>) por cada día de prisión.</w:t>
      </w:r>
    </w:p>
    <w:p w14:paraId="6340B314" w14:textId="77777777" w:rsidR="00A3074C" w:rsidRDefault="00803E06" w:rsidP="00A3074C">
      <w:pPr>
        <w:spacing w:line="276" w:lineRule="auto"/>
        <w:ind w:firstLine="720"/>
        <w:jc w:val="both"/>
        <w:rPr>
          <w:rFonts w:ascii="Book Antiqua" w:hAnsi="Book Antiqua"/>
          <w:lang w:val="es-PR"/>
        </w:rPr>
      </w:pPr>
      <w:r>
        <w:rPr>
          <w:rFonts w:ascii="Book Antiqua" w:hAnsi="Book Antiqua"/>
          <w:lang w:val="es-PR"/>
        </w:rPr>
        <w:t>Por otro lado, afirmó</w:t>
      </w:r>
      <w:r w:rsidRPr="00803E06">
        <w:rPr>
          <w:rFonts w:ascii="Book Antiqua" w:hAnsi="Book Antiqua"/>
          <w:lang w:val="es-PR"/>
        </w:rPr>
        <w:t xml:space="preserve"> que las Reglas de Procedimiento Criminal contienen disposiciones distintas a las del Código Penal vigente, genera</w:t>
      </w:r>
      <w:r>
        <w:rPr>
          <w:rFonts w:ascii="Book Antiqua" w:hAnsi="Book Antiqua"/>
          <w:lang w:val="es-PR"/>
        </w:rPr>
        <w:t>n</w:t>
      </w:r>
      <w:r w:rsidRPr="00803E06">
        <w:rPr>
          <w:rFonts w:ascii="Book Antiqua" w:hAnsi="Book Antiqua"/>
          <w:lang w:val="es-PR"/>
        </w:rPr>
        <w:t xml:space="preserve">do una incongruencia normativa. </w:t>
      </w:r>
      <w:r w:rsidR="005569A7">
        <w:rPr>
          <w:rFonts w:ascii="Book Antiqua" w:hAnsi="Book Antiqua"/>
          <w:lang w:val="es-PR"/>
        </w:rPr>
        <w:t>Indic</w:t>
      </w:r>
      <w:r w:rsidRPr="00803E06">
        <w:rPr>
          <w:rFonts w:ascii="Book Antiqua" w:hAnsi="Book Antiqua"/>
          <w:lang w:val="es-PR"/>
        </w:rPr>
        <w:t xml:space="preserve">ó que la Regla 172 dispone que, de no pagarse la multa, el convicto cumplirá un día de prisión </w:t>
      </w:r>
      <w:r w:rsidRPr="00AA2618">
        <w:rPr>
          <w:rFonts w:ascii="Book Antiqua" w:hAnsi="Book Antiqua"/>
          <w:b/>
          <w:bCs/>
          <w:lang w:val="es-PR"/>
        </w:rPr>
        <w:t>por cada dólar</w:t>
      </w:r>
      <w:r w:rsidRPr="00803E06">
        <w:rPr>
          <w:rFonts w:ascii="Book Antiqua" w:hAnsi="Book Antiqua"/>
          <w:lang w:val="es-PR"/>
        </w:rPr>
        <w:t xml:space="preserve"> dejado de pagar, hasta un máximo de noventa (90) días. A su vez, la Regla 177 establece que, si se comienza a cumplir con la pena de prisión subsidiaria y luego se decide pagar la multa, se abonará un dólar ($1) por cada día de reclusión cumplido.</w:t>
      </w:r>
    </w:p>
    <w:p w14:paraId="0EC2C1C2" w14:textId="77777777" w:rsidR="00A3074C" w:rsidRDefault="00AE5DCE" w:rsidP="00A3074C">
      <w:pPr>
        <w:spacing w:line="276" w:lineRule="auto"/>
        <w:ind w:firstLine="720"/>
        <w:jc w:val="both"/>
        <w:rPr>
          <w:rFonts w:ascii="Book Antiqua" w:hAnsi="Book Antiqua"/>
          <w:lang w:val="es-PR"/>
        </w:rPr>
      </w:pPr>
      <w:r>
        <w:rPr>
          <w:rFonts w:ascii="Book Antiqua" w:hAnsi="Book Antiqua"/>
          <w:lang w:val="es-PR"/>
        </w:rPr>
        <w:t>La OAT concluyó que</w:t>
      </w:r>
      <w:r w:rsidR="00803E06" w:rsidRPr="00803E06">
        <w:rPr>
          <w:rFonts w:ascii="Book Antiqua" w:hAnsi="Book Antiqua"/>
          <w:lang w:val="es-PR"/>
        </w:rPr>
        <w:t xml:space="preserve"> estas disposiciones procesales contrastan con lo dispuesto en el Código Penal, el cual establece un valor significativamente distinto para el cálculo de la pena de prisión en sustitución de multa: cincuenta dólares ($50) por día, en lugar de uno ($1). </w:t>
      </w:r>
      <w:r>
        <w:rPr>
          <w:rFonts w:ascii="Book Antiqua" w:hAnsi="Book Antiqua"/>
          <w:lang w:val="es-PR"/>
        </w:rPr>
        <w:t>Por ello considera que est</w:t>
      </w:r>
      <w:r w:rsidR="00803E06" w:rsidRPr="00803E06">
        <w:rPr>
          <w:rFonts w:ascii="Book Antiqua" w:hAnsi="Book Antiqua"/>
          <w:lang w:val="es-PR"/>
        </w:rPr>
        <w:t>a discrepancia crea un problema de coherencia normativa que puede incidir negativamente sobre el principio de favorabilidad y sobre la uniformidad en la aplicación de la ley.</w:t>
      </w:r>
    </w:p>
    <w:p w14:paraId="5307884A" w14:textId="7458D3D0" w:rsidR="00803E06" w:rsidRPr="00803E06" w:rsidRDefault="00803E06" w:rsidP="00A3074C">
      <w:pPr>
        <w:spacing w:line="276" w:lineRule="auto"/>
        <w:ind w:firstLine="720"/>
        <w:jc w:val="both"/>
        <w:rPr>
          <w:rFonts w:ascii="Book Antiqua" w:hAnsi="Book Antiqua"/>
          <w:lang w:val="es-PR"/>
        </w:rPr>
      </w:pPr>
      <w:r w:rsidRPr="00803E06">
        <w:rPr>
          <w:rFonts w:ascii="Book Antiqua" w:hAnsi="Book Antiqua"/>
          <w:lang w:val="es-PR"/>
        </w:rPr>
        <w:t>La OAT consideró acertadas las enmiendas propuestas en la medida legislativa bajo evaluación, toda vez que buscan lograr una correspondencia entre el Código Penal y las Reglas de Procedimiento Criminal pertinentes. Señaló que esto sería de beneficio para la uniformidad en la aplicación de las reglas procesales en los procedimientos criminales, al sustituir la referencia actual de “un dólar” por “cincuenta dólares ($50)”, con el fin de armonizar dichas reglas con lo dispuesto en el Código Penal. No obstante, advirtió que el texto propuesto para enmendar la Regla 172 omite incluir su segundo párrafo vigente, lo cual debe corregirse para evitar la eliminación inadvertida de disposiciones procesales importantes.</w:t>
      </w:r>
    </w:p>
    <w:p w14:paraId="59A84696" w14:textId="25EEEE3F" w:rsidR="000E2AF9" w:rsidRPr="00D15BF0" w:rsidRDefault="000E2AF9" w:rsidP="00AA2618">
      <w:pPr>
        <w:spacing w:line="276" w:lineRule="auto"/>
        <w:jc w:val="both"/>
        <w:rPr>
          <w:rFonts w:ascii="Book Antiqua" w:hAnsi="Book Antiqua"/>
          <w:szCs w:val="24"/>
          <w:lang w:val="es-PR"/>
        </w:rPr>
      </w:pPr>
    </w:p>
    <w:p w14:paraId="0E32D796" w14:textId="77777777" w:rsidR="00A3074C" w:rsidRDefault="00A3074C" w:rsidP="00AA2618">
      <w:pPr>
        <w:tabs>
          <w:tab w:val="left" w:pos="-720"/>
        </w:tabs>
        <w:suppressAutoHyphens/>
        <w:spacing w:line="276" w:lineRule="auto"/>
        <w:jc w:val="center"/>
        <w:rPr>
          <w:rFonts w:ascii="Book Antiqua" w:hAnsi="Book Antiqua"/>
          <w:b/>
          <w:bCs/>
          <w:lang w:val="es-PR"/>
        </w:rPr>
      </w:pPr>
    </w:p>
    <w:p w14:paraId="7DCDE713" w14:textId="608FF83B" w:rsidR="001918C8" w:rsidRPr="00A25DA1" w:rsidRDefault="00A25DA1" w:rsidP="00AA2618">
      <w:pPr>
        <w:tabs>
          <w:tab w:val="left" w:pos="-720"/>
        </w:tabs>
        <w:suppressAutoHyphens/>
        <w:spacing w:line="276" w:lineRule="auto"/>
        <w:jc w:val="center"/>
        <w:rPr>
          <w:rFonts w:ascii="Book Antiqua" w:hAnsi="Book Antiqua"/>
          <w:b/>
          <w:bCs/>
          <w:lang w:val="es-PR"/>
        </w:rPr>
      </w:pPr>
      <w:r w:rsidRPr="00A25DA1">
        <w:rPr>
          <w:rFonts w:ascii="Book Antiqua" w:hAnsi="Book Antiqua"/>
          <w:b/>
          <w:bCs/>
          <w:lang w:val="es-PR"/>
        </w:rPr>
        <w:lastRenderedPageBreak/>
        <w:t>OFICINA DEL PROCURADOR DEL CIUDADANO</w:t>
      </w:r>
    </w:p>
    <w:p w14:paraId="6F20FBD3" w14:textId="77777777" w:rsidR="001918C8" w:rsidRDefault="001918C8" w:rsidP="00AA2618">
      <w:pPr>
        <w:tabs>
          <w:tab w:val="left" w:pos="-720"/>
        </w:tabs>
        <w:suppressAutoHyphens/>
        <w:spacing w:line="276" w:lineRule="auto"/>
        <w:jc w:val="both"/>
        <w:rPr>
          <w:rFonts w:ascii="Book Antiqua" w:hAnsi="Book Antiqua"/>
          <w:lang w:val="es-PR"/>
        </w:rPr>
      </w:pPr>
    </w:p>
    <w:p w14:paraId="07F6948D" w14:textId="77777777" w:rsidR="00CC51FC" w:rsidRDefault="00A25DA1" w:rsidP="00CC51FC">
      <w:pPr>
        <w:spacing w:line="276" w:lineRule="auto"/>
        <w:ind w:firstLine="720"/>
        <w:jc w:val="both"/>
        <w:rPr>
          <w:rFonts w:ascii="Book Antiqua" w:hAnsi="Book Antiqua"/>
          <w:szCs w:val="24"/>
          <w:lang w:val="es-PR"/>
        </w:rPr>
      </w:pPr>
      <w:r>
        <w:rPr>
          <w:rFonts w:ascii="Book Antiqua" w:hAnsi="Book Antiqua"/>
          <w:lang w:val="es-PR"/>
        </w:rPr>
        <w:t xml:space="preserve">La </w:t>
      </w:r>
      <w:r w:rsidRPr="00A25DA1">
        <w:rPr>
          <w:rFonts w:ascii="Book Antiqua" w:hAnsi="Book Antiqua"/>
          <w:lang w:val="es-PR"/>
        </w:rPr>
        <w:t>Ofici</w:t>
      </w:r>
      <w:r>
        <w:rPr>
          <w:rFonts w:ascii="Book Antiqua" w:hAnsi="Book Antiqua"/>
          <w:lang w:val="es-PR"/>
        </w:rPr>
        <w:t xml:space="preserve">na del Procurador del Ciudadano (en adelante </w:t>
      </w:r>
      <w:r w:rsidR="00E5079F" w:rsidRPr="009F431A">
        <w:rPr>
          <w:rFonts w:ascii="Book Antiqua" w:hAnsi="Book Antiqua"/>
          <w:szCs w:val="24"/>
          <w:lang w:val="es-PR"/>
        </w:rPr>
        <w:t xml:space="preserve">Oficina del </w:t>
      </w:r>
      <w:r w:rsidR="00A3074C">
        <w:rPr>
          <w:rFonts w:ascii="Book Antiqua" w:hAnsi="Book Antiqua"/>
          <w:lang w:val="es-PR"/>
        </w:rPr>
        <w:t>OMBUDSMAN) manifestó</w:t>
      </w:r>
      <w:r w:rsidR="009E043B" w:rsidRPr="00A73F14">
        <w:rPr>
          <w:rFonts w:ascii="Book Antiqua" w:hAnsi="Book Antiqua"/>
          <w:szCs w:val="24"/>
          <w:lang w:val="es-PR"/>
        </w:rPr>
        <w:t xml:space="preserve"> que el ordenamiento jurídico vigente, a través del Artículo 57 del Código Penal de Puerto Rico, dispone que las multas no pagadas podrán convertirse en una pena de reclusión, a razón de cincuenta dólares ($50) por cada día de prisión, hasta un máximo de noventa (90) días. </w:t>
      </w:r>
      <w:r w:rsidR="009E043B">
        <w:rPr>
          <w:rFonts w:ascii="Book Antiqua" w:hAnsi="Book Antiqua"/>
          <w:szCs w:val="24"/>
          <w:lang w:val="es-PR"/>
        </w:rPr>
        <w:t>Añadió que</w:t>
      </w:r>
      <w:r w:rsidR="009E043B" w:rsidRPr="00A73F14">
        <w:rPr>
          <w:rFonts w:ascii="Book Antiqua" w:hAnsi="Book Antiqua"/>
          <w:szCs w:val="24"/>
          <w:lang w:val="es-PR"/>
        </w:rPr>
        <w:t xml:space="preserve">, las Reglas 172 y 177 de Procedimiento Criminal contienen disposiciones contradictorias, ya que establecen que cada día de prisión equivale a un dólar ($1) de multa </w:t>
      </w:r>
      <w:r w:rsidR="00BC177F">
        <w:rPr>
          <w:rFonts w:ascii="Book Antiqua" w:hAnsi="Book Antiqua"/>
          <w:szCs w:val="24"/>
          <w:lang w:val="es-PR"/>
        </w:rPr>
        <w:t>no satisfecha</w:t>
      </w:r>
      <w:r w:rsidR="009E043B" w:rsidRPr="00A73F14">
        <w:rPr>
          <w:rFonts w:ascii="Book Antiqua" w:hAnsi="Book Antiqua"/>
          <w:szCs w:val="24"/>
          <w:lang w:val="es-PR"/>
        </w:rPr>
        <w:t xml:space="preserve">. </w:t>
      </w:r>
      <w:r w:rsidR="00BC177F">
        <w:rPr>
          <w:rFonts w:ascii="Book Antiqua" w:hAnsi="Book Antiqua"/>
          <w:szCs w:val="24"/>
          <w:lang w:val="es-PR"/>
        </w:rPr>
        <w:t>Ante ello sostuvo</w:t>
      </w:r>
      <w:r w:rsidR="00BC177F" w:rsidRPr="00A73F14">
        <w:rPr>
          <w:rFonts w:ascii="Book Antiqua" w:hAnsi="Book Antiqua"/>
          <w:szCs w:val="24"/>
          <w:lang w:val="es-PR"/>
        </w:rPr>
        <w:t xml:space="preserve"> que la aplicación de estas reglas procesales impacta de forma desproporcionada a las personas de escasos recursos económicos, para quienes el pago de una multa puede representar una carga significativa. </w:t>
      </w:r>
    </w:p>
    <w:p w14:paraId="465EE75C" w14:textId="77777777" w:rsidR="00D34145" w:rsidRDefault="00BC177F" w:rsidP="00D34145">
      <w:pPr>
        <w:spacing w:line="276" w:lineRule="auto"/>
        <w:ind w:firstLine="720"/>
        <w:jc w:val="both"/>
        <w:rPr>
          <w:rFonts w:ascii="Book Antiqua" w:hAnsi="Book Antiqua"/>
          <w:szCs w:val="24"/>
          <w:lang w:val="es-PR"/>
        </w:rPr>
      </w:pPr>
      <w:r>
        <w:rPr>
          <w:rFonts w:ascii="Book Antiqua" w:hAnsi="Book Antiqua"/>
          <w:szCs w:val="24"/>
          <w:lang w:val="es-PR"/>
        </w:rPr>
        <w:t xml:space="preserve">La </w:t>
      </w:r>
      <w:r w:rsidR="00E5079F" w:rsidRPr="009F431A">
        <w:rPr>
          <w:rFonts w:ascii="Book Antiqua" w:hAnsi="Book Antiqua"/>
          <w:szCs w:val="24"/>
          <w:lang w:val="es-PR"/>
        </w:rPr>
        <w:t xml:space="preserve">Oficina del </w:t>
      </w:r>
      <w:r>
        <w:rPr>
          <w:rFonts w:ascii="Book Antiqua" w:hAnsi="Book Antiqua"/>
          <w:lang w:val="es-PR"/>
        </w:rPr>
        <w:t>OMBUDSMAN subrayó que la</w:t>
      </w:r>
      <w:r w:rsidRPr="00D30BFB">
        <w:rPr>
          <w:rFonts w:ascii="Book Antiqua" w:hAnsi="Book Antiqua"/>
          <w:szCs w:val="24"/>
          <w:lang w:val="es-PR"/>
        </w:rPr>
        <w:t xml:space="preserve"> medida en discusión busca corregir está disparidad mediante la actualización de las Reglas de Procedimiento criminal, para que estén en concordancia con nuestro Código Penal. </w:t>
      </w:r>
      <w:r>
        <w:rPr>
          <w:rFonts w:ascii="Book Antiqua" w:hAnsi="Book Antiqua"/>
          <w:szCs w:val="24"/>
          <w:lang w:val="es-PR"/>
        </w:rPr>
        <w:t>Según la Oficina, la</w:t>
      </w:r>
      <w:r w:rsidRPr="00D30BFB">
        <w:rPr>
          <w:rFonts w:ascii="Book Antiqua" w:hAnsi="Book Antiqua"/>
          <w:szCs w:val="24"/>
          <w:lang w:val="es-PR"/>
        </w:rPr>
        <w:t xml:space="preserve"> armonización normativa promueve coherencia entre el derecho sustantivo y el derecho procesal, </w:t>
      </w:r>
      <w:r>
        <w:rPr>
          <w:rFonts w:ascii="Book Antiqua" w:hAnsi="Book Antiqua"/>
          <w:szCs w:val="24"/>
          <w:lang w:val="es-PR"/>
        </w:rPr>
        <w:t>además de</w:t>
      </w:r>
      <w:r w:rsidRPr="00D30BFB">
        <w:rPr>
          <w:rFonts w:ascii="Book Antiqua" w:hAnsi="Book Antiqua"/>
          <w:szCs w:val="24"/>
          <w:lang w:val="es-PR"/>
        </w:rPr>
        <w:t xml:space="preserve"> ref</w:t>
      </w:r>
      <w:r>
        <w:rPr>
          <w:rFonts w:ascii="Book Antiqua" w:hAnsi="Book Antiqua"/>
          <w:szCs w:val="24"/>
          <w:lang w:val="es-PR"/>
        </w:rPr>
        <w:t>orzar</w:t>
      </w:r>
      <w:r w:rsidRPr="00D30BFB">
        <w:rPr>
          <w:rFonts w:ascii="Book Antiqua" w:hAnsi="Book Antiqua"/>
          <w:szCs w:val="24"/>
          <w:lang w:val="es-PR"/>
        </w:rPr>
        <w:t xml:space="preserve"> el principio de legalidad, fomenta</w:t>
      </w:r>
      <w:r>
        <w:rPr>
          <w:rFonts w:ascii="Book Antiqua" w:hAnsi="Book Antiqua"/>
          <w:szCs w:val="24"/>
          <w:lang w:val="es-PR"/>
        </w:rPr>
        <w:t>r</w:t>
      </w:r>
      <w:r w:rsidRPr="00D30BFB">
        <w:rPr>
          <w:rFonts w:ascii="Book Antiqua" w:hAnsi="Book Antiqua"/>
          <w:szCs w:val="24"/>
          <w:lang w:val="es-PR"/>
        </w:rPr>
        <w:t xml:space="preserve"> la seguridad jurídica y reduc</w:t>
      </w:r>
      <w:r>
        <w:rPr>
          <w:rFonts w:ascii="Book Antiqua" w:hAnsi="Book Antiqua"/>
          <w:szCs w:val="24"/>
          <w:lang w:val="es-PR"/>
        </w:rPr>
        <w:t>ir</w:t>
      </w:r>
      <w:r w:rsidRPr="00D30BFB">
        <w:rPr>
          <w:rFonts w:ascii="Book Antiqua" w:hAnsi="Book Antiqua"/>
          <w:szCs w:val="24"/>
          <w:lang w:val="es-PR"/>
        </w:rPr>
        <w:t xml:space="preserve"> el margen de interpretaciones judiciales contradictorias. Además, reafirma el compromiso del Estado con la protección de los derechos fundamentales de los ciudadanos, particularmente el derecho a un trato justo e igualitario ante la ley, independientemente de su capacidad económica.</w:t>
      </w:r>
    </w:p>
    <w:p w14:paraId="22E9075C" w14:textId="77777777" w:rsidR="006E7252" w:rsidRDefault="00E5079F" w:rsidP="006E7252">
      <w:pPr>
        <w:spacing w:line="276" w:lineRule="auto"/>
        <w:ind w:firstLine="720"/>
        <w:jc w:val="both"/>
        <w:rPr>
          <w:rFonts w:ascii="Book Antiqua" w:hAnsi="Book Antiqua"/>
          <w:szCs w:val="24"/>
          <w:lang w:val="es-PR"/>
        </w:rPr>
      </w:pPr>
      <w:r w:rsidRPr="009F431A">
        <w:rPr>
          <w:rFonts w:ascii="Book Antiqua" w:hAnsi="Book Antiqua"/>
          <w:szCs w:val="24"/>
          <w:lang w:val="es-PR"/>
        </w:rPr>
        <w:t xml:space="preserve">Desde una perspectiva de política pública, la medida fue catalogada como un avance hacia una administración de la justicia penal más racional, equitativa y sensible a las realidades económicas de la población. </w:t>
      </w:r>
      <w:r>
        <w:rPr>
          <w:rFonts w:ascii="Book Antiqua" w:hAnsi="Book Antiqua"/>
          <w:szCs w:val="24"/>
          <w:lang w:val="es-PR"/>
        </w:rPr>
        <w:t>Afirmó que l</w:t>
      </w:r>
      <w:r w:rsidRPr="009F431A">
        <w:rPr>
          <w:rFonts w:ascii="Book Antiqua" w:hAnsi="Book Antiqua"/>
          <w:szCs w:val="24"/>
          <w:lang w:val="es-PR"/>
        </w:rPr>
        <w:t>a corrección de esta disparidad normativa evitará que personas condenadas por delitos menos graves enfrenten periodos de encarcelamiento excesivos por no contar con los medios para cumplir con una multa, lo que constituye una acción afirmativa a favor de la justicia sustantiva, el trato digno y la racionalidad en el proceso penal.</w:t>
      </w:r>
    </w:p>
    <w:p w14:paraId="66EBB9E3" w14:textId="77777777" w:rsidR="006E7252" w:rsidRDefault="00E5079F" w:rsidP="006E7252">
      <w:pPr>
        <w:spacing w:line="276" w:lineRule="auto"/>
        <w:ind w:firstLine="720"/>
        <w:jc w:val="both"/>
        <w:rPr>
          <w:rFonts w:ascii="Book Antiqua" w:hAnsi="Book Antiqua"/>
          <w:szCs w:val="24"/>
          <w:lang w:val="es-PR"/>
        </w:rPr>
      </w:pPr>
      <w:r w:rsidRPr="009F431A">
        <w:rPr>
          <w:rFonts w:ascii="Book Antiqua" w:hAnsi="Book Antiqua"/>
          <w:szCs w:val="24"/>
          <w:lang w:val="es-PR"/>
        </w:rPr>
        <w:t>La Oficina también advirtió que algunos sectores podrían interpretar la medida como una flexibilización del régimen punitivo. No obstante, enfatizó que la propuesta no elimina consecuencias penales, sino que las encauza dentro de un marco de proporcionalidad y justicia, en plena sintonía con los principios constitucionales y el estado de derecho.</w:t>
      </w:r>
    </w:p>
    <w:p w14:paraId="35931FC5" w14:textId="3C8F7797" w:rsidR="00940E84" w:rsidRPr="006E7252" w:rsidRDefault="00E5079F" w:rsidP="006E7252">
      <w:pPr>
        <w:spacing w:line="276" w:lineRule="auto"/>
        <w:ind w:firstLine="720"/>
        <w:jc w:val="both"/>
        <w:rPr>
          <w:rFonts w:ascii="Book Antiqua" w:hAnsi="Book Antiqua"/>
          <w:szCs w:val="24"/>
          <w:lang w:val="es-PR"/>
        </w:rPr>
      </w:pPr>
      <w:r>
        <w:rPr>
          <w:rFonts w:ascii="Book Antiqua" w:hAnsi="Book Antiqua"/>
          <w:szCs w:val="24"/>
          <w:lang w:val="es-PR"/>
        </w:rPr>
        <w:t>L</w:t>
      </w:r>
      <w:r w:rsidRPr="009F431A">
        <w:rPr>
          <w:rFonts w:ascii="Book Antiqua" w:hAnsi="Book Antiqua"/>
          <w:szCs w:val="24"/>
          <w:lang w:val="es-PR"/>
        </w:rPr>
        <w:t>a Oficina del OMBUDSMAN avaló la aprobación de la medida según presentada y reiteró su compromiso con la defensa de los derechos fundamentales de los ciudadanos.</w:t>
      </w:r>
    </w:p>
    <w:p w14:paraId="533FC982" w14:textId="77777777" w:rsidR="006E7252" w:rsidRDefault="006E7252" w:rsidP="00AA2618">
      <w:pPr>
        <w:tabs>
          <w:tab w:val="left" w:pos="-720"/>
        </w:tabs>
        <w:suppressAutoHyphens/>
        <w:spacing w:line="276" w:lineRule="auto"/>
        <w:ind w:firstLine="360"/>
        <w:jc w:val="center"/>
        <w:rPr>
          <w:rFonts w:ascii="Book Antiqua" w:hAnsi="Book Antiqua"/>
          <w:b/>
          <w:bCs/>
          <w:lang w:val="es-PR"/>
        </w:rPr>
      </w:pPr>
    </w:p>
    <w:p w14:paraId="302CAC3A" w14:textId="7C473817" w:rsidR="00D13D23" w:rsidRDefault="0096171F" w:rsidP="00AA2618">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lastRenderedPageBreak/>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AA2618">
      <w:pPr>
        <w:tabs>
          <w:tab w:val="left" w:pos="-720"/>
        </w:tabs>
        <w:suppressAutoHyphens/>
        <w:spacing w:line="276" w:lineRule="auto"/>
        <w:ind w:firstLine="360"/>
        <w:jc w:val="center"/>
        <w:rPr>
          <w:rFonts w:ascii="Book Antiqua" w:hAnsi="Book Antiqua"/>
          <w:b/>
          <w:bCs/>
          <w:lang w:val="es-PR"/>
        </w:rPr>
      </w:pPr>
    </w:p>
    <w:p w14:paraId="3CD7EB56" w14:textId="51226381" w:rsidR="002C402D" w:rsidRPr="00DF45DC" w:rsidRDefault="006E7252" w:rsidP="00AA2618">
      <w:pPr>
        <w:tabs>
          <w:tab w:val="left" w:pos="-720"/>
        </w:tabs>
        <w:suppressAutoHyphens/>
        <w:spacing w:line="276" w:lineRule="auto"/>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004F6E72"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084A93">
        <w:rPr>
          <w:rFonts w:ascii="Book Antiqua" w:hAnsi="Book Antiqua"/>
          <w:lang w:val="es-PR"/>
        </w:rPr>
        <w:t>106</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AA2618">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AA2618">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AA2618">
      <w:pPr>
        <w:tabs>
          <w:tab w:val="left" w:pos="-720"/>
        </w:tabs>
        <w:suppressAutoHyphens/>
        <w:spacing w:line="276" w:lineRule="auto"/>
        <w:ind w:firstLine="360"/>
        <w:jc w:val="center"/>
        <w:rPr>
          <w:rFonts w:ascii="Book Antiqua" w:hAnsi="Book Antiqua"/>
          <w:b/>
          <w:bCs/>
          <w:lang w:val="es-PR"/>
        </w:rPr>
      </w:pPr>
    </w:p>
    <w:p w14:paraId="4D45DBCB" w14:textId="0823015E" w:rsidR="006E7252" w:rsidRDefault="006E7252" w:rsidP="006E7252">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DA7550" w:rsidRPr="00687FD1">
        <w:rPr>
          <w:rFonts w:ascii="Book Antiqua" w:hAnsi="Book Antiqua"/>
          <w:szCs w:val="24"/>
          <w:lang w:val="es-PR"/>
        </w:rPr>
        <w:t>La Comisión de lo Jurídico del Senado de Puerto Rico efectuó un análisis minucioso del P. del S. 106, según fue referido, y examinó detenidamente las disposiciones pertinentes de la Ley 146-2012, según enmendada, conocida como “Código Penal de Puerto Rico”, así como las Reglas de Procedimiento Criminal de 1963.</w:t>
      </w:r>
    </w:p>
    <w:p w14:paraId="1E0CD65B" w14:textId="77777777" w:rsidR="006E7252" w:rsidRDefault="006E7252" w:rsidP="006E7252">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DA7550" w:rsidRPr="00A93194">
        <w:rPr>
          <w:rFonts w:ascii="Book Antiqua" w:hAnsi="Book Antiqua"/>
          <w:szCs w:val="24"/>
          <w:lang w:val="es-PR"/>
        </w:rPr>
        <w:t xml:space="preserve">Luego de analizar </w:t>
      </w:r>
      <w:r w:rsidR="00DA7550" w:rsidRPr="00687FD1">
        <w:rPr>
          <w:rFonts w:ascii="Book Antiqua" w:hAnsi="Book Antiqua"/>
          <w:szCs w:val="24"/>
          <w:lang w:val="es-PR"/>
        </w:rPr>
        <w:t xml:space="preserve">los memoriales presentados por la Oficina de Administración de los Tribunales y la Oficina del Procurador del Ciudadano, la Comisión coincide </w:t>
      </w:r>
      <w:r w:rsidR="00DA7550" w:rsidRPr="00A93194">
        <w:rPr>
          <w:rFonts w:ascii="Book Antiqua" w:hAnsi="Book Antiqua"/>
          <w:szCs w:val="24"/>
          <w:lang w:val="es-PR"/>
        </w:rPr>
        <w:t xml:space="preserve">con </w:t>
      </w:r>
      <w:r w:rsidR="00DA7550" w:rsidRPr="00687FD1">
        <w:rPr>
          <w:rFonts w:ascii="Book Antiqua" w:hAnsi="Book Antiqua"/>
          <w:szCs w:val="24"/>
          <w:lang w:val="es-PR"/>
        </w:rPr>
        <w:t>que existe una contradicción entre lo dispuesto en el Artículo 57 del Código Penal y las Reglas 172 y 177 de Procedimiento Criminal en lo que respecta a la conversión de la</w:t>
      </w:r>
      <w:r w:rsidR="00DA7550" w:rsidRPr="00A93194">
        <w:rPr>
          <w:rFonts w:ascii="Book Antiqua" w:hAnsi="Book Antiqua"/>
          <w:szCs w:val="24"/>
          <w:lang w:val="es-PR"/>
        </w:rPr>
        <w:t xml:space="preserve"> pena de</w:t>
      </w:r>
      <w:r w:rsidR="00DA7550" w:rsidRPr="00687FD1">
        <w:rPr>
          <w:rFonts w:ascii="Book Antiqua" w:hAnsi="Book Antiqua"/>
          <w:szCs w:val="24"/>
          <w:lang w:val="es-PR"/>
        </w:rPr>
        <w:t xml:space="preserve"> multa </w:t>
      </w:r>
      <w:r w:rsidR="00DA7550" w:rsidRPr="00A93194">
        <w:rPr>
          <w:rFonts w:ascii="Book Antiqua" w:hAnsi="Book Antiqua"/>
          <w:szCs w:val="24"/>
          <w:lang w:val="es-PR"/>
        </w:rPr>
        <w:t xml:space="preserve">a días </w:t>
      </w:r>
      <w:r w:rsidR="00DA7550" w:rsidRPr="00687FD1">
        <w:rPr>
          <w:rFonts w:ascii="Book Antiqua" w:hAnsi="Book Antiqua"/>
          <w:szCs w:val="24"/>
          <w:lang w:val="es-PR"/>
        </w:rPr>
        <w:t xml:space="preserve">de reclusión. Esta </w:t>
      </w:r>
      <w:r w:rsidR="00DA7550" w:rsidRPr="00A93194">
        <w:rPr>
          <w:rFonts w:ascii="Book Antiqua" w:hAnsi="Book Antiqua"/>
          <w:szCs w:val="24"/>
          <w:lang w:val="es-PR"/>
        </w:rPr>
        <w:t>discrepancia</w:t>
      </w:r>
      <w:r w:rsidR="00DA7550" w:rsidRPr="00687FD1">
        <w:rPr>
          <w:rFonts w:ascii="Book Antiqua" w:hAnsi="Book Antiqua"/>
          <w:szCs w:val="24"/>
          <w:lang w:val="es-PR"/>
        </w:rPr>
        <w:t xml:space="preserve"> </w:t>
      </w:r>
      <w:r w:rsidR="00DA7550" w:rsidRPr="00A93194">
        <w:rPr>
          <w:rFonts w:ascii="Book Antiqua" w:hAnsi="Book Antiqua"/>
          <w:szCs w:val="24"/>
          <w:lang w:val="es-PR"/>
        </w:rPr>
        <w:t>podría atentar</w:t>
      </w:r>
      <w:r w:rsidR="00DA7550" w:rsidRPr="00687FD1">
        <w:rPr>
          <w:rFonts w:ascii="Book Antiqua" w:hAnsi="Book Antiqua"/>
          <w:szCs w:val="24"/>
          <w:lang w:val="es-PR"/>
        </w:rPr>
        <w:t xml:space="preserve"> contra el principio de favorabilidad y la coherencia normativa, </w:t>
      </w:r>
      <w:r w:rsidR="00DA7550" w:rsidRPr="00A93194">
        <w:rPr>
          <w:rFonts w:ascii="Book Antiqua" w:hAnsi="Book Antiqua"/>
          <w:szCs w:val="24"/>
          <w:lang w:val="es-PR"/>
        </w:rPr>
        <w:t xml:space="preserve">además de </w:t>
      </w:r>
      <w:r w:rsidR="00DA7550" w:rsidRPr="00687FD1">
        <w:rPr>
          <w:rFonts w:ascii="Book Antiqua" w:hAnsi="Book Antiqua"/>
          <w:szCs w:val="24"/>
          <w:lang w:val="es-PR"/>
        </w:rPr>
        <w:t>generar consecuencias desproporcionadas particularmente para personas en situación de vulnerabilidad económica.</w:t>
      </w:r>
    </w:p>
    <w:p w14:paraId="07CC3D27" w14:textId="77777777" w:rsidR="006E7252" w:rsidRDefault="006E7252" w:rsidP="006E7252">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DA7550" w:rsidRPr="00687FD1">
        <w:rPr>
          <w:rFonts w:ascii="Book Antiqua" w:hAnsi="Book Antiqua"/>
          <w:szCs w:val="24"/>
          <w:lang w:val="es-PR"/>
        </w:rPr>
        <w:t xml:space="preserve">La Comisión </w:t>
      </w:r>
      <w:r w:rsidR="00DA7550" w:rsidRPr="00A93194">
        <w:rPr>
          <w:rFonts w:ascii="Book Antiqua" w:hAnsi="Book Antiqua"/>
          <w:szCs w:val="24"/>
          <w:lang w:val="es-PR"/>
        </w:rPr>
        <w:t>considera</w:t>
      </w:r>
      <w:r w:rsidR="00DA7550" w:rsidRPr="00687FD1">
        <w:rPr>
          <w:rFonts w:ascii="Book Antiqua" w:hAnsi="Book Antiqua"/>
          <w:szCs w:val="24"/>
          <w:lang w:val="es-PR"/>
        </w:rPr>
        <w:t xml:space="preserve"> que </w:t>
      </w:r>
      <w:r w:rsidR="00DA7550" w:rsidRPr="00A93194">
        <w:rPr>
          <w:rFonts w:ascii="Book Antiqua" w:hAnsi="Book Antiqua"/>
          <w:szCs w:val="24"/>
          <w:lang w:val="es-PR"/>
        </w:rPr>
        <w:t>armonizar</w:t>
      </w:r>
      <w:r w:rsidR="00DA7550" w:rsidRPr="00687FD1">
        <w:rPr>
          <w:rFonts w:ascii="Book Antiqua" w:hAnsi="Book Antiqua"/>
          <w:szCs w:val="24"/>
          <w:lang w:val="es-PR"/>
        </w:rPr>
        <w:t xml:space="preserve"> las</w:t>
      </w:r>
      <w:r w:rsidR="00DA7550" w:rsidRPr="00A93194">
        <w:rPr>
          <w:rFonts w:ascii="Book Antiqua" w:hAnsi="Book Antiqua"/>
          <w:szCs w:val="24"/>
          <w:lang w:val="es-PR"/>
        </w:rPr>
        <w:t xml:space="preserve"> disposiciones de las</w:t>
      </w:r>
      <w:r w:rsidR="00DA7550" w:rsidRPr="00687FD1">
        <w:rPr>
          <w:rFonts w:ascii="Book Antiqua" w:hAnsi="Book Antiqua"/>
          <w:szCs w:val="24"/>
          <w:lang w:val="es-PR"/>
        </w:rPr>
        <w:t xml:space="preserve"> Reglas 172 y 177 con el Código Penal vigente es un paso </w:t>
      </w:r>
      <w:r w:rsidR="00DA7550" w:rsidRPr="00A93194">
        <w:rPr>
          <w:rFonts w:ascii="Book Antiqua" w:hAnsi="Book Antiqua"/>
          <w:szCs w:val="24"/>
          <w:lang w:val="es-PR"/>
        </w:rPr>
        <w:t xml:space="preserve">importante y </w:t>
      </w:r>
      <w:r w:rsidR="00DA7550" w:rsidRPr="00687FD1">
        <w:rPr>
          <w:rFonts w:ascii="Book Antiqua" w:hAnsi="Book Antiqua"/>
          <w:szCs w:val="24"/>
          <w:lang w:val="es-PR"/>
        </w:rPr>
        <w:t>necesario para fortalecer el estado de derecho</w:t>
      </w:r>
      <w:r w:rsidR="00DA7550" w:rsidRPr="00A93194">
        <w:rPr>
          <w:rFonts w:ascii="Book Antiqua" w:hAnsi="Book Antiqua"/>
          <w:szCs w:val="24"/>
          <w:lang w:val="es-PR"/>
        </w:rPr>
        <w:t xml:space="preserve"> y</w:t>
      </w:r>
      <w:r w:rsidR="00DA7550" w:rsidRPr="00687FD1">
        <w:rPr>
          <w:rFonts w:ascii="Book Antiqua" w:hAnsi="Book Antiqua"/>
          <w:szCs w:val="24"/>
          <w:lang w:val="es-PR"/>
        </w:rPr>
        <w:t xml:space="preserve"> garantizar uniformidad en la aplicación de la ley penal.</w:t>
      </w:r>
    </w:p>
    <w:p w14:paraId="33A8F962" w14:textId="4152B099" w:rsidR="00DA7550" w:rsidRPr="00687FD1" w:rsidRDefault="006E7252" w:rsidP="006E7252">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00DA7550" w:rsidRPr="00A93194">
        <w:rPr>
          <w:rFonts w:ascii="Book Antiqua" w:hAnsi="Book Antiqua"/>
          <w:szCs w:val="24"/>
          <w:lang w:val="es-PR"/>
        </w:rPr>
        <w:t xml:space="preserve">De otra parte, esta Comisión acogió la enmienda propuesta por la </w:t>
      </w:r>
      <w:r w:rsidR="00DA7550" w:rsidRPr="00687FD1">
        <w:rPr>
          <w:rFonts w:ascii="Book Antiqua" w:hAnsi="Book Antiqua"/>
          <w:szCs w:val="24"/>
          <w:lang w:val="es-PR"/>
        </w:rPr>
        <w:t xml:space="preserve">Oficina de Administración de los Tribunales </w:t>
      </w:r>
      <w:r w:rsidR="00DA7550" w:rsidRPr="00A93194">
        <w:rPr>
          <w:rFonts w:ascii="Book Antiqua" w:hAnsi="Book Antiqua"/>
          <w:szCs w:val="24"/>
          <w:lang w:val="es-PR"/>
        </w:rPr>
        <w:t xml:space="preserve">a los fines de incluir en el texto </w:t>
      </w:r>
      <w:proofErr w:type="spellStart"/>
      <w:r w:rsidR="00DA7550" w:rsidRPr="00A93194">
        <w:rPr>
          <w:rFonts w:ascii="Book Antiqua" w:hAnsi="Book Antiqua"/>
          <w:szCs w:val="24"/>
          <w:lang w:val="es-PR"/>
        </w:rPr>
        <w:t>Decretativo</w:t>
      </w:r>
      <w:proofErr w:type="spellEnd"/>
      <w:r w:rsidR="00DA7550" w:rsidRPr="00A93194">
        <w:rPr>
          <w:rFonts w:ascii="Book Antiqua" w:hAnsi="Book Antiqua"/>
          <w:szCs w:val="24"/>
          <w:lang w:val="es-PR"/>
        </w:rPr>
        <w:t xml:space="preserve"> de la medida </w:t>
      </w:r>
      <w:r w:rsidR="00DA7550" w:rsidRPr="00687FD1">
        <w:rPr>
          <w:rFonts w:ascii="Book Antiqua" w:hAnsi="Book Antiqua"/>
          <w:szCs w:val="24"/>
          <w:lang w:val="es-PR"/>
        </w:rPr>
        <w:t>el segundo párrafo de la Regla 172</w:t>
      </w:r>
      <w:r w:rsidR="00DA7550" w:rsidRPr="00A93194">
        <w:rPr>
          <w:rFonts w:ascii="Book Antiqua" w:hAnsi="Book Antiqua"/>
          <w:szCs w:val="24"/>
          <w:lang w:val="es-PR"/>
        </w:rPr>
        <w:t xml:space="preserve"> </w:t>
      </w:r>
      <w:r w:rsidR="00DA7550" w:rsidRPr="00687FD1">
        <w:rPr>
          <w:rFonts w:ascii="Book Antiqua" w:hAnsi="Book Antiqua"/>
          <w:szCs w:val="24"/>
          <w:lang w:val="es-PR"/>
        </w:rPr>
        <w:t xml:space="preserve">vigente, a fin de evitar la eliminación inadvertida de </w:t>
      </w:r>
      <w:r w:rsidR="00DA7550" w:rsidRPr="00A93194">
        <w:rPr>
          <w:rFonts w:ascii="Book Antiqua" w:hAnsi="Book Antiqua"/>
          <w:szCs w:val="24"/>
          <w:lang w:val="es-PR"/>
        </w:rPr>
        <w:t>dicha disposición</w:t>
      </w:r>
      <w:r w:rsidR="00DA7550" w:rsidRPr="00687FD1">
        <w:rPr>
          <w:rFonts w:ascii="Book Antiqua" w:hAnsi="Book Antiqua"/>
          <w:szCs w:val="24"/>
          <w:lang w:val="es-PR"/>
        </w:rPr>
        <w:t>.</w:t>
      </w:r>
    </w:p>
    <w:p w14:paraId="12984714" w14:textId="77777777" w:rsidR="000B071A" w:rsidRDefault="000B071A" w:rsidP="00AA2618">
      <w:pPr>
        <w:tabs>
          <w:tab w:val="left" w:pos="-720"/>
        </w:tabs>
        <w:suppressAutoHyphens/>
        <w:spacing w:line="276" w:lineRule="auto"/>
        <w:ind w:firstLine="360"/>
        <w:jc w:val="both"/>
        <w:rPr>
          <w:rFonts w:ascii="Book Antiqua" w:hAnsi="Book Antiqua"/>
          <w:b/>
          <w:bCs/>
          <w:lang w:val="es-PR"/>
        </w:rPr>
      </w:pPr>
    </w:p>
    <w:p w14:paraId="7885E90D" w14:textId="6ED96369" w:rsidR="00DF45DC" w:rsidRPr="00DF45DC" w:rsidRDefault="0096171F" w:rsidP="00AA2618">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084A93" w:rsidRPr="006E7252">
        <w:rPr>
          <w:rFonts w:ascii="Book Antiqua" w:hAnsi="Book Antiqua"/>
          <w:b/>
          <w:bCs/>
          <w:lang w:val="es-PR"/>
        </w:rPr>
        <w:t>Proyecto del Senado 106</w:t>
      </w:r>
      <w:r w:rsidR="00006DDC" w:rsidRPr="00DF45DC">
        <w:rPr>
          <w:rFonts w:ascii="Book Antiqua" w:hAnsi="Book Antiqua"/>
          <w:lang w:val="es-PR"/>
        </w:rPr>
        <w:t xml:space="preserve">, recomendando su </w:t>
      </w:r>
      <w:r w:rsidR="00006DDC" w:rsidRPr="006E7252">
        <w:rPr>
          <w:rFonts w:ascii="Book Antiqua" w:hAnsi="Book Antiqua"/>
          <w:b/>
          <w:bCs/>
          <w:lang w:val="es-PR"/>
        </w:rPr>
        <w:t>aprobación</w:t>
      </w:r>
      <w:r w:rsidR="00006DDC" w:rsidRPr="00084A93">
        <w:rPr>
          <w:rFonts w:ascii="Book Antiqua" w:hAnsi="Book Antiqua"/>
          <w:lang w:val="es-PR"/>
        </w:rPr>
        <w:t xml:space="preserve"> con las enmiendas contenidas en el entirillado electrónico que se acompaña.</w:t>
      </w:r>
      <w:r w:rsidR="00006DDC" w:rsidRPr="00DF45DC">
        <w:rPr>
          <w:rFonts w:ascii="Book Antiqua" w:hAnsi="Book Antiqua"/>
          <w:lang w:val="es-PR"/>
        </w:rPr>
        <w:t xml:space="preserve"> </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6C62DD54" w14:textId="77777777" w:rsidR="006E7252" w:rsidRDefault="006E7252" w:rsidP="00337BB7">
      <w:pPr>
        <w:tabs>
          <w:tab w:val="left" w:pos="-720"/>
        </w:tabs>
        <w:suppressAutoHyphens/>
        <w:spacing w:line="360" w:lineRule="auto"/>
        <w:rPr>
          <w:rFonts w:ascii="Book Antiqua" w:hAnsi="Book Antiqua"/>
          <w:lang w:val="es-PR"/>
        </w:rPr>
      </w:pPr>
    </w:p>
    <w:p w14:paraId="10325F5D" w14:textId="1C4DB699"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lastRenderedPageBreak/>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260130B4" w:rsidR="000B3411" w:rsidRPr="00AA2618" w:rsidRDefault="001D12A7" w:rsidP="00AA2618">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AA2618"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759DD" w14:textId="77777777" w:rsidR="00FA64B0" w:rsidRDefault="00FA64B0">
      <w:r>
        <w:separator/>
      </w:r>
    </w:p>
  </w:endnote>
  <w:endnote w:type="continuationSeparator" w:id="0">
    <w:p w14:paraId="55CA414A" w14:textId="77777777" w:rsidR="00FA64B0" w:rsidRDefault="00FA6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E12E6" w14:textId="77777777" w:rsidR="00FA64B0" w:rsidRDefault="00FA64B0">
      <w:r>
        <w:separator/>
      </w:r>
    </w:p>
  </w:footnote>
  <w:footnote w:type="continuationSeparator" w:id="0">
    <w:p w14:paraId="3F96CDE9" w14:textId="77777777" w:rsidR="00FA64B0" w:rsidRDefault="00FA6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1BE6456"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084A93">
      <w:rPr>
        <w:rFonts w:ascii="Book Antiqua" w:hAnsi="Book Antiqua"/>
        <w:i/>
        <w:iCs/>
        <w:sz w:val="20"/>
        <w:lang w:val="es-PR"/>
      </w:rPr>
      <w:t>P. del S. 106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4F984D3"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4D7024">
      <w:rPr>
        <w:rFonts w:ascii="Book Antiqua" w:hAnsi="Book Antiqua"/>
        <w:i/>
        <w:iCs/>
        <w:sz w:val="20"/>
        <w:lang w:val="es-PR"/>
      </w:rPr>
      <w:t>P. del S. 106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31719"/>
    <w:rsid w:val="00043B59"/>
    <w:rsid w:val="00045442"/>
    <w:rsid w:val="00046DD2"/>
    <w:rsid w:val="000533CB"/>
    <w:rsid w:val="0005560C"/>
    <w:rsid w:val="00066916"/>
    <w:rsid w:val="00084A93"/>
    <w:rsid w:val="000879BC"/>
    <w:rsid w:val="000902F9"/>
    <w:rsid w:val="000945D3"/>
    <w:rsid w:val="000A0CEF"/>
    <w:rsid w:val="000A135C"/>
    <w:rsid w:val="000B071A"/>
    <w:rsid w:val="000B3411"/>
    <w:rsid w:val="000B39C5"/>
    <w:rsid w:val="000C18B9"/>
    <w:rsid w:val="000C52A1"/>
    <w:rsid w:val="000C5B91"/>
    <w:rsid w:val="000D3899"/>
    <w:rsid w:val="000E0D6C"/>
    <w:rsid w:val="000E2AF9"/>
    <w:rsid w:val="000E4A6D"/>
    <w:rsid w:val="000E6B35"/>
    <w:rsid w:val="000F3813"/>
    <w:rsid w:val="000F7663"/>
    <w:rsid w:val="0010073E"/>
    <w:rsid w:val="00104CF6"/>
    <w:rsid w:val="00107712"/>
    <w:rsid w:val="00111E71"/>
    <w:rsid w:val="00114F93"/>
    <w:rsid w:val="00116479"/>
    <w:rsid w:val="001312DC"/>
    <w:rsid w:val="00152956"/>
    <w:rsid w:val="00152AEE"/>
    <w:rsid w:val="00157BC8"/>
    <w:rsid w:val="00172EE0"/>
    <w:rsid w:val="00186AB6"/>
    <w:rsid w:val="001918C8"/>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21D2"/>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825C5"/>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C2EB1"/>
    <w:rsid w:val="003D7045"/>
    <w:rsid w:val="003F50A8"/>
    <w:rsid w:val="00402413"/>
    <w:rsid w:val="004076B9"/>
    <w:rsid w:val="00412A61"/>
    <w:rsid w:val="004227D1"/>
    <w:rsid w:val="00424144"/>
    <w:rsid w:val="004278D1"/>
    <w:rsid w:val="004408DF"/>
    <w:rsid w:val="004440CB"/>
    <w:rsid w:val="00444FD2"/>
    <w:rsid w:val="00445E69"/>
    <w:rsid w:val="004713D2"/>
    <w:rsid w:val="004817F3"/>
    <w:rsid w:val="00481C39"/>
    <w:rsid w:val="00485B74"/>
    <w:rsid w:val="00487AC3"/>
    <w:rsid w:val="004918F1"/>
    <w:rsid w:val="004A05FC"/>
    <w:rsid w:val="004A0FD4"/>
    <w:rsid w:val="004A18C6"/>
    <w:rsid w:val="004B0082"/>
    <w:rsid w:val="004C370E"/>
    <w:rsid w:val="004D2BC7"/>
    <w:rsid w:val="004D4E14"/>
    <w:rsid w:val="004D7024"/>
    <w:rsid w:val="004E7F65"/>
    <w:rsid w:val="004F6E72"/>
    <w:rsid w:val="004F7173"/>
    <w:rsid w:val="005043E4"/>
    <w:rsid w:val="0051050B"/>
    <w:rsid w:val="00530395"/>
    <w:rsid w:val="005354C6"/>
    <w:rsid w:val="00540B6A"/>
    <w:rsid w:val="00540DDE"/>
    <w:rsid w:val="00541FE3"/>
    <w:rsid w:val="005478C9"/>
    <w:rsid w:val="00550023"/>
    <w:rsid w:val="00550412"/>
    <w:rsid w:val="00552B8A"/>
    <w:rsid w:val="00555018"/>
    <w:rsid w:val="005569A7"/>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03931"/>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5B7A"/>
    <w:rsid w:val="006E7252"/>
    <w:rsid w:val="006F226E"/>
    <w:rsid w:val="006F447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3E06"/>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1156"/>
    <w:rsid w:val="00946BB4"/>
    <w:rsid w:val="00946E55"/>
    <w:rsid w:val="0096171F"/>
    <w:rsid w:val="009645CD"/>
    <w:rsid w:val="00970DEB"/>
    <w:rsid w:val="00981A1F"/>
    <w:rsid w:val="00984F56"/>
    <w:rsid w:val="009A08E8"/>
    <w:rsid w:val="009A4A2C"/>
    <w:rsid w:val="009A4FB3"/>
    <w:rsid w:val="009B5669"/>
    <w:rsid w:val="009B619C"/>
    <w:rsid w:val="009C455C"/>
    <w:rsid w:val="009E043B"/>
    <w:rsid w:val="009E20DD"/>
    <w:rsid w:val="009F427F"/>
    <w:rsid w:val="009F524F"/>
    <w:rsid w:val="009F68F4"/>
    <w:rsid w:val="00A049B0"/>
    <w:rsid w:val="00A05EDB"/>
    <w:rsid w:val="00A06A16"/>
    <w:rsid w:val="00A11BDC"/>
    <w:rsid w:val="00A11ED0"/>
    <w:rsid w:val="00A12823"/>
    <w:rsid w:val="00A13CBC"/>
    <w:rsid w:val="00A15144"/>
    <w:rsid w:val="00A25DA1"/>
    <w:rsid w:val="00A30115"/>
    <w:rsid w:val="00A303ED"/>
    <w:rsid w:val="00A3074C"/>
    <w:rsid w:val="00A30959"/>
    <w:rsid w:val="00A3182D"/>
    <w:rsid w:val="00A35101"/>
    <w:rsid w:val="00A52A66"/>
    <w:rsid w:val="00A52CD9"/>
    <w:rsid w:val="00A6445C"/>
    <w:rsid w:val="00A83C12"/>
    <w:rsid w:val="00A870EF"/>
    <w:rsid w:val="00A90DAD"/>
    <w:rsid w:val="00A93C47"/>
    <w:rsid w:val="00AA0006"/>
    <w:rsid w:val="00AA2618"/>
    <w:rsid w:val="00AB2E69"/>
    <w:rsid w:val="00AC3813"/>
    <w:rsid w:val="00AD076F"/>
    <w:rsid w:val="00AD4B71"/>
    <w:rsid w:val="00AE555C"/>
    <w:rsid w:val="00AE5DCE"/>
    <w:rsid w:val="00AF12FB"/>
    <w:rsid w:val="00AF56F5"/>
    <w:rsid w:val="00B02D1B"/>
    <w:rsid w:val="00B03E1C"/>
    <w:rsid w:val="00B14832"/>
    <w:rsid w:val="00B16E9F"/>
    <w:rsid w:val="00B216D4"/>
    <w:rsid w:val="00B24B05"/>
    <w:rsid w:val="00B25721"/>
    <w:rsid w:val="00B316DC"/>
    <w:rsid w:val="00B36F9D"/>
    <w:rsid w:val="00B37EF9"/>
    <w:rsid w:val="00B46464"/>
    <w:rsid w:val="00B47BDF"/>
    <w:rsid w:val="00B571D9"/>
    <w:rsid w:val="00B57451"/>
    <w:rsid w:val="00B6135D"/>
    <w:rsid w:val="00B6467E"/>
    <w:rsid w:val="00B702A0"/>
    <w:rsid w:val="00B70EB9"/>
    <w:rsid w:val="00B807DC"/>
    <w:rsid w:val="00B8514B"/>
    <w:rsid w:val="00B8540B"/>
    <w:rsid w:val="00BA0F95"/>
    <w:rsid w:val="00BA43F4"/>
    <w:rsid w:val="00BA78E3"/>
    <w:rsid w:val="00BB20A7"/>
    <w:rsid w:val="00BB6946"/>
    <w:rsid w:val="00BB7826"/>
    <w:rsid w:val="00BC177F"/>
    <w:rsid w:val="00BC7625"/>
    <w:rsid w:val="00BD3BEF"/>
    <w:rsid w:val="00BE1535"/>
    <w:rsid w:val="00BE6740"/>
    <w:rsid w:val="00BF2AF9"/>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C51FC"/>
    <w:rsid w:val="00CE532D"/>
    <w:rsid w:val="00CE7DA0"/>
    <w:rsid w:val="00CF32AA"/>
    <w:rsid w:val="00CF4C00"/>
    <w:rsid w:val="00D0004D"/>
    <w:rsid w:val="00D01A55"/>
    <w:rsid w:val="00D13D23"/>
    <w:rsid w:val="00D16947"/>
    <w:rsid w:val="00D34145"/>
    <w:rsid w:val="00D45C67"/>
    <w:rsid w:val="00D5351E"/>
    <w:rsid w:val="00D61B6F"/>
    <w:rsid w:val="00D759DB"/>
    <w:rsid w:val="00D8699D"/>
    <w:rsid w:val="00D9263A"/>
    <w:rsid w:val="00D93BA6"/>
    <w:rsid w:val="00D95836"/>
    <w:rsid w:val="00D96D40"/>
    <w:rsid w:val="00DA0051"/>
    <w:rsid w:val="00DA1E64"/>
    <w:rsid w:val="00DA7550"/>
    <w:rsid w:val="00DB25BF"/>
    <w:rsid w:val="00DB3451"/>
    <w:rsid w:val="00DB4C88"/>
    <w:rsid w:val="00DB7098"/>
    <w:rsid w:val="00DC2909"/>
    <w:rsid w:val="00DC7D84"/>
    <w:rsid w:val="00DD122E"/>
    <w:rsid w:val="00DD48C9"/>
    <w:rsid w:val="00DD58BD"/>
    <w:rsid w:val="00DE189A"/>
    <w:rsid w:val="00DE6362"/>
    <w:rsid w:val="00DF0352"/>
    <w:rsid w:val="00DF45DC"/>
    <w:rsid w:val="00DF4EDF"/>
    <w:rsid w:val="00E1052E"/>
    <w:rsid w:val="00E14B9C"/>
    <w:rsid w:val="00E17E3B"/>
    <w:rsid w:val="00E251EA"/>
    <w:rsid w:val="00E35157"/>
    <w:rsid w:val="00E35171"/>
    <w:rsid w:val="00E36FA6"/>
    <w:rsid w:val="00E41D17"/>
    <w:rsid w:val="00E5079F"/>
    <w:rsid w:val="00E63FA4"/>
    <w:rsid w:val="00E722CA"/>
    <w:rsid w:val="00E73DB1"/>
    <w:rsid w:val="00E930DD"/>
    <w:rsid w:val="00E9570B"/>
    <w:rsid w:val="00EA477A"/>
    <w:rsid w:val="00EA5757"/>
    <w:rsid w:val="00EB0B16"/>
    <w:rsid w:val="00EB1664"/>
    <w:rsid w:val="00EC5454"/>
    <w:rsid w:val="00EC56E8"/>
    <w:rsid w:val="00EE30C9"/>
    <w:rsid w:val="00EE4536"/>
    <w:rsid w:val="00EF237A"/>
    <w:rsid w:val="00EF62F7"/>
    <w:rsid w:val="00F02F4A"/>
    <w:rsid w:val="00F042CB"/>
    <w:rsid w:val="00F3003D"/>
    <w:rsid w:val="00F315D1"/>
    <w:rsid w:val="00F36DBE"/>
    <w:rsid w:val="00F44E24"/>
    <w:rsid w:val="00F4686E"/>
    <w:rsid w:val="00F566F4"/>
    <w:rsid w:val="00F60859"/>
    <w:rsid w:val="00F65FAA"/>
    <w:rsid w:val="00F816B8"/>
    <w:rsid w:val="00F85B37"/>
    <w:rsid w:val="00F86C0C"/>
    <w:rsid w:val="00F90AAD"/>
    <w:rsid w:val="00F969D4"/>
    <w:rsid w:val="00FA64B0"/>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7FB98E75-D66D-4EE6-9597-AC1E3F535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PlaceholderText">
    <w:name w:val="Placeholder Text"/>
    <w:basedOn w:val="DefaultParagraphFont"/>
    <w:uiPriority w:val="99"/>
    <w:unhideWhenUsed/>
    <w:rsid w:val="00E507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4SQX5P7U7WPY-958212181-817405</_dlc_DocId>
    <_dlc_DocIdUrl xmlns="c890fddd-4e87-4e08-8b51-545f2a3f7b06">
      <Url>https://senpr.sharepoint.com/sites/obralegislativa/_layouts/15/DocIdRedir.aspx?ID=4SQX5P7U7WPY-958212181-817405</Url>
      <Description>4SQX5P7U7WPY-958212181-817405</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08A0B1-941B-46C7-A864-EA5AA94C4BBF}"/>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1650C322-192E-4C81-8A44-32AA5A8A06E5}"/>
</file>

<file path=docProps/app.xml><?xml version="1.0" encoding="utf-8"?>
<Properties xmlns="http://schemas.openxmlformats.org/officeDocument/2006/extended-properties" xmlns:vt="http://schemas.openxmlformats.org/officeDocument/2006/docPropsVTypes">
  <Template>Medida-V2009</Template>
  <TotalTime>2</TotalTime>
  <Pages>6</Pages>
  <Words>1819</Words>
  <Characters>9692</Characters>
  <Application>Microsoft Office Word</Application>
  <DocSecurity>0</DocSecurity>
  <Lines>80</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2025-08-15T16:06:00Z</dcterms:created>
  <dcterms:modified xsi:type="dcterms:W3CDTF">2025-08-15T16:06:00Z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06e70fab-2d62-41b3-b7c4-c07ce613b526</vt:lpwstr>
  </property>
  <property fmtid="{D5CDD505-2E9C-101B-9397-08002B2CF9AE}" pid="4" name="MediaServiceImageTags">
    <vt:lpwstr/>
  </property>
</Properties>
</file>