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021270B9"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9375FE">
        <w:rPr>
          <w:rFonts w:ascii="Book Antiqua" w:hAnsi="Book Antiqua"/>
          <w:lang w:val="es-ES_tradnl"/>
        </w:rPr>
        <w:t>2</w:t>
      </w:r>
      <w:r w:rsidR="009375FE">
        <w:rPr>
          <w:rFonts w:ascii="Book Antiqua" w:hAnsi="Book Antiqua"/>
          <w:color w:val="000000"/>
          <w:vertAlign w:val="superscript"/>
          <w:lang w:val="es-ES_tradnl"/>
        </w:rPr>
        <w:t>d</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49D25D9A"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140EFB">
        <w:rPr>
          <w:rFonts w:ascii="Book Antiqua" w:hAnsi="Book Antiqua"/>
          <w:b/>
          <w:sz w:val="52"/>
          <w:szCs w:val="52"/>
          <w:lang w:val="es-ES_tradnl"/>
        </w:rPr>
        <w:t>66</w:t>
      </w:r>
    </w:p>
    <w:p w14:paraId="07A1279D" w14:textId="77777777" w:rsidR="006705DD" w:rsidRPr="00B95434" w:rsidRDefault="006705DD" w:rsidP="006705DD">
      <w:pPr>
        <w:jc w:val="center"/>
        <w:rPr>
          <w:rFonts w:ascii="Book Antiqua" w:hAnsi="Book Antiqua"/>
          <w:szCs w:val="24"/>
          <w:lang w:val="es-ES_tradnl"/>
        </w:rPr>
      </w:pPr>
    </w:p>
    <w:p w14:paraId="4C795B8C" w14:textId="3B07E84D"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w:t>
      </w:r>
      <w:r w:rsidR="003438FC">
        <w:rPr>
          <w:rFonts w:ascii="Book Antiqua" w:hAnsi="Book Antiqua"/>
          <w:b/>
          <w:sz w:val="28"/>
          <w:szCs w:val="28"/>
          <w:lang w:val="es-ES_tradnl"/>
        </w:rPr>
        <w:t>NEGATIVO</w:t>
      </w:r>
    </w:p>
    <w:p w14:paraId="66B9D576" w14:textId="77777777" w:rsidR="006705DD" w:rsidRPr="00B95434" w:rsidRDefault="006705DD" w:rsidP="006705DD">
      <w:pPr>
        <w:jc w:val="center"/>
        <w:rPr>
          <w:rFonts w:ascii="Book Antiqua" w:hAnsi="Book Antiqua"/>
          <w:b/>
          <w:i/>
          <w:szCs w:val="24"/>
          <w:lang w:val="es-ES_tradnl"/>
        </w:rPr>
      </w:pPr>
    </w:p>
    <w:p w14:paraId="023EF446" w14:textId="092BE8F1" w:rsidR="006705DD" w:rsidRPr="00B95434" w:rsidRDefault="0008609B" w:rsidP="006705DD">
      <w:pPr>
        <w:jc w:val="center"/>
        <w:rPr>
          <w:rFonts w:ascii="Book Antiqua" w:hAnsi="Book Antiqua"/>
          <w:szCs w:val="24"/>
          <w:lang w:val="es-ES_tradnl"/>
        </w:rPr>
      </w:pPr>
      <w:r>
        <w:rPr>
          <w:rFonts w:ascii="Book Antiqua" w:hAnsi="Book Antiqua"/>
          <w:szCs w:val="24"/>
          <w:lang w:val="es-ES_tradnl"/>
        </w:rPr>
        <w:t>14</w:t>
      </w:r>
      <w:r w:rsidR="006705DD" w:rsidRPr="00FC11CC">
        <w:rPr>
          <w:rFonts w:ascii="Book Antiqua" w:hAnsi="Book Antiqua"/>
          <w:szCs w:val="24"/>
          <w:lang w:val="es-ES_tradnl"/>
        </w:rPr>
        <w:t xml:space="preserve"> de</w:t>
      </w:r>
      <w:r w:rsidR="00182ED3">
        <w:rPr>
          <w:rFonts w:ascii="Book Antiqua" w:hAnsi="Book Antiqua"/>
          <w:szCs w:val="24"/>
          <w:lang w:val="es-ES_tradnl"/>
        </w:rPr>
        <w:t xml:space="preserve"> </w:t>
      </w:r>
      <w:r w:rsidR="00B54C59">
        <w:rPr>
          <w:rFonts w:ascii="Book Antiqua" w:hAnsi="Book Antiqua"/>
          <w:szCs w:val="24"/>
          <w:lang w:val="es-ES_tradnl"/>
        </w:rPr>
        <w:t>octubre</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3BE77A09" w:rsidR="0087700A" w:rsidRPr="007935F7" w:rsidRDefault="00AC0B45" w:rsidP="00AC0B45">
      <w:pPr>
        <w:jc w:val="both"/>
        <w:rPr>
          <w:rFonts w:ascii="Book Antiqua" w:hAnsi="Book Antiqua" w:cs="Arial"/>
          <w:b/>
          <w:bCs/>
          <w:i/>
          <w:iCs/>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xml:space="preserve">, </w:t>
      </w:r>
      <w:bookmarkStart w:id="0" w:name="_Hlk203400157"/>
      <w:r w:rsidR="007935F7">
        <w:rPr>
          <w:rFonts w:ascii="Book Antiqua" w:hAnsi="Book Antiqua" w:cs="Arial"/>
          <w:lang w:val="es-ES"/>
        </w:rPr>
        <w:t xml:space="preserve">tiene el deber de someter a este Augusto Cuerpo el presente </w:t>
      </w:r>
      <w:r w:rsidR="007935F7" w:rsidRPr="007935F7">
        <w:rPr>
          <w:rFonts w:ascii="Book Antiqua" w:hAnsi="Book Antiqua" w:cs="Arial"/>
          <w:b/>
          <w:bCs/>
          <w:i/>
          <w:iCs/>
          <w:lang w:val="es-ES"/>
        </w:rPr>
        <w:t>Informe Negativo del Proyecto de la Cámara 66.</w:t>
      </w:r>
    </w:p>
    <w:bookmarkEnd w:id="0"/>
    <w:p w14:paraId="13AECCBE" w14:textId="77777777" w:rsidR="0087700A" w:rsidRPr="007935F7" w:rsidRDefault="0087700A" w:rsidP="00AC0B45">
      <w:pPr>
        <w:jc w:val="both"/>
        <w:rPr>
          <w:rFonts w:ascii="Book Antiqua" w:hAnsi="Book Antiqua" w:cs="Arial"/>
          <w:b/>
          <w:bCs/>
          <w:i/>
          <w:iCs/>
          <w:lang w:val="es-ES"/>
        </w:rPr>
      </w:pPr>
    </w:p>
    <w:p w14:paraId="2458AB3E" w14:textId="5FAD0AF7" w:rsidR="00AC0B45" w:rsidRDefault="00AC0B45" w:rsidP="0087700A">
      <w:pPr>
        <w:jc w:val="center"/>
        <w:rPr>
          <w:rFonts w:ascii="Book Antiqua" w:hAnsi="Book Antiqua"/>
          <w:b/>
          <w:i/>
          <w:smallCaps/>
          <w:szCs w:val="24"/>
          <w:lang w:val="es-ES_tradnl"/>
        </w:rPr>
      </w:pPr>
      <w:bookmarkStart w:id="1" w:name="_Hlk189811370"/>
      <w:r w:rsidRPr="00760D4D">
        <w:rPr>
          <w:rFonts w:ascii="Book Antiqua" w:hAnsi="Book Antiqua"/>
          <w:b/>
          <w:i/>
          <w:smallCaps/>
          <w:szCs w:val="24"/>
          <w:lang w:val="es-ES_tradnl"/>
        </w:rPr>
        <w:t>Alcance de la Medida</w:t>
      </w:r>
    </w:p>
    <w:bookmarkEnd w:id="1"/>
    <w:p w14:paraId="68D9994E" w14:textId="77777777" w:rsidR="00AC0B45" w:rsidRPr="00AC0B45" w:rsidRDefault="00AC0B45" w:rsidP="00AC0B45">
      <w:pPr>
        <w:jc w:val="center"/>
        <w:rPr>
          <w:rFonts w:ascii="Book Antiqua" w:hAnsi="Book Antiqua" w:cs="Arial"/>
          <w:lang w:val="es-ES"/>
        </w:rPr>
      </w:pPr>
    </w:p>
    <w:p w14:paraId="345E029D" w14:textId="4974094B" w:rsidR="00182ED3" w:rsidRPr="00DB4B55" w:rsidRDefault="00AC0B45" w:rsidP="00DD1F37">
      <w:pPr>
        <w:autoSpaceDE w:val="0"/>
        <w:autoSpaceDN w:val="0"/>
        <w:adjustRightInd w:val="0"/>
        <w:jc w:val="both"/>
        <w:rPr>
          <w:rFonts w:ascii="Book Antiqua" w:hAnsi="Book Antiqua"/>
          <w:snapToGrid w:val="0"/>
          <w:szCs w:val="24"/>
          <w:lang w:val="es-ES"/>
        </w:rPr>
      </w:pPr>
      <w:r w:rsidRPr="00DB4B55">
        <w:rPr>
          <w:rFonts w:ascii="Book Antiqua" w:hAnsi="Book Antiqua" w:cs="Arial"/>
          <w:lang w:val="es-ES"/>
        </w:rPr>
        <w:t xml:space="preserve">El Proyecto de la Cámara </w:t>
      </w:r>
      <w:r w:rsidR="00140EFB" w:rsidRPr="00DB4B55">
        <w:rPr>
          <w:rFonts w:ascii="Book Antiqua" w:hAnsi="Book Antiqua" w:cs="Arial"/>
          <w:lang w:val="es-ES"/>
        </w:rPr>
        <w:t>66</w:t>
      </w:r>
      <w:r w:rsidRPr="00DB4B55">
        <w:rPr>
          <w:rFonts w:ascii="Book Antiqua" w:hAnsi="Book Antiqua" w:cs="Arial"/>
          <w:lang w:val="es-ES"/>
        </w:rPr>
        <w:t xml:space="preserve"> </w:t>
      </w:r>
      <w:r w:rsidR="00B54C59">
        <w:rPr>
          <w:rFonts w:ascii="Book Antiqua" w:hAnsi="Book Antiqua" w:cs="Arial"/>
          <w:lang w:val="es-ES"/>
        </w:rPr>
        <w:t xml:space="preserve">radicado el de 2 de enero de 2025 por el Honorable </w:t>
      </w:r>
      <w:proofErr w:type="spellStart"/>
      <w:r w:rsidR="00B54C59">
        <w:rPr>
          <w:rFonts w:ascii="Book Antiqua" w:hAnsi="Book Antiqua" w:cs="Arial"/>
          <w:lang w:val="es-ES"/>
        </w:rPr>
        <w:t>Jose.M</w:t>
      </w:r>
      <w:proofErr w:type="spellEnd"/>
      <w:r w:rsidR="00B54C59">
        <w:rPr>
          <w:rFonts w:ascii="Book Antiqua" w:hAnsi="Book Antiqua" w:cs="Arial"/>
          <w:lang w:val="es-ES"/>
        </w:rPr>
        <w:t xml:space="preserve">. Varela Fernández, </w:t>
      </w:r>
      <w:r w:rsidR="00140EFB" w:rsidRPr="00DB4B55">
        <w:rPr>
          <w:rFonts w:ascii="Book Antiqua" w:hAnsi="Book Antiqua" w:cs="Arial"/>
          <w:lang w:val="es-ES"/>
        </w:rPr>
        <w:t xml:space="preserve">tiene el propósito de añadir un nuevo artículo 2.036A a la Ley 107-2020, según enmendada, conocida como “Código Municipal de Puerto Rico”, a los fines de establecer requisitos específicos para la adquisición de vehículos para uso de los alcaldes y alcaldesas, y para otros fines. </w:t>
      </w:r>
    </w:p>
    <w:p w14:paraId="3F6D663B" w14:textId="77777777" w:rsidR="00A76B51" w:rsidRPr="00DB4B55" w:rsidRDefault="00A76B51" w:rsidP="00A76B51">
      <w:pPr>
        <w:autoSpaceDE w:val="0"/>
        <w:autoSpaceDN w:val="0"/>
        <w:adjustRightInd w:val="0"/>
        <w:jc w:val="both"/>
        <w:rPr>
          <w:rFonts w:ascii="Book Antiqua" w:hAnsi="Book Antiqua" w:cs="Arial"/>
          <w:lang w:val="es-ES"/>
        </w:rPr>
      </w:pPr>
    </w:p>
    <w:p w14:paraId="21008A16" w14:textId="6507E6AA" w:rsidR="00164C7B" w:rsidRPr="00DB4B55" w:rsidRDefault="00182ED3" w:rsidP="00DD1F37">
      <w:pPr>
        <w:jc w:val="both"/>
        <w:rPr>
          <w:rFonts w:ascii="Book Antiqua" w:hAnsi="Book Antiqua" w:cs="Arial"/>
          <w:i/>
          <w:iCs/>
          <w:szCs w:val="24"/>
          <w:lang w:val="es-ES"/>
        </w:rPr>
      </w:pPr>
      <w:r w:rsidRPr="00DB4B55">
        <w:rPr>
          <w:rFonts w:ascii="Book Antiqua" w:hAnsi="Book Antiqua" w:cs="Arial"/>
          <w:szCs w:val="24"/>
          <w:lang w:val="es-ES"/>
        </w:rPr>
        <w:t xml:space="preserve">Según establece la Exposición de Motivos del P. de la C. </w:t>
      </w:r>
      <w:r w:rsidR="00140EFB" w:rsidRPr="00DB4B55">
        <w:rPr>
          <w:rFonts w:ascii="Book Antiqua" w:hAnsi="Book Antiqua" w:cs="Arial"/>
          <w:szCs w:val="24"/>
          <w:lang w:val="es-ES"/>
        </w:rPr>
        <w:t>66</w:t>
      </w:r>
      <w:r w:rsidR="005F3B18" w:rsidRPr="00DB4B55">
        <w:rPr>
          <w:rFonts w:ascii="Book Antiqua" w:hAnsi="Book Antiqua" w:cs="Arial"/>
          <w:szCs w:val="24"/>
          <w:lang w:val="es-ES"/>
        </w:rPr>
        <w:t xml:space="preserve">, </w:t>
      </w:r>
      <w:r w:rsidR="00DD1F37">
        <w:rPr>
          <w:rFonts w:ascii="Book Antiqua" w:hAnsi="Book Antiqua" w:cs="Arial"/>
          <w:szCs w:val="24"/>
          <w:lang w:val="es-ES"/>
        </w:rPr>
        <w:t>l</w:t>
      </w:r>
      <w:r w:rsidR="00164C7B" w:rsidRPr="00DB4B55">
        <w:rPr>
          <w:rFonts w:ascii="Book Antiqua" w:hAnsi="Book Antiqua" w:cs="Arial"/>
          <w:szCs w:val="24"/>
          <w:lang w:val="es-ES"/>
        </w:rPr>
        <w:t>a Ley Núm. 81 de 30 de agosto de 1991, según enmendada y conocida como </w:t>
      </w:r>
      <w:r w:rsidR="00164C7B" w:rsidRPr="00DB4B55">
        <w:rPr>
          <w:rFonts w:ascii="Book Antiqua" w:hAnsi="Book Antiqua" w:cs="Arial"/>
          <w:i/>
          <w:iCs/>
          <w:szCs w:val="24"/>
          <w:lang w:val="es-ES"/>
        </w:rPr>
        <w:t>Ley de Municipios Autónomos de Puerto Rico</w:t>
      </w:r>
      <w:bookmarkStart w:id="2" w:name="_Hlk203374054"/>
      <w:r w:rsidR="00164C7B" w:rsidRPr="00DB4B55">
        <w:rPr>
          <w:rFonts w:ascii="Book Antiqua" w:hAnsi="Book Antiqua" w:cs="Arial"/>
          <w:i/>
          <w:iCs/>
          <w:szCs w:val="24"/>
          <w:lang w:val="es-ES"/>
        </w:rPr>
        <w:t xml:space="preserve">, </w:t>
      </w:r>
      <w:r w:rsidR="00164C7B" w:rsidRPr="00DB4B55">
        <w:rPr>
          <w:rFonts w:ascii="Book Antiqua" w:hAnsi="Book Antiqua" w:cs="Arial"/>
          <w:szCs w:val="24"/>
          <w:lang w:val="es-ES"/>
        </w:rPr>
        <w:t>fue derogada e incorporada en la nueva Ley 107-2020, conocida como “Código Municipal de Puerto Rico”.</w:t>
      </w:r>
      <w:bookmarkEnd w:id="2"/>
      <w:r w:rsidR="00164C7B" w:rsidRPr="00DB4B55">
        <w:rPr>
          <w:rFonts w:ascii="Book Antiqua" w:hAnsi="Book Antiqua" w:cs="Arial"/>
          <w:szCs w:val="24"/>
          <w:lang w:val="es-ES"/>
        </w:rPr>
        <w:t xml:space="preserve">  Aquella </w:t>
      </w:r>
      <w:r w:rsidR="00B54C59">
        <w:rPr>
          <w:rFonts w:ascii="Book Antiqua" w:hAnsi="Book Antiqua" w:cs="Arial"/>
          <w:szCs w:val="24"/>
          <w:lang w:val="es-ES"/>
        </w:rPr>
        <w:t xml:space="preserve">(haciendo referencia a la Ley de Municipios Autónomos) </w:t>
      </w:r>
      <w:r w:rsidR="00164C7B" w:rsidRPr="00DB4B55">
        <w:rPr>
          <w:rFonts w:ascii="Book Antiqua" w:hAnsi="Book Antiqua" w:cs="Arial"/>
          <w:szCs w:val="24"/>
          <w:lang w:val="es-ES"/>
        </w:rPr>
        <w:t xml:space="preserve">se gestó a partir de la inquietud legislativa de descentralizar el gobierno, por lo que se declaró al municipio como una “unidad básica para la administración comunitaria”. </w:t>
      </w:r>
    </w:p>
    <w:p w14:paraId="099B3257" w14:textId="77777777" w:rsidR="00164C7B" w:rsidRPr="00DB4B55" w:rsidRDefault="00164C7B" w:rsidP="00164C7B">
      <w:pPr>
        <w:ind w:firstLine="360"/>
        <w:jc w:val="both"/>
        <w:rPr>
          <w:rFonts w:ascii="Book Antiqua" w:hAnsi="Book Antiqua" w:cs="Arial"/>
          <w:i/>
          <w:iCs/>
          <w:szCs w:val="24"/>
          <w:u w:val="single"/>
          <w:lang w:val="es-ES"/>
        </w:rPr>
      </w:pPr>
    </w:p>
    <w:p w14:paraId="2CBE3434" w14:textId="26344BF1" w:rsidR="00164C7B" w:rsidRPr="00DB4B55" w:rsidRDefault="00164C7B" w:rsidP="00DD1F37">
      <w:pPr>
        <w:jc w:val="both"/>
        <w:rPr>
          <w:rFonts w:ascii="Book Antiqua" w:hAnsi="Book Antiqua" w:cs="Arial"/>
          <w:szCs w:val="24"/>
          <w:lang w:val="es-ES"/>
        </w:rPr>
      </w:pPr>
      <w:r w:rsidRPr="00DB4B55">
        <w:rPr>
          <w:rFonts w:ascii="Book Antiqua" w:hAnsi="Book Antiqua" w:cs="Arial"/>
          <w:szCs w:val="24"/>
          <w:lang w:val="es-ES"/>
        </w:rPr>
        <w:t xml:space="preserve">El Código Municipal de Puerto Rico se concentra en el objetivo de ampliar el marco de acción municipal, al facultar a los ayuntamientos </w:t>
      </w:r>
      <w:r w:rsidR="00B54C59">
        <w:rPr>
          <w:rFonts w:ascii="Book Antiqua" w:hAnsi="Book Antiqua" w:cs="Arial"/>
          <w:szCs w:val="24"/>
          <w:lang w:val="es-ES"/>
        </w:rPr>
        <w:t>para</w:t>
      </w:r>
      <w:r w:rsidRPr="00DB4B55">
        <w:rPr>
          <w:rFonts w:ascii="Book Antiqua" w:hAnsi="Book Antiqua" w:cs="Arial"/>
          <w:szCs w:val="24"/>
          <w:lang w:val="es-ES"/>
        </w:rPr>
        <w:t xml:space="preserve"> desempeñarse con mayor autonomía administrativa, financiera y de diverso cariz, así como propiciar mayor participación ciudadana en los procesos de desarrollo de los municipios.</w:t>
      </w:r>
    </w:p>
    <w:p w14:paraId="17E569F0" w14:textId="77777777" w:rsidR="00164C7B" w:rsidRPr="00DB4B55" w:rsidRDefault="00164C7B" w:rsidP="00164C7B">
      <w:pPr>
        <w:ind w:firstLine="540"/>
        <w:jc w:val="both"/>
        <w:rPr>
          <w:rFonts w:ascii="Book Antiqua" w:hAnsi="Book Antiqua" w:cs="Arial"/>
          <w:szCs w:val="24"/>
          <w:lang w:val="es-ES"/>
        </w:rPr>
      </w:pPr>
    </w:p>
    <w:p w14:paraId="571DD4C2" w14:textId="21E6FBB0" w:rsidR="00164C7B" w:rsidRPr="00DB4B55" w:rsidRDefault="00164C7B" w:rsidP="00DD1F37">
      <w:pPr>
        <w:tabs>
          <w:tab w:val="left" w:pos="540"/>
        </w:tabs>
        <w:jc w:val="both"/>
        <w:rPr>
          <w:rFonts w:ascii="Book Antiqua" w:hAnsi="Book Antiqua"/>
          <w:bCs/>
          <w:iCs/>
          <w:szCs w:val="24"/>
          <w:lang w:val="es-ES"/>
        </w:rPr>
      </w:pPr>
      <w:r w:rsidRPr="00DB4B55">
        <w:rPr>
          <w:rFonts w:ascii="Book Antiqua" w:hAnsi="Book Antiqua"/>
          <w:bCs/>
          <w:iCs/>
          <w:lang w:val="es-ES"/>
        </w:rPr>
        <w:t>El Artículo 1.003 del Código Municipal de Puerto Rico</w:t>
      </w:r>
      <w:r w:rsidRPr="00DB4B55">
        <w:rPr>
          <w:rFonts w:ascii="Book Antiqua" w:hAnsi="Book Antiqua"/>
          <w:bCs/>
          <w:iCs/>
          <w:szCs w:val="24"/>
          <w:lang w:val="es-ES"/>
        </w:rPr>
        <w:t xml:space="preserve"> reconoce que los municipios son la entidad gubernamental más cercana al pueblo y el mejor intérprete de sus necesidades y aspiraciones. En consecuencia, se declara de máximo interés público que los municipios cuenten con los recursos necesarios para rendir sus servicios. </w:t>
      </w:r>
      <w:bookmarkStart w:id="3" w:name="_Hlk77140186"/>
      <w:r w:rsidRPr="00DB4B55">
        <w:rPr>
          <w:rFonts w:ascii="Book Antiqua" w:hAnsi="Book Antiqua"/>
          <w:bCs/>
          <w:iCs/>
          <w:szCs w:val="24"/>
          <w:lang w:val="es-ES"/>
        </w:rPr>
        <w:t>Entre esos recursos, los municipios necesitan tener disponible el equipo necesario para que el alcalde pueda desplazarse a los diferentes sectores donde sea necesaria su presencia para conocer las necesidades de los residentes y proveer los servicios necesarios a éstos, así como para dirigirse a las oficinas de las ramas ejecutiva y legislativa del gobierno central a requerir los recursos necesarios para llevar a cabo las operaciones del municipio.</w:t>
      </w:r>
    </w:p>
    <w:p w14:paraId="2E77F5A3" w14:textId="77777777" w:rsidR="00164C7B" w:rsidRPr="00DB4B55" w:rsidRDefault="00164C7B" w:rsidP="00164C7B">
      <w:pPr>
        <w:tabs>
          <w:tab w:val="left" w:pos="540"/>
        </w:tabs>
        <w:ind w:firstLine="720"/>
        <w:jc w:val="both"/>
        <w:rPr>
          <w:rFonts w:ascii="Book Antiqua" w:hAnsi="Book Antiqua"/>
          <w:bCs/>
          <w:iCs/>
          <w:szCs w:val="24"/>
          <w:lang w:val="es-ES"/>
        </w:rPr>
      </w:pPr>
    </w:p>
    <w:p w14:paraId="556267B5" w14:textId="789CA5FC" w:rsidR="00164C7B" w:rsidRPr="00DD1F37" w:rsidRDefault="00164C7B" w:rsidP="00DD1F37">
      <w:pPr>
        <w:tabs>
          <w:tab w:val="left" w:pos="540"/>
        </w:tabs>
        <w:jc w:val="both"/>
        <w:rPr>
          <w:rFonts w:ascii="Book Antiqua" w:hAnsi="Book Antiqua"/>
          <w:bCs/>
          <w:iCs/>
          <w:szCs w:val="24"/>
          <w:lang w:val="es-ES"/>
        </w:rPr>
      </w:pPr>
      <w:r w:rsidRPr="00DB4B55">
        <w:rPr>
          <w:rFonts w:ascii="Book Antiqua" w:hAnsi="Book Antiqua"/>
          <w:bCs/>
          <w:iCs/>
          <w:szCs w:val="24"/>
          <w:lang w:val="es-ES"/>
        </w:rPr>
        <w:t>Para estos propósitos, los municipios han adoptado como práctica proveer al alcalde con un vehículo de motor para su transportación adquirido con fondos municipales. Aunque ello es una práctica razonable, la misma se da en el contexto de la presente crisis económica en la cual muchos de los municipios se han visto seriamente afectados en sus recaudos. Por eso,</w:t>
      </w:r>
      <w:r w:rsidR="00B54C59">
        <w:rPr>
          <w:rFonts w:ascii="Book Antiqua" w:hAnsi="Book Antiqua"/>
          <w:bCs/>
          <w:iCs/>
          <w:szCs w:val="24"/>
          <w:lang w:val="es-ES"/>
        </w:rPr>
        <w:t xml:space="preserve"> (según el autor de la medida)</w:t>
      </w:r>
      <w:r w:rsidRPr="00DB4B55">
        <w:rPr>
          <w:rFonts w:ascii="Book Antiqua" w:hAnsi="Book Antiqua"/>
          <w:bCs/>
          <w:iCs/>
          <w:szCs w:val="24"/>
          <w:lang w:val="es-ES"/>
        </w:rPr>
        <w:t xml:space="preserve"> la adquisición de estos vehículos para uso del alcalde debe llevarse a cabo dentro de un uso juicioso de los fondos públicos, logrando la mayor eficiencia y conveniencia posible, pero evitando el gasto en lujos innecesarios. </w:t>
      </w:r>
      <w:bookmarkEnd w:id="3"/>
    </w:p>
    <w:p w14:paraId="1A36A3FD" w14:textId="732BD306" w:rsidR="00B41353" w:rsidRPr="00DB4B55" w:rsidRDefault="00B41353" w:rsidP="00164C7B">
      <w:pPr>
        <w:jc w:val="both"/>
        <w:rPr>
          <w:rFonts w:ascii="Book Antiqua" w:hAnsi="Book Antiqua"/>
          <w:b/>
          <w:i/>
          <w:smallCaps/>
          <w:szCs w:val="24"/>
          <w:lang w:val="es-ES"/>
        </w:rPr>
      </w:pPr>
    </w:p>
    <w:p w14:paraId="55A1479C" w14:textId="2571CF9E" w:rsidR="002169FB" w:rsidRPr="00DB4B55" w:rsidRDefault="004D7CDB" w:rsidP="004E3623">
      <w:pPr>
        <w:contextualSpacing/>
        <w:jc w:val="center"/>
        <w:rPr>
          <w:rFonts w:ascii="Book Antiqua" w:hAnsi="Book Antiqua"/>
          <w:b/>
          <w:i/>
          <w:smallCaps/>
          <w:szCs w:val="24"/>
          <w:lang w:val="es-ES_tradnl"/>
        </w:rPr>
      </w:pPr>
      <w:r w:rsidRPr="00DB4B55">
        <w:rPr>
          <w:rFonts w:ascii="Book Antiqua" w:hAnsi="Book Antiqua"/>
          <w:b/>
          <w:i/>
          <w:smallCaps/>
          <w:szCs w:val="24"/>
          <w:lang w:val="es-ES_tradnl"/>
        </w:rPr>
        <w:t>Resumen de Memoriales</w:t>
      </w:r>
      <w:r w:rsidR="009E093A" w:rsidRPr="00DB4B55">
        <w:rPr>
          <w:rFonts w:ascii="Book Antiqua" w:hAnsi="Book Antiqua"/>
          <w:b/>
          <w:i/>
          <w:smallCaps/>
          <w:szCs w:val="24"/>
          <w:lang w:val="es-ES_tradnl"/>
        </w:rPr>
        <w:t xml:space="preserve"> y Trámite Legislativo</w:t>
      </w:r>
    </w:p>
    <w:p w14:paraId="0A1C2E6D" w14:textId="77777777" w:rsidR="004E3623" w:rsidRDefault="004E3623" w:rsidP="00DD1F37">
      <w:pPr>
        <w:spacing w:before="100" w:beforeAutospacing="1" w:after="100" w:afterAutospacing="1"/>
        <w:contextualSpacing/>
        <w:jc w:val="both"/>
        <w:rPr>
          <w:rFonts w:ascii="Book Antiqua" w:hAnsi="Book Antiqua"/>
          <w:bCs/>
          <w:iCs/>
          <w:szCs w:val="24"/>
          <w:lang w:val="es-ES"/>
        </w:rPr>
      </w:pPr>
    </w:p>
    <w:p w14:paraId="242F84D2" w14:textId="4A8FCF9A" w:rsidR="00252693" w:rsidRPr="00DB4B55" w:rsidRDefault="00B54C59" w:rsidP="00DD1F37">
      <w:pPr>
        <w:spacing w:before="100" w:beforeAutospacing="1" w:after="100" w:afterAutospacing="1"/>
        <w:contextualSpacing/>
        <w:jc w:val="both"/>
        <w:rPr>
          <w:rFonts w:ascii="Book Antiqua" w:hAnsi="Book Antiqua"/>
          <w:lang w:val="es-ES"/>
        </w:rPr>
      </w:pPr>
      <w:r w:rsidRPr="00B54C59">
        <w:rPr>
          <w:rFonts w:ascii="Book Antiqua" w:hAnsi="Book Antiqua"/>
          <w:bCs/>
          <w:iCs/>
          <w:szCs w:val="24"/>
          <w:lang w:val="es-ES"/>
        </w:rPr>
        <w:t>En el curso del análisis y evaluación legislativa de la presente medida, no se llevaron a cabo vistas públicas. En su lugar, se tomó en consideración la posición oficial expresada, mediante la presentación de memoriales, por las siguientes agencias e instrumentalidades del Gobierno de Puerto Rico</w:t>
      </w:r>
      <w:r w:rsidR="005616B3" w:rsidRPr="00DB4B55">
        <w:rPr>
          <w:rFonts w:ascii="Book Antiqua" w:hAnsi="Book Antiqua"/>
          <w:bCs/>
          <w:iCs/>
          <w:szCs w:val="24"/>
          <w:lang w:val="es-ES"/>
        </w:rPr>
        <w:t>:</w:t>
      </w:r>
      <w:bookmarkStart w:id="4" w:name="_Hlk195509733"/>
      <w:r w:rsidR="00252693" w:rsidRPr="00DB4B55">
        <w:rPr>
          <w:rFonts w:ascii="Book Antiqua" w:hAnsi="Book Antiqua"/>
          <w:lang w:val="es-ES"/>
        </w:rPr>
        <w:t xml:space="preserve"> </w:t>
      </w:r>
    </w:p>
    <w:bookmarkEnd w:id="4"/>
    <w:p w14:paraId="26809BF7" w14:textId="77777777" w:rsidR="009375FE" w:rsidRPr="00DD1F37" w:rsidRDefault="009375FE" w:rsidP="009375FE">
      <w:pPr>
        <w:pStyle w:val="ListParagraph"/>
        <w:numPr>
          <w:ilvl w:val="0"/>
          <w:numId w:val="13"/>
        </w:numPr>
        <w:spacing w:before="100" w:beforeAutospacing="1" w:after="100" w:afterAutospacing="1"/>
        <w:rPr>
          <w:rFonts w:ascii="Book Antiqua" w:hAnsi="Book Antiqua"/>
          <w:b/>
          <w:bCs/>
          <w:i/>
          <w:iCs/>
        </w:rPr>
      </w:pPr>
      <w:r w:rsidRPr="00DD1F37">
        <w:rPr>
          <w:rFonts w:ascii="Book Antiqua" w:hAnsi="Book Antiqua"/>
          <w:b/>
          <w:bCs/>
          <w:i/>
          <w:iCs/>
        </w:rPr>
        <w:t xml:space="preserve">Asociación de </w:t>
      </w:r>
      <w:proofErr w:type="gramStart"/>
      <w:r w:rsidRPr="00DD1F37">
        <w:rPr>
          <w:rFonts w:ascii="Book Antiqua" w:hAnsi="Book Antiqua"/>
          <w:b/>
          <w:bCs/>
          <w:i/>
          <w:iCs/>
        </w:rPr>
        <w:t>Alcaldes</w:t>
      </w:r>
      <w:proofErr w:type="gramEnd"/>
      <w:r w:rsidRPr="00DD1F37">
        <w:rPr>
          <w:rFonts w:ascii="Book Antiqua" w:hAnsi="Book Antiqua"/>
          <w:b/>
          <w:bCs/>
          <w:i/>
          <w:iCs/>
        </w:rPr>
        <w:t xml:space="preserve"> de Puerto Rico </w:t>
      </w:r>
      <w:r w:rsidRPr="00DD1F37">
        <w:rPr>
          <w:rFonts w:ascii="Book Antiqua" w:hAnsi="Book Antiqua"/>
          <w:b/>
          <w:bCs/>
          <w:i/>
          <w:iCs/>
          <w:lang w:val="es-ES"/>
        </w:rPr>
        <w:t>(AAPR)</w:t>
      </w:r>
    </w:p>
    <w:p w14:paraId="308BA75B" w14:textId="77777777" w:rsidR="009375FE" w:rsidRPr="00DD1F37" w:rsidRDefault="009375FE" w:rsidP="009375FE">
      <w:pPr>
        <w:pStyle w:val="ListParagraph"/>
        <w:numPr>
          <w:ilvl w:val="0"/>
          <w:numId w:val="13"/>
        </w:numPr>
        <w:spacing w:before="100" w:beforeAutospacing="1" w:after="100" w:afterAutospacing="1"/>
        <w:rPr>
          <w:rFonts w:ascii="Book Antiqua" w:hAnsi="Book Antiqua"/>
          <w:b/>
          <w:bCs/>
          <w:i/>
          <w:iCs/>
        </w:rPr>
      </w:pPr>
      <w:r w:rsidRPr="00DD1F37">
        <w:rPr>
          <w:rFonts w:ascii="Book Antiqua" w:hAnsi="Book Antiqua"/>
          <w:b/>
          <w:bCs/>
          <w:i/>
          <w:iCs/>
        </w:rPr>
        <w:t xml:space="preserve">Federación de </w:t>
      </w:r>
      <w:proofErr w:type="gramStart"/>
      <w:r w:rsidRPr="00DD1F37">
        <w:rPr>
          <w:rFonts w:ascii="Book Antiqua" w:hAnsi="Book Antiqua"/>
          <w:b/>
          <w:bCs/>
          <w:i/>
          <w:iCs/>
        </w:rPr>
        <w:t>Alcaldes</w:t>
      </w:r>
      <w:proofErr w:type="gramEnd"/>
      <w:r w:rsidRPr="00DD1F37">
        <w:rPr>
          <w:rFonts w:ascii="Book Antiqua" w:hAnsi="Book Antiqua"/>
          <w:b/>
          <w:bCs/>
          <w:i/>
          <w:iCs/>
        </w:rPr>
        <w:t xml:space="preserve"> de Puerto Rico </w:t>
      </w:r>
      <w:r w:rsidRPr="00DD1F37">
        <w:rPr>
          <w:rFonts w:ascii="Book Antiqua" w:hAnsi="Book Antiqua"/>
          <w:b/>
          <w:bCs/>
          <w:i/>
          <w:iCs/>
          <w:lang w:val="es-ES"/>
        </w:rPr>
        <w:t>(FAPR)</w:t>
      </w:r>
    </w:p>
    <w:p w14:paraId="4A8CE069" w14:textId="302D6127" w:rsidR="009375FE" w:rsidRPr="00DD1F37" w:rsidRDefault="009375FE" w:rsidP="009375FE">
      <w:pPr>
        <w:pStyle w:val="ListParagraph"/>
        <w:numPr>
          <w:ilvl w:val="0"/>
          <w:numId w:val="13"/>
        </w:numPr>
        <w:spacing w:before="100" w:beforeAutospacing="1" w:after="100" w:afterAutospacing="1"/>
        <w:rPr>
          <w:rFonts w:ascii="Book Antiqua" w:hAnsi="Book Antiqua"/>
          <w:b/>
          <w:bCs/>
          <w:i/>
          <w:iCs/>
        </w:rPr>
      </w:pPr>
      <w:bookmarkStart w:id="5" w:name="_Hlk203380477"/>
      <w:bookmarkStart w:id="6" w:name="_Hlk199336735"/>
      <w:r w:rsidRPr="00DD1F37">
        <w:rPr>
          <w:rFonts w:ascii="Book Antiqua" w:hAnsi="Book Antiqua"/>
          <w:b/>
          <w:bCs/>
          <w:i/>
          <w:iCs/>
        </w:rPr>
        <w:t>Oficina de</w:t>
      </w:r>
      <w:r w:rsidR="00164C7B" w:rsidRPr="00DD1F37">
        <w:rPr>
          <w:rFonts w:ascii="Book Antiqua" w:hAnsi="Book Antiqua"/>
          <w:b/>
          <w:bCs/>
          <w:i/>
          <w:iCs/>
        </w:rPr>
        <w:t>l Contralor de Puerto Rico</w:t>
      </w:r>
      <w:r w:rsidRPr="00DD1F37">
        <w:rPr>
          <w:rFonts w:ascii="Book Antiqua" w:hAnsi="Book Antiqua"/>
          <w:b/>
          <w:bCs/>
          <w:i/>
          <w:iCs/>
        </w:rPr>
        <w:t xml:space="preserve"> (O</w:t>
      </w:r>
      <w:r w:rsidR="00164C7B" w:rsidRPr="00DD1F37">
        <w:rPr>
          <w:rFonts w:ascii="Book Antiqua" w:hAnsi="Book Antiqua"/>
          <w:b/>
          <w:bCs/>
          <w:i/>
          <w:iCs/>
        </w:rPr>
        <w:t>CPR</w:t>
      </w:r>
      <w:r w:rsidRPr="00DD1F37">
        <w:rPr>
          <w:rFonts w:ascii="Book Antiqua" w:hAnsi="Book Antiqua"/>
          <w:b/>
          <w:bCs/>
          <w:i/>
          <w:iCs/>
        </w:rPr>
        <w:t xml:space="preserve">) </w:t>
      </w:r>
    </w:p>
    <w:p w14:paraId="5324F7CA" w14:textId="78898D99" w:rsidR="004E3623" w:rsidRPr="00DD1F37" w:rsidRDefault="00164C7B" w:rsidP="00C33482">
      <w:pPr>
        <w:pStyle w:val="ListParagraph"/>
        <w:numPr>
          <w:ilvl w:val="0"/>
          <w:numId w:val="13"/>
        </w:numPr>
        <w:spacing w:before="100" w:beforeAutospacing="1" w:after="100" w:afterAutospacing="1"/>
        <w:rPr>
          <w:rFonts w:ascii="Book Antiqua" w:hAnsi="Book Antiqua"/>
          <w:b/>
          <w:bCs/>
          <w:i/>
          <w:iCs/>
        </w:rPr>
      </w:pPr>
      <w:bookmarkStart w:id="7" w:name="_Hlk203381849"/>
      <w:bookmarkEnd w:id="5"/>
      <w:r w:rsidRPr="00DD1F37">
        <w:rPr>
          <w:rFonts w:ascii="Book Antiqua" w:hAnsi="Book Antiqua"/>
          <w:b/>
          <w:bCs/>
          <w:i/>
          <w:iCs/>
        </w:rPr>
        <w:t xml:space="preserve">Oficina de Ética Gubernamental (OEG) </w:t>
      </w:r>
      <w:bookmarkEnd w:id="6"/>
      <w:bookmarkEnd w:id="7"/>
    </w:p>
    <w:p w14:paraId="2CD3D17B" w14:textId="304C3DCF" w:rsidR="00C33482" w:rsidRPr="00DB4B55" w:rsidRDefault="009375FE" w:rsidP="00DD1F37">
      <w:pPr>
        <w:pStyle w:val="NormalWeb"/>
        <w:jc w:val="both"/>
        <w:rPr>
          <w:rFonts w:ascii="Book Antiqua" w:hAnsi="Book Antiqua"/>
        </w:rPr>
      </w:pPr>
      <w:r w:rsidRPr="00DB4B55">
        <w:rPr>
          <w:rFonts w:ascii="Book Antiqua" w:hAnsi="Book Antiqua"/>
          <w:lang w:val="es-ES"/>
        </w:rPr>
        <w:t xml:space="preserve">La </w:t>
      </w:r>
      <w:r w:rsidRPr="00DB4B55">
        <w:rPr>
          <w:rFonts w:ascii="Book Antiqua" w:hAnsi="Book Antiqua"/>
          <w:b/>
          <w:bCs/>
          <w:i/>
          <w:iCs/>
          <w:lang w:val="es-ES"/>
        </w:rPr>
        <w:t xml:space="preserve">Asociación de </w:t>
      </w:r>
      <w:proofErr w:type="gramStart"/>
      <w:r w:rsidRPr="00DB4B55">
        <w:rPr>
          <w:rFonts w:ascii="Book Antiqua" w:hAnsi="Book Antiqua"/>
          <w:b/>
          <w:bCs/>
          <w:i/>
          <w:iCs/>
          <w:lang w:val="es-ES"/>
        </w:rPr>
        <w:t>Alcaldes</w:t>
      </w:r>
      <w:proofErr w:type="gramEnd"/>
      <w:r w:rsidRPr="00DB4B55">
        <w:rPr>
          <w:rFonts w:ascii="Book Antiqua" w:hAnsi="Book Antiqua"/>
          <w:b/>
          <w:bCs/>
          <w:i/>
          <w:iCs/>
          <w:lang w:val="es-ES"/>
        </w:rPr>
        <w:t xml:space="preserve"> de Puerto Rico</w:t>
      </w:r>
      <w:r w:rsidRPr="00DB4B55">
        <w:rPr>
          <w:rFonts w:ascii="Book Antiqua" w:hAnsi="Book Antiqua"/>
          <w:lang w:val="es-ES"/>
        </w:rPr>
        <w:t xml:space="preserve"> </w:t>
      </w:r>
      <w:r w:rsidRPr="00DB4B55">
        <w:rPr>
          <w:rFonts w:ascii="Book Antiqua" w:hAnsi="Book Antiqua"/>
          <w:b/>
          <w:bCs/>
          <w:i/>
          <w:iCs/>
          <w:lang w:val="es-ES"/>
        </w:rPr>
        <w:t>(AAPR)</w:t>
      </w:r>
      <w:r w:rsidRPr="00DB4B55">
        <w:rPr>
          <w:rFonts w:ascii="Book Antiqua" w:hAnsi="Book Antiqua"/>
          <w:lang w:val="es-ES"/>
        </w:rPr>
        <w:t xml:space="preserve"> e</w:t>
      </w:r>
      <w:bookmarkStart w:id="8" w:name="_Hlk199244787"/>
      <w:r w:rsidRPr="00DB4B55">
        <w:rPr>
          <w:rFonts w:ascii="Book Antiqua" w:hAnsi="Book Antiqua"/>
          <w:lang w:val="es-ES"/>
        </w:rPr>
        <w:t xml:space="preserve">n </w:t>
      </w:r>
      <w:r w:rsidR="00B54C59">
        <w:rPr>
          <w:rFonts w:ascii="Book Antiqua" w:hAnsi="Book Antiqua"/>
          <w:lang w:val="es-ES"/>
        </w:rPr>
        <w:t xml:space="preserve">un </w:t>
      </w:r>
      <w:r w:rsidR="00DD1F37" w:rsidRPr="00DB4B55">
        <w:rPr>
          <w:rFonts w:ascii="Book Antiqua" w:hAnsi="Book Antiqua"/>
          <w:lang w:val="es-ES"/>
        </w:rPr>
        <w:t xml:space="preserve">memorial </w:t>
      </w:r>
      <w:r w:rsidR="00DD1F37">
        <w:rPr>
          <w:rFonts w:ascii="Book Antiqua" w:hAnsi="Book Antiqua"/>
          <w:lang w:val="es-ES"/>
        </w:rPr>
        <w:t>explicativo</w:t>
      </w:r>
      <w:r w:rsidR="00B54C59">
        <w:rPr>
          <w:rFonts w:ascii="Book Antiqua" w:hAnsi="Book Antiqua"/>
          <w:lang w:val="es-ES"/>
        </w:rPr>
        <w:t xml:space="preserve"> </w:t>
      </w:r>
      <w:r w:rsidRPr="00DB4B55">
        <w:rPr>
          <w:rFonts w:ascii="Book Antiqua" w:hAnsi="Book Antiqua"/>
          <w:lang w:val="es-ES"/>
        </w:rPr>
        <w:t xml:space="preserve">del </w:t>
      </w:r>
      <w:r w:rsidR="00C33482" w:rsidRPr="00DB4B55">
        <w:rPr>
          <w:rFonts w:ascii="Book Antiqua" w:hAnsi="Book Antiqua"/>
          <w:lang w:val="es-ES"/>
        </w:rPr>
        <w:t>15</w:t>
      </w:r>
      <w:r w:rsidRPr="00DB4B55">
        <w:rPr>
          <w:rFonts w:ascii="Book Antiqua" w:hAnsi="Book Antiqua"/>
          <w:lang w:val="es-ES"/>
        </w:rPr>
        <w:t xml:space="preserve"> de febrero de 2025, suscrito por su directora ejecutiva, Verónica Rodríguez Irizarry</w:t>
      </w:r>
      <w:bookmarkEnd w:id="8"/>
      <w:r w:rsidR="0022643F" w:rsidRPr="00DB4B55">
        <w:rPr>
          <w:rFonts w:ascii="Book Antiqua" w:hAnsi="Book Antiqua"/>
          <w:lang w:val="es-ES"/>
        </w:rPr>
        <w:t xml:space="preserve">. </w:t>
      </w:r>
      <w:r w:rsidR="00C33482" w:rsidRPr="00DB4B55">
        <w:rPr>
          <w:rFonts w:ascii="Book Antiqua" w:hAnsi="Book Antiqua"/>
        </w:rPr>
        <w:t>La Asociación reconoció la importancia de promover el uso prudente y eficiente de los fondos públicos en la adquisición de vehículos oficiales. No obstante, expresó reservas en cuanto a ciertos criterios contenidos en la medida, particularmente en lo relacionado con la aplicabilidad, la equidad y los posibles efectos operacionales para los municipios.</w:t>
      </w:r>
    </w:p>
    <w:p w14:paraId="55181AC6" w14:textId="77777777" w:rsidR="00C33482" w:rsidRPr="00DB4B55" w:rsidRDefault="00C33482" w:rsidP="00DD1F37">
      <w:pPr>
        <w:pStyle w:val="NormalWeb"/>
        <w:jc w:val="both"/>
        <w:rPr>
          <w:rFonts w:ascii="Book Antiqua" w:hAnsi="Book Antiqua"/>
        </w:rPr>
      </w:pPr>
      <w:r w:rsidRPr="00DB4B55">
        <w:rPr>
          <w:rFonts w:ascii="Book Antiqua" w:hAnsi="Book Antiqua"/>
        </w:rPr>
        <w:t xml:space="preserve">En primer lugar, la organización destacó que el </w:t>
      </w:r>
      <w:r w:rsidRPr="00DB4B55">
        <w:rPr>
          <w:rStyle w:val="Emphasis"/>
          <w:rFonts w:ascii="Book Antiqua" w:hAnsi="Book Antiqua"/>
        </w:rPr>
        <w:t>Código Municipal</w:t>
      </w:r>
      <w:r w:rsidRPr="00DB4B55">
        <w:rPr>
          <w:rFonts w:ascii="Book Antiqua" w:hAnsi="Book Antiqua"/>
        </w:rPr>
        <w:t xml:space="preserve"> reconoce a los municipios como la entidad gubernamental más cercana al pueblo y el mejor intérprete de sus necesidades. En ese contexto, subrayaron que los alcaldes y alcaldesas deben </w:t>
      </w:r>
      <w:r w:rsidRPr="00DB4B55">
        <w:rPr>
          <w:rFonts w:ascii="Book Antiqua" w:hAnsi="Book Antiqua"/>
        </w:rPr>
        <w:lastRenderedPageBreak/>
        <w:t>contar con los recursos necesarios para llevar a cabo sus funciones, incluyendo su movilidad entre sectores municipales y su representación ante el gobierno central.</w:t>
      </w:r>
    </w:p>
    <w:p w14:paraId="18C7F586" w14:textId="77777777" w:rsidR="00C33482" w:rsidRPr="00DB4B55" w:rsidRDefault="00C33482" w:rsidP="00DD1F37">
      <w:pPr>
        <w:pStyle w:val="NormalWeb"/>
        <w:jc w:val="both"/>
        <w:rPr>
          <w:rFonts w:ascii="Book Antiqua" w:hAnsi="Book Antiqua"/>
        </w:rPr>
      </w:pPr>
      <w:r w:rsidRPr="00DB4B55">
        <w:rPr>
          <w:rFonts w:ascii="Book Antiqua" w:hAnsi="Book Antiqua"/>
        </w:rPr>
        <w:t>Históricamente, los municipios han provisto vehículos oficiales a sus primeros ejecutivos como una herramienta de trabajo necesaria. Ante los desafíos económicos que enfrentan muchos municipios, la Asociación consideró que cualquier regulación en esta materia debe estar guiada por principios de eficiencia, funcionalidad y equidad, sin imponer restricciones excesivamente rígidas que limiten la gestión administrativa municipal.</w:t>
      </w:r>
    </w:p>
    <w:p w14:paraId="4A22D61E" w14:textId="00F55C44" w:rsidR="00C33482" w:rsidRPr="00DB4B55" w:rsidRDefault="00C33482" w:rsidP="00DD1F37">
      <w:pPr>
        <w:pStyle w:val="NormalWeb"/>
        <w:jc w:val="both"/>
        <w:rPr>
          <w:rFonts w:ascii="Book Antiqua" w:hAnsi="Book Antiqua"/>
        </w:rPr>
      </w:pPr>
      <w:r w:rsidRPr="00DB4B55">
        <w:rPr>
          <w:rFonts w:ascii="Book Antiqua" w:hAnsi="Book Antiqua"/>
        </w:rPr>
        <w:t xml:space="preserve">En cuanto al contenido específico del Proyecto de la Cámara 66, la </w:t>
      </w:r>
      <w:r w:rsidR="00DD1F37">
        <w:rPr>
          <w:rFonts w:ascii="Book Antiqua" w:hAnsi="Book Antiqua"/>
        </w:rPr>
        <w:t xml:space="preserve">AAPR </w:t>
      </w:r>
      <w:r w:rsidRPr="00DB4B55">
        <w:rPr>
          <w:rFonts w:ascii="Book Antiqua" w:hAnsi="Book Antiqua"/>
        </w:rPr>
        <w:t>expresó las siguientes consideraciones:</w:t>
      </w:r>
    </w:p>
    <w:p w14:paraId="357D1ED5" w14:textId="77777777" w:rsidR="00C33482" w:rsidRDefault="00C33482" w:rsidP="00C33482">
      <w:pPr>
        <w:pStyle w:val="NormalWeb"/>
        <w:numPr>
          <w:ilvl w:val="0"/>
          <w:numId w:val="29"/>
        </w:numPr>
        <w:contextualSpacing/>
        <w:jc w:val="both"/>
        <w:rPr>
          <w:rFonts w:ascii="Book Antiqua" w:hAnsi="Book Antiqua"/>
        </w:rPr>
      </w:pPr>
      <w:r w:rsidRPr="00DB4B55">
        <w:rPr>
          <w:rStyle w:val="Strong"/>
          <w:rFonts w:ascii="Book Antiqua" w:eastAsia="Batang" w:hAnsi="Book Antiqua"/>
        </w:rPr>
        <w:t>Uso prudente y austeridad:</w:t>
      </w:r>
      <w:r w:rsidRPr="00DB4B55">
        <w:rPr>
          <w:rFonts w:ascii="Book Antiqua" w:hAnsi="Book Antiqua"/>
        </w:rPr>
        <w:t xml:space="preserve"> Coinciden con la necesidad de fomentar el manejo responsable del gasto público. Sin embargo, advirtieron que las necesidades de transporte varían considerablemente entre municipios según su tamaño, geografía y condiciones operacionales. Un límite de costo fijo sin espacio para discreción puede dificultar la adquisición de vehículos adecuados para ciertos contextos municipales.</w:t>
      </w:r>
    </w:p>
    <w:p w14:paraId="1A98779B" w14:textId="77777777" w:rsidR="00B54C59" w:rsidRPr="00DB4B55" w:rsidRDefault="00B54C59" w:rsidP="00B54C59">
      <w:pPr>
        <w:pStyle w:val="NormalWeb"/>
        <w:ind w:left="720"/>
        <w:contextualSpacing/>
        <w:jc w:val="both"/>
        <w:rPr>
          <w:rFonts w:ascii="Book Antiqua" w:hAnsi="Book Antiqua"/>
        </w:rPr>
      </w:pPr>
    </w:p>
    <w:p w14:paraId="1C14945E" w14:textId="0D807630" w:rsidR="00C33482" w:rsidRDefault="00C33482" w:rsidP="00C33482">
      <w:pPr>
        <w:pStyle w:val="NormalWeb"/>
        <w:numPr>
          <w:ilvl w:val="0"/>
          <w:numId w:val="29"/>
        </w:numPr>
        <w:contextualSpacing/>
        <w:jc w:val="both"/>
        <w:rPr>
          <w:rFonts w:ascii="Book Antiqua" w:hAnsi="Book Antiqua"/>
        </w:rPr>
      </w:pPr>
      <w:r w:rsidRPr="00DB4B55">
        <w:rPr>
          <w:rStyle w:val="Strong"/>
          <w:rFonts w:ascii="Book Antiqua" w:eastAsia="Batang" w:hAnsi="Book Antiqua"/>
        </w:rPr>
        <w:t>Tope de $45,000 para adquisición de vehículos:</w:t>
      </w:r>
      <w:r w:rsidRPr="00DB4B55">
        <w:rPr>
          <w:rFonts w:ascii="Book Antiqua" w:hAnsi="Book Antiqua"/>
        </w:rPr>
        <w:t xml:space="preserve"> La </w:t>
      </w:r>
      <w:r w:rsidR="00DD1F37">
        <w:rPr>
          <w:rFonts w:ascii="Book Antiqua" w:hAnsi="Book Antiqua"/>
        </w:rPr>
        <w:t>AAPR</w:t>
      </w:r>
      <w:r w:rsidRPr="00DB4B55">
        <w:rPr>
          <w:rFonts w:ascii="Book Antiqua" w:hAnsi="Book Antiqua"/>
        </w:rPr>
        <w:t xml:space="preserve"> manifestó preocupación con que el tope propuesto (y el aumento a $55,000 en caso de municipios sin déficit) sea estático y no contemple ajustes por inflación o variaciones en el mercado automotriz. Señalaron que requerir enmiendas legislativas cada vez que cambien los precios de mercado podría resultar ineficiente.</w:t>
      </w:r>
    </w:p>
    <w:p w14:paraId="0827367D" w14:textId="77777777" w:rsidR="00B54C59" w:rsidRPr="00DB4B55" w:rsidRDefault="00B54C59" w:rsidP="00B54C59">
      <w:pPr>
        <w:pStyle w:val="NormalWeb"/>
        <w:contextualSpacing/>
        <w:jc w:val="both"/>
        <w:rPr>
          <w:rFonts w:ascii="Book Antiqua" w:hAnsi="Book Antiqua"/>
        </w:rPr>
      </w:pPr>
    </w:p>
    <w:p w14:paraId="5C8C9C75" w14:textId="77777777" w:rsidR="00C33482" w:rsidRDefault="00C33482" w:rsidP="00C33482">
      <w:pPr>
        <w:pStyle w:val="NormalWeb"/>
        <w:numPr>
          <w:ilvl w:val="0"/>
          <w:numId w:val="29"/>
        </w:numPr>
        <w:contextualSpacing/>
        <w:jc w:val="both"/>
        <w:rPr>
          <w:rFonts w:ascii="Book Antiqua" w:hAnsi="Book Antiqua"/>
        </w:rPr>
      </w:pPr>
      <w:r w:rsidRPr="00DB4B55">
        <w:rPr>
          <w:rStyle w:val="Strong"/>
          <w:rFonts w:ascii="Book Antiqua" w:eastAsia="Batang" w:hAnsi="Book Antiqua"/>
        </w:rPr>
        <w:t>Periodicidad de renovación:</w:t>
      </w:r>
      <w:r w:rsidRPr="00DB4B55">
        <w:rPr>
          <w:rFonts w:ascii="Book Antiqua" w:hAnsi="Book Antiqua"/>
        </w:rPr>
        <w:t xml:space="preserve"> Consideraron razonable la disposición que limita la adquisición de nuevos vehículos a un período de ocho años, salvo en casos de pérdida total o desperfecto mecánico grave.</w:t>
      </w:r>
    </w:p>
    <w:p w14:paraId="6D378916" w14:textId="77777777" w:rsidR="00B54C59" w:rsidRPr="00DB4B55" w:rsidRDefault="00B54C59" w:rsidP="00B54C59">
      <w:pPr>
        <w:pStyle w:val="NormalWeb"/>
        <w:contextualSpacing/>
        <w:jc w:val="both"/>
        <w:rPr>
          <w:rFonts w:ascii="Book Antiqua" w:hAnsi="Book Antiqua"/>
        </w:rPr>
      </w:pPr>
    </w:p>
    <w:p w14:paraId="195B2B31" w14:textId="16DB2F68" w:rsidR="00C33482" w:rsidRDefault="00C33482" w:rsidP="00C33482">
      <w:pPr>
        <w:pStyle w:val="NormalWeb"/>
        <w:numPr>
          <w:ilvl w:val="0"/>
          <w:numId w:val="29"/>
        </w:numPr>
        <w:contextualSpacing/>
        <w:jc w:val="both"/>
        <w:rPr>
          <w:rFonts w:ascii="Book Antiqua" w:hAnsi="Book Antiqua"/>
        </w:rPr>
      </w:pPr>
      <w:r w:rsidRPr="00DB4B55">
        <w:rPr>
          <w:rStyle w:val="Strong"/>
          <w:rFonts w:ascii="Book Antiqua" w:eastAsia="Batang" w:hAnsi="Book Antiqua"/>
        </w:rPr>
        <w:t>Equidad en la aplicación de restricciones:</w:t>
      </w:r>
      <w:r w:rsidRPr="00DB4B55">
        <w:rPr>
          <w:rFonts w:ascii="Book Antiqua" w:hAnsi="Book Antiqua"/>
        </w:rPr>
        <w:t xml:space="preserve"> La A</w:t>
      </w:r>
      <w:r w:rsidR="00DD1F37">
        <w:rPr>
          <w:rFonts w:ascii="Book Antiqua" w:hAnsi="Book Antiqua"/>
        </w:rPr>
        <w:t>APR</w:t>
      </w:r>
      <w:r w:rsidRPr="00DB4B55">
        <w:rPr>
          <w:rFonts w:ascii="Book Antiqua" w:hAnsi="Book Antiqua"/>
        </w:rPr>
        <w:t xml:space="preserve"> cuestionó por qué las restricciones propuestas se aplican exclusivamente a los alcaldes y alcaldesas, y no a otros funcionarios como el Gobernador, presidentes legislativos o jefes de agencias. A su entender, la política pública sobre el uso de vehículos oficiales debe aplicarse de manera uniforme a todos los funcionarios públicos que disponen de estos bienes.</w:t>
      </w:r>
    </w:p>
    <w:p w14:paraId="3A4D1CDF" w14:textId="77777777" w:rsidR="00B54C59" w:rsidRPr="00DB4B55" w:rsidRDefault="00B54C59" w:rsidP="00B54C59">
      <w:pPr>
        <w:pStyle w:val="NormalWeb"/>
        <w:contextualSpacing/>
        <w:jc w:val="both"/>
        <w:rPr>
          <w:rFonts w:ascii="Book Antiqua" w:hAnsi="Book Antiqua"/>
        </w:rPr>
      </w:pPr>
    </w:p>
    <w:p w14:paraId="5994C5D9" w14:textId="77777777" w:rsidR="00C33482" w:rsidRDefault="00C33482" w:rsidP="00C33482">
      <w:pPr>
        <w:pStyle w:val="NormalWeb"/>
        <w:numPr>
          <w:ilvl w:val="0"/>
          <w:numId w:val="29"/>
        </w:numPr>
        <w:contextualSpacing/>
        <w:jc w:val="both"/>
        <w:rPr>
          <w:rFonts w:ascii="Book Antiqua" w:hAnsi="Book Antiqua"/>
        </w:rPr>
      </w:pPr>
      <w:r w:rsidRPr="00DB4B55">
        <w:rPr>
          <w:rStyle w:val="Strong"/>
          <w:rFonts w:ascii="Book Antiqua" w:eastAsia="Batang" w:hAnsi="Book Antiqua"/>
        </w:rPr>
        <w:t>Requisitos para adquisición y mantenimiento:</w:t>
      </w:r>
      <w:r w:rsidRPr="00DB4B55">
        <w:rPr>
          <w:rFonts w:ascii="Book Antiqua" w:hAnsi="Book Antiqua"/>
        </w:rPr>
        <w:t xml:space="preserve"> Aunque valoraron la preferencia por vehículos híbridos o de tecnología alternativa por razones ambientales, advirtieron que estos vehículos suelen ser más costosos en Puerto Rico. Además, señalaron que el requisito de adquisición mediante subasta pública podría generar retrasos innecesarios y obstáculos administrativos. Propusieron considerar alternativas más ágiles sin menoscabar la transparencia.</w:t>
      </w:r>
    </w:p>
    <w:p w14:paraId="4CDC2A60" w14:textId="77777777" w:rsidR="00B54C59" w:rsidRPr="00DB4B55" w:rsidRDefault="00B54C59" w:rsidP="00B54C59">
      <w:pPr>
        <w:pStyle w:val="NormalWeb"/>
        <w:contextualSpacing/>
        <w:jc w:val="both"/>
        <w:rPr>
          <w:rFonts w:ascii="Book Antiqua" w:hAnsi="Book Antiqua"/>
        </w:rPr>
      </w:pPr>
    </w:p>
    <w:p w14:paraId="3B7707E0" w14:textId="256C3D5C" w:rsidR="00C33482" w:rsidRDefault="00C33482" w:rsidP="00C33482">
      <w:pPr>
        <w:pStyle w:val="NormalWeb"/>
        <w:numPr>
          <w:ilvl w:val="0"/>
          <w:numId w:val="29"/>
        </w:numPr>
        <w:contextualSpacing/>
        <w:jc w:val="both"/>
        <w:rPr>
          <w:rFonts w:ascii="Book Antiqua" w:hAnsi="Book Antiqua"/>
        </w:rPr>
      </w:pPr>
      <w:r w:rsidRPr="00DB4B55">
        <w:rPr>
          <w:rStyle w:val="Strong"/>
          <w:rFonts w:ascii="Book Antiqua" w:eastAsia="Batang" w:hAnsi="Book Antiqua"/>
        </w:rPr>
        <w:t>Sanciones administrativas:</w:t>
      </w:r>
      <w:r w:rsidRPr="00DB4B55">
        <w:rPr>
          <w:rFonts w:ascii="Book Antiqua" w:hAnsi="Book Antiqua"/>
        </w:rPr>
        <w:t xml:space="preserve"> Finalmente, la A</w:t>
      </w:r>
      <w:r w:rsidR="00DD1F37">
        <w:rPr>
          <w:rFonts w:ascii="Book Antiqua" w:hAnsi="Book Antiqua"/>
        </w:rPr>
        <w:t>APR</w:t>
      </w:r>
      <w:r w:rsidRPr="00DB4B55">
        <w:rPr>
          <w:rFonts w:ascii="Book Antiqua" w:hAnsi="Book Antiqua"/>
        </w:rPr>
        <w:t xml:space="preserve"> expresó que la imposición de una multa de $20,000 directamente al alcalde o alcaldesa por incumplimiento resulta excesiva. En su opinión, la responsabilidad del cumplimiento debe recaer en los mecanismos administrativos del municipio, y no exclusivamente en la figura del primer ejecutivo municipal a título personal.</w:t>
      </w:r>
    </w:p>
    <w:p w14:paraId="602F541E" w14:textId="77777777" w:rsidR="00B54C59" w:rsidRPr="00DB4B55" w:rsidRDefault="00B54C59" w:rsidP="00B54C59">
      <w:pPr>
        <w:pStyle w:val="NormalWeb"/>
        <w:contextualSpacing/>
        <w:jc w:val="both"/>
        <w:rPr>
          <w:rFonts w:ascii="Book Antiqua" w:hAnsi="Book Antiqua"/>
        </w:rPr>
      </w:pPr>
    </w:p>
    <w:p w14:paraId="6075E162" w14:textId="77777777" w:rsidR="00C33482" w:rsidRPr="00DB4B55" w:rsidRDefault="00C33482" w:rsidP="00DD1F37">
      <w:pPr>
        <w:pStyle w:val="NormalWeb"/>
        <w:jc w:val="both"/>
        <w:rPr>
          <w:rFonts w:ascii="Book Antiqua" w:hAnsi="Book Antiqua"/>
        </w:rPr>
      </w:pPr>
      <w:r w:rsidRPr="00DB4B55">
        <w:rPr>
          <w:rFonts w:ascii="Book Antiqua" w:hAnsi="Book Antiqua"/>
        </w:rPr>
        <w:t xml:space="preserve">En resumen, la Asociación de </w:t>
      </w:r>
      <w:proofErr w:type="gramStart"/>
      <w:r w:rsidRPr="00DB4B55">
        <w:rPr>
          <w:rFonts w:ascii="Book Antiqua" w:hAnsi="Book Antiqua"/>
        </w:rPr>
        <w:t>Alcaldes</w:t>
      </w:r>
      <w:proofErr w:type="gramEnd"/>
      <w:r w:rsidRPr="00DB4B55">
        <w:rPr>
          <w:rFonts w:ascii="Book Antiqua" w:hAnsi="Book Antiqua"/>
        </w:rPr>
        <w:t xml:space="preserve"> de Puerto Rico respaldó la intención del Proyecto de promover austeridad y responsabilidad fiscal. Sin embargo, solicitó que </w:t>
      </w:r>
      <w:r w:rsidRPr="004E3623">
        <w:rPr>
          <w:rFonts w:ascii="Book Antiqua" w:hAnsi="Book Antiqua"/>
          <w:b/>
          <w:bCs/>
        </w:rPr>
        <w:t xml:space="preserve">la medida sea evaluada con mayor profundidad, considerando ajustes que garanticen su aplicabilidad práctica </w:t>
      </w:r>
      <w:r w:rsidRPr="00DB4B55">
        <w:rPr>
          <w:rFonts w:ascii="Book Antiqua" w:hAnsi="Book Antiqua"/>
        </w:rPr>
        <w:t>sin menoscabar la capacidad de los municipios para operar eficientemente.</w:t>
      </w:r>
    </w:p>
    <w:p w14:paraId="6F78B21D" w14:textId="1C443D19" w:rsidR="000C595D" w:rsidRPr="00DB4B55" w:rsidRDefault="009375FE" w:rsidP="00DD1F37">
      <w:pPr>
        <w:pStyle w:val="NormalWeb"/>
        <w:jc w:val="both"/>
        <w:rPr>
          <w:rFonts w:ascii="Book Antiqua" w:hAnsi="Book Antiqua"/>
        </w:rPr>
      </w:pPr>
      <w:r w:rsidRPr="00DB4B55">
        <w:rPr>
          <w:rFonts w:ascii="Book Antiqua" w:hAnsi="Book Antiqua"/>
        </w:rPr>
        <w:t xml:space="preserve">La </w:t>
      </w:r>
      <w:r w:rsidRPr="00DB4B55">
        <w:rPr>
          <w:rFonts w:ascii="Book Antiqua" w:hAnsi="Book Antiqua"/>
          <w:b/>
          <w:bCs/>
          <w:i/>
          <w:iCs/>
        </w:rPr>
        <w:t xml:space="preserve">Federación de </w:t>
      </w:r>
      <w:proofErr w:type="gramStart"/>
      <w:r w:rsidRPr="00DB4B55">
        <w:rPr>
          <w:rFonts w:ascii="Book Antiqua" w:hAnsi="Book Antiqua"/>
          <w:b/>
          <w:bCs/>
          <w:i/>
          <w:iCs/>
        </w:rPr>
        <w:t>Alcaldes</w:t>
      </w:r>
      <w:proofErr w:type="gramEnd"/>
      <w:r w:rsidRPr="00DB4B55">
        <w:rPr>
          <w:rFonts w:ascii="Book Antiqua" w:hAnsi="Book Antiqua"/>
          <w:b/>
          <w:bCs/>
          <w:i/>
          <w:iCs/>
        </w:rPr>
        <w:t xml:space="preserve"> de Puerto Rico (FAPR),</w:t>
      </w:r>
      <w:r w:rsidRPr="00DB4B55">
        <w:rPr>
          <w:rFonts w:ascii="Book Antiqua" w:hAnsi="Book Antiqua"/>
        </w:rPr>
        <w:t xml:space="preserve"> en </w:t>
      </w:r>
      <w:r w:rsidR="00B54C59">
        <w:rPr>
          <w:rFonts w:ascii="Book Antiqua" w:hAnsi="Book Antiqua"/>
        </w:rPr>
        <w:t>un</w:t>
      </w:r>
      <w:r w:rsidRPr="00DB4B55">
        <w:rPr>
          <w:rFonts w:ascii="Book Antiqua" w:hAnsi="Book Antiqua"/>
        </w:rPr>
        <w:t xml:space="preserve"> memorial</w:t>
      </w:r>
      <w:r w:rsidR="00B54C59">
        <w:rPr>
          <w:rFonts w:ascii="Book Antiqua" w:hAnsi="Book Antiqua"/>
        </w:rPr>
        <w:t xml:space="preserve"> explicativo</w:t>
      </w:r>
      <w:r w:rsidRPr="00DB4B55">
        <w:rPr>
          <w:rFonts w:ascii="Book Antiqua" w:hAnsi="Book Antiqua"/>
        </w:rPr>
        <w:t xml:space="preserve"> del </w:t>
      </w:r>
      <w:r w:rsidR="00DD1F37">
        <w:rPr>
          <w:rFonts w:ascii="Book Antiqua" w:hAnsi="Book Antiqua"/>
        </w:rPr>
        <w:t xml:space="preserve">             </w:t>
      </w:r>
      <w:r w:rsidR="00B67267" w:rsidRPr="00DB4B55">
        <w:rPr>
          <w:rFonts w:ascii="Book Antiqua" w:hAnsi="Book Antiqua"/>
        </w:rPr>
        <w:t>11 de febrero</w:t>
      </w:r>
      <w:r w:rsidRPr="00DB4B55">
        <w:rPr>
          <w:rFonts w:ascii="Book Antiqua" w:hAnsi="Book Antiqua"/>
        </w:rPr>
        <w:t xml:space="preserve"> de 2025, suscrito por su director ejecutivo, Ángel M. Morales Vázquez</w:t>
      </w:r>
      <w:r w:rsidR="00B67267" w:rsidRPr="00DB4B55">
        <w:rPr>
          <w:rFonts w:ascii="Book Antiqua" w:hAnsi="Book Antiqua"/>
        </w:rPr>
        <w:t xml:space="preserve">. </w:t>
      </w:r>
      <w:r w:rsidR="000C595D" w:rsidRPr="00DB4B55">
        <w:rPr>
          <w:rFonts w:ascii="Book Antiqua" w:hAnsi="Book Antiqua"/>
        </w:rPr>
        <w:t xml:space="preserve">Si bien reconoció la importancia de promover un uso juicioso de los fondos públicos, </w:t>
      </w:r>
      <w:r w:rsidR="000C595D" w:rsidRPr="00DB4B55">
        <w:rPr>
          <w:rFonts w:ascii="Book Antiqua" w:hAnsi="Book Antiqua"/>
          <w:b/>
          <w:bCs/>
        </w:rPr>
        <w:t>la F</w:t>
      </w:r>
      <w:r w:rsidR="00DD1F37">
        <w:rPr>
          <w:rFonts w:ascii="Book Antiqua" w:hAnsi="Book Antiqua"/>
          <w:b/>
          <w:bCs/>
        </w:rPr>
        <w:t>APR</w:t>
      </w:r>
      <w:r w:rsidR="000C595D" w:rsidRPr="00DB4B55">
        <w:rPr>
          <w:rFonts w:ascii="Book Antiqua" w:hAnsi="Book Antiqua"/>
          <w:b/>
          <w:bCs/>
        </w:rPr>
        <w:t xml:space="preserve"> expresó su oposición a la medida, al considerar que la misma resulta innecesaria y contraria al marco legal </w:t>
      </w:r>
      <w:r w:rsidR="000C595D" w:rsidRPr="00DB4B55">
        <w:rPr>
          <w:rFonts w:ascii="Book Antiqua" w:hAnsi="Book Antiqua"/>
        </w:rPr>
        <w:t xml:space="preserve">vigente que ya regula este tipo de adquisiciones. En particular, subrayaron que la </w:t>
      </w:r>
      <w:r w:rsidR="000C595D" w:rsidRPr="00DB4B55">
        <w:rPr>
          <w:rStyle w:val="Strong"/>
          <w:rFonts w:ascii="Book Antiqua" w:hAnsi="Book Antiqua"/>
        </w:rPr>
        <w:t>Ley Núm. 107-2020</w:t>
      </w:r>
      <w:r w:rsidR="000C595D" w:rsidRPr="00DB4B55">
        <w:rPr>
          <w:rFonts w:ascii="Book Antiqua" w:hAnsi="Book Antiqua"/>
        </w:rPr>
        <w:t xml:space="preserve">, según enmendada, reconoce la </w:t>
      </w:r>
      <w:r w:rsidR="000C595D" w:rsidRPr="00DB4B55">
        <w:rPr>
          <w:rStyle w:val="Strong"/>
          <w:rFonts w:ascii="Book Antiqua" w:hAnsi="Book Antiqua"/>
        </w:rPr>
        <w:t>autonomía municipal</w:t>
      </w:r>
      <w:r w:rsidR="000C595D" w:rsidRPr="00DB4B55">
        <w:rPr>
          <w:rFonts w:ascii="Book Antiqua" w:hAnsi="Book Antiqua"/>
        </w:rPr>
        <w:t xml:space="preserve"> como un principio rector en el ejercicio de los poderes jurídicos, económicos y administrativos de los municipios, facultándolos para atender asuntos vinculados al bienestar general de sus residentes.</w:t>
      </w:r>
    </w:p>
    <w:p w14:paraId="0455E6B8" w14:textId="2C08FC08" w:rsidR="000C595D" w:rsidRPr="00DB4B55" w:rsidRDefault="000C595D" w:rsidP="00DD1F37">
      <w:pPr>
        <w:pStyle w:val="NormalWeb"/>
        <w:jc w:val="both"/>
        <w:rPr>
          <w:rFonts w:ascii="Book Antiqua" w:hAnsi="Book Antiqua"/>
        </w:rPr>
      </w:pPr>
      <w:r w:rsidRPr="00DB4B55">
        <w:rPr>
          <w:rFonts w:ascii="Book Antiqua" w:hAnsi="Book Antiqua"/>
        </w:rPr>
        <w:t>La F</w:t>
      </w:r>
      <w:r w:rsidR="00DD1F37">
        <w:rPr>
          <w:rFonts w:ascii="Book Antiqua" w:hAnsi="Book Antiqua"/>
        </w:rPr>
        <w:t>APR</w:t>
      </w:r>
      <w:r w:rsidRPr="00DB4B55">
        <w:rPr>
          <w:rFonts w:ascii="Book Antiqua" w:hAnsi="Book Antiqua"/>
        </w:rPr>
        <w:t xml:space="preserve"> argumentó que el Código Municipal ya contiene múltiples disposiciones que rigen el uso y control de los recursos públicos, incluyendo mecanismos para evitar el gasto en lujos innecesarios o extravagantes. El </w:t>
      </w:r>
      <w:r w:rsidRPr="00DB4B55">
        <w:rPr>
          <w:rStyle w:val="Strong"/>
          <w:rFonts w:ascii="Book Antiqua" w:hAnsi="Book Antiqua"/>
        </w:rPr>
        <w:t>Artículo 2.086</w:t>
      </w:r>
      <w:r w:rsidRPr="00DB4B55">
        <w:rPr>
          <w:rFonts w:ascii="Book Antiqua" w:hAnsi="Book Antiqua"/>
        </w:rPr>
        <w:t xml:space="preserve"> del Código establece que los ingresos y desembolsos municipales deben regirse por normas que prohíben expresamente gastos excesivos, y que tales desembolsos deben responder a criterios de necesidad, legalidad y eficiencia administrativa. Además, el Código dispone sanciones y mecanismos de fiscalización ante cualquier uso indebido de fondos públicos.</w:t>
      </w:r>
    </w:p>
    <w:p w14:paraId="6E80CEC6" w14:textId="23001C20" w:rsidR="000C595D" w:rsidRPr="00DB4B55" w:rsidRDefault="000C595D" w:rsidP="00DD1F37">
      <w:pPr>
        <w:pStyle w:val="NormalWeb"/>
        <w:jc w:val="both"/>
        <w:rPr>
          <w:rFonts w:ascii="Book Antiqua" w:hAnsi="Book Antiqua"/>
        </w:rPr>
      </w:pPr>
      <w:r w:rsidRPr="00DB4B55">
        <w:rPr>
          <w:rFonts w:ascii="Book Antiqua" w:hAnsi="Book Antiqua"/>
        </w:rPr>
        <w:t xml:space="preserve">Por consiguiente, </w:t>
      </w:r>
      <w:r w:rsidRPr="004E3623">
        <w:rPr>
          <w:rFonts w:ascii="Book Antiqua" w:hAnsi="Book Antiqua"/>
          <w:b/>
          <w:bCs/>
        </w:rPr>
        <w:t>la F</w:t>
      </w:r>
      <w:r w:rsidR="00DD1F37">
        <w:rPr>
          <w:rFonts w:ascii="Book Antiqua" w:hAnsi="Book Antiqua"/>
          <w:b/>
          <w:bCs/>
        </w:rPr>
        <w:t>APR</w:t>
      </w:r>
      <w:r w:rsidRPr="004E3623">
        <w:rPr>
          <w:rFonts w:ascii="Book Antiqua" w:hAnsi="Book Antiqua"/>
          <w:b/>
          <w:bCs/>
        </w:rPr>
        <w:t xml:space="preserve"> sostuvo que la medida propuesta introduce una regulación redundante, cuya aplicabilidad sería innecesaria dado que ya existen parámetros legales</w:t>
      </w:r>
      <w:r w:rsidRPr="00DB4B55">
        <w:rPr>
          <w:rFonts w:ascii="Book Antiqua" w:hAnsi="Book Antiqua"/>
        </w:rPr>
        <w:t xml:space="preserve"> suficientes para controlar y fiscalizar este tipo de gastos. Añadieron que </w:t>
      </w:r>
      <w:r w:rsidRPr="004E3623">
        <w:rPr>
          <w:rFonts w:ascii="Book Antiqua" w:hAnsi="Book Antiqua"/>
          <w:b/>
          <w:bCs/>
        </w:rPr>
        <w:t>imponer requisitos adicionales atentaría contra la autonomía municipal</w:t>
      </w:r>
      <w:r w:rsidRPr="00DB4B55">
        <w:rPr>
          <w:rFonts w:ascii="Book Antiqua" w:hAnsi="Book Antiqua"/>
        </w:rPr>
        <w:t xml:space="preserve"> garantizada por el propio Código, menoscabando la capacidad de los municipios para tomar decisiones sobre sus operaciones internas conforme a sus realidades y necesidades particulares.</w:t>
      </w:r>
    </w:p>
    <w:p w14:paraId="5E896908" w14:textId="4F9B0D5C" w:rsidR="000C595D" w:rsidRPr="00DB4B55" w:rsidRDefault="000C595D" w:rsidP="00DD1F37">
      <w:pPr>
        <w:pStyle w:val="NormalWeb"/>
        <w:jc w:val="both"/>
        <w:rPr>
          <w:rFonts w:ascii="Book Antiqua" w:hAnsi="Book Antiqua"/>
        </w:rPr>
      </w:pPr>
      <w:r w:rsidRPr="00DB4B55">
        <w:rPr>
          <w:rFonts w:ascii="Book Antiqua" w:hAnsi="Book Antiqua"/>
        </w:rPr>
        <w:t>La F</w:t>
      </w:r>
      <w:r w:rsidR="00DD1F37">
        <w:rPr>
          <w:rFonts w:ascii="Book Antiqua" w:hAnsi="Book Antiqua"/>
        </w:rPr>
        <w:t>APR</w:t>
      </w:r>
      <w:r w:rsidRPr="00DB4B55">
        <w:rPr>
          <w:rFonts w:ascii="Book Antiqua" w:hAnsi="Book Antiqua"/>
        </w:rPr>
        <w:t xml:space="preserve"> también recordó que uno de los propósitos fundamentales del Código Municipal es dotar a los municipios de las herramientas necesarias para asumir una función protagónica en su desarrollo urbano, económico y social. En ese sentido, consideraron que toda regulación legislativa que impacte la gestión municipal debe </w:t>
      </w:r>
      <w:r w:rsidRPr="00DB4B55">
        <w:rPr>
          <w:rFonts w:ascii="Book Antiqua" w:hAnsi="Book Antiqua"/>
        </w:rPr>
        <w:lastRenderedPageBreak/>
        <w:t>responder a los principios de respeto a la autonomía local, flexibilidad operativa y reconocimiento de las capacidades institucionales de los gobiernos municipales.</w:t>
      </w:r>
    </w:p>
    <w:p w14:paraId="7E2B8314" w14:textId="09A793EB" w:rsidR="00A36870" w:rsidRPr="00DB4B55" w:rsidRDefault="00A36870" w:rsidP="00DD1F37">
      <w:pPr>
        <w:pStyle w:val="NormalWeb"/>
        <w:jc w:val="both"/>
        <w:rPr>
          <w:rFonts w:ascii="Book Antiqua" w:hAnsi="Book Antiqua"/>
        </w:rPr>
      </w:pPr>
      <w:r w:rsidRPr="00DB4B55">
        <w:rPr>
          <w:rFonts w:ascii="Book Antiqua" w:hAnsi="Book Antiqua"/>
        </w:rPr>
        <w:t xml:space="preserve">La </w:t>
      </w:r>
      <w:r w:rsidRPr="00DB4B55">
        <w:rPr>
          <w:rFonts w:ascii="Book Antiqua" w:hAnsi="Book Antiqua"/>
          <w:b/>
          <w:bCs/>
          <w:i/>
          <w:iCs/>
        </w:rPr>
        <w:t>Oficina del Contralor de Puerto Rico (OCPR),</w:t>
      </w:r>
      <w:r w:rsidRPr="00DB4B55">
        <w:rPr>
          <w:rFonts w:ascii="Book Antiqua" w:hAnsi="Book Antiqua"/>
          <w:b/>
          <w:bCs/>
        </w:rPr>
        <w:t xml:space="preserve"> </w:t>
      </w:r>
      <w:r w:rsidRPr="00DB4B55">
        <w:rPr>
          <w:rFonts w:ascii="Book Antiqua" w:hAnsi="Book Antiqua"/>
        </w:rPr>
        <w:t xml:space="preserve">compareció mediante memorial explicativo con fecha del 14 de febrero de 2025, firmado </w:t>
      </w:r>
      <w:proofErr w:type="gramStart"/>
      <w:r w:rsidRPr="00DB4B55">
        <w:rPr>
          <w:rFonts w:ascii="Book Antiqua" w:hAnsi="Book Antiqua"/>
        </w:rPr>
        <w:t>por</w:t>
      </w:r>
      <w:r w:rsidR="00B54C59">
        <w:rPr>
          <w:rFonts w:ascii="Book Antiqua" w:hAnsi="Book Antiqua"/>
        </w:rPr>
        <w:t xml:space="preserve"> </w:t>
      </w:r>
      <w:r w:rsidRPr="00DB4B55">
        <w:rPr>
          <w:rFonts w:ascii="Book Antiqua" w:hAnsi="Book Antiqua"/>
        </w:rPr>
        <w:t xml:space="preserve"> </w:t>
      </w:r>
      <w:proofErr w:type="spellStart"/>
      <w:r w:rsidRPr="00DB4B55">
        <w:rPr>
          <w:rFonts w:ascii="Book Antiqua" w:hAnsi="Book Antiqua"/>
        </w:rPr>
        <w:t>Yesm</w:t>
      </w:r>
      <w:r w:rsidRPr="00DB4B55">
        <w:rPr>
          <w:rFonts w:ascii="Book Antiqua" w:hAnsi="Book Antiqua" w:cs="Calibri"/>
        </w:rPr>
        <w:t>í</w:t>
      </w:r>
      <w:r w:rsidRPr="00DB4B55">
        <w:rPr>
          <w:rFonts w:ascii="Book Antiqua" w:hAnsi="Book Antiqua"/>
        </w:rPr>
        <w:t>n</w:t>
      </w:r>
      <w:proofErr w:type="spellEnd"/>
      <w:proofErr w:type="gramEnd"/>
      <w:r w:rsidRPr="00DB4B55">
        <w:rPr>
          <w:rFonts w:ascii="Book Antiqua" w:hAnsi="Book Antiqua"/>
        </w:rPr>
        <w:t xml:space="preserve"> M. Valdivieso. La OCPR reconoció que, en principio, la medida promueve mecanismos para mejorar la transparencia y la rendición de cuentas en el uso de fondos públicos, objetivos que son consistentes con su misión institucional de fiscalizar las transacciones gubernamentales. Aunque la O</w:t>
      </w:r>
      <w:r w:rsidR="00DD1F37">
        <w:rPr>
          <w:rFonts w:ascii="Book Antiqua" w:hAnsi="Book Antiqua"/>
        </w:rPr>
        <w:t>CPR</w:t>
      </w:r>
      <w:r w:rsidRPr="00DB4B55">
        <w:rPr>
          <w:rFonts w:ascii="Book Antiqua" w:hAnsi="Book Antiqua"/>
        </w:rPr>
        <w:t xml:space="preserve"> no establece ni promulga política pública, sí enfatizó su interés en que toda legislación contribuya a la sana administración pública y al cumplimiento riguroso de las normas legales y reglamentarias aplicables.</w:t>
      </w:r>
    </w:p>
    <w:p w14:paraId="66509EDC" w14:textId="77777777" w:rsidR="00A36870" w:rsidRPr="00DB4B55" w:rsidRDefault="00A36870" w:rsidP="00DD1F37">
      <w:pPr>
        <w:pStyle w:val="NormalWeb"/>
        <w:jc w:val="both"/>
        <w:rPr>
          <w:rFonts w:ascii="Book Antiqua" w:hAnsi="Book Antiqua"/>
        </w:rPr>
      </w:pPr>
      <w:r w:rsidRPr="00DB4B55">
        <w:rPr>
          <w:rFonts w:ascii="Book Antiqua" w:hAnsi="Book Antiqua"/>
        </w:rPr>
        <w:t>En cuanto al contenido del proyecto, la OCPR formuló varias observaciones técnicas y recomendaciones puntuales:</w:t>
      </w:r>
    </w:p>
    <w:p w14:paraId="3DEB3CDB" w14:textId="22BDB3C5" w:rsidR="00A36870" w:rsidRDefault="00A36870" w:rsidP="00B54C59">
      <w:pPr>
        <w:pStyle w:val="NormalWeb"/>
        <w:numPr>
          <w:ilvl w:val="0"/>
          <w:numId w:val="30"/>
        </w:numPr>
        <w:contextualSpacing/>
        <w:jc w:val="both"/>
        <w:rPr>
          <w:rFonts w:ascii="Book Antiqua" w:hAnsi="Book Antiqua"/>
        </w:rPr>
      </w:pPr>
      <w:r w:rsidRPr="00DB4B55">
        <w:rPr>
          <w:rStyle w:val="Strong"/>
          <w:rFonts w:ascii="Book Antiqua" w:hAnsi="Book Antiqua"/>
        </w:rPr>
        <w:t>Definición del término “vehículo”:</w:t>
      </w:r>
      <w:r w:rsidRPr="00DB4B55">
        <w:rPr>
          <w:rFonts w:ascii="Book Antiqua" w:hAnsi="Book Antiqua"/>
        </w:rPr>
        <w:t xml:space="preserve"> La O</w:t>
      </w:r>
      <w:r w:rsidR="00DD1F37">
        <w:rPr>
          <w:rFonts w:ascii="Book Antiqua" w:hAnsi="Book Antiqua"/>
        </w:rPr>
        <w:t>CPR</w:t>
      </w:r>
      <w:r w:rsidRPr="00DB4B55">
        <w:rPr>
          <w:rFonts w:ascii="Book Antiqua" w:hAnsi="Book Antiqua"/>
        </w:rPr>
        <w:t xml:space="preserve"> señaló que el proyecto no define con claridad qué se entiende por “vehículo”, lo que podría dar lugar a interpretaciones divergentes. Recomendó que se incluya una definición expresa en la medida para evitar ambigüedades sobre si están incluidos vehículos como guaguas o SUV, y si los límites de precio aplican tanto a vehículos nuevos como usados.</w:t>
      </w:r>
    </w:p>
    <w:p w14:paraId="32EFBFAE" w14:textId="77777777" w:rsidR="00B54C59" w:rsidRPr="00DB4B55" w:rsidRDefault="00B54C59" w:rsidP="00B54C59">
      <w:pPr>
        <w:pStyle w:val="NormalWeb"/>
        <w:ind w:left="720"/>
        <w:contextualSpacing/>
        <w:jc w:val="both"/>
        <w:rPr>
          <w:rFonts w:ascii="Book Antiqua" w:hAnsi="Book Antiqua"/>
        </w:rPr>
      </w:pPr>
    </w:p>
    <w:p w14:paraId="048A7CB9" w14:textId="77777777" w:rsidR="00A36870" w:rsidRDefault="00A36870" w:rsidP="00B54C59">
      <w:pPr>
        <w:pStyle w:val="NormalWeb"/>
        <w:numPr>
          <w:ilvl w:val="0"/>
          <w:numId w:val="30"/>
        </w:numPr>
        <w:contextualSpacing/>
        <w:jc w:val="both"/>
        <w:rPr>
          <w:rFonts w:ascii="Book Antiqua" w:hAnsi="Book Antiqua"/>
        </w:rPr>
      </w:pPr>
      <w:r w:rsidRPr="00DB4B55">
        <w:rPr>
          <w:rStyle w:val="Strong"/>
          <w:rFonts w:ascii="Book Antiqua" w:hAnsi="Book Antiqua"/>
        </w:rPr>
        <w:t>Adquisición y mantenimiento:</w:t>
      </w:r>
      <w:r w:rsidRPr="00DB4B55">
        <w:rPr>
          <w:rFonts w:ascii="Book Antiqua" w:hAnsi="Book Antiqua"/>
        </w:rPr>
        <w:t xml:space="preserve"> Observó que la referencia a que los servicios de reparación y mantenimiento de los vehículos deben regirse por el Artículo 2.036(m) podría ser imprecisa, ya que ese inciso no contempla expresamente esos servicios. Sugirió que los servicios de mantenimiento se adquieran como parte de las operaciones ordinarias de la flota municipal, conforme al calendario establecido por el manufacturero. Recomendó enmendar dicho artículo si se desea incorporar esa disposición de forma coherente.</w:t>
      </w:r>
    </w:p>
    <w:p w14:paraId="08D65950" w14:textId="77777777" w:rsidR="00B54C59" w:rsidRPr="00DB4B55" w:rsidRDefault="00B54C59" w:rsidP="00B54C59">
      <w:pPr>
        <w:pStyle w:val="NormalWeb"/>
        <w:ind w:left="720"/>
        <w:contextualSpacing/>
        <w:jc w:val="both"/>
        <w:rPr>
          <w:rFonts w:ascii="Book Antiqua" w:hAnsi="Book Antiqua"/>
        </w:rPr>
      </w:pPr>
    </w:p>
    <w:p w14:paraId="4FDF6C8B" w14:textId="77777777" w:rsidR="00A36870" w:rsidRDefault="00A36870" w:rsidP="00B54C59">
      <w:pPr>
        <w:pStyle w:val="NormalWeb"/>
        <w:numPr>
          <w:ilvl w:val="0"/>
          <w:numId w:val="30"/>
        </w:numPr>
        <w:contextualSpacing/>
        <w:jc w:val="both"/>
        <w:rPr>
          <w:rFonts w:ascii="Book Antiqua" w:hAnsi="Book Antiqua"/>
        </w:rPr>
      </w:pPr>
      <w:r w:rsidRPr="00DB4B55">
        <w:rPr>
          <w:rStyle w:val="Strong"/>
          <w:rFonts w:ascii="Book Antiqua" w:hAnsi="Book Antiqua"/>
        </w:rPr>
        <w:t>Validación del valor de intercambio (“</w:t>
      </w:r>
      <w:proofErr w:type="spellStart"/>
      <w:r w:rsidRPr="00DB4B55">
        <w:rPr>
          <w:rStyle w:val="Strong"/>
          <w:rFonts w:ascii="Book Antiqua" w:hAnsi="Book Antiqua"/>
        </w:rPr>
        <w:t>trade</w:t>
      </w:r>
      <w:proofErr w:type="spellEnd"/>
      <w:r w:rsidRPr="00DB4B55">
        <w:rPr>
          <w:rStyle w:val="Strong"/>
          <w:rFonts w:ascii="Book Antiqua" w:hAnsi="Book Antiqua"/>
        </w:rPr>
        <w:t>-in”):</w:t>
      </w:r>
      <w:r w:rsidRPr="00DB4B55">
        <w:rPr>
          <w:rFonts w:ascii="Book Antiqua" w:hAnsi="Book Antiqua"/>
        </w:rPr>
        <w:t xml:space="preserve"> En cuanto a la posibilidad de utilizar el vehículo existente como parte del pago de uno nuevo, la OCPR recomendó que se incluya una disposición que requiera la validación de la tasación ofrecida. Como alternativa, sugirió que dicha validación sea realizada por el director de Obras Públicas del municipio, a fin de asegurar razonabilidad y evitar sobrevaloraciones.</w:t>
      </w:r>
    </w:p>
    <w:p w14:paraId="20240EF1" w14:textId="77777777" w:rsidR="00B54C59" w:rsidRPr="00DB4B55" w:rsidRDefault="00B54C59" w:rsidP="00B54C59">
      <w:pPr>
        <w:pStyle w:val="NormalWeb"/>
        <w:ind w:left="720"/>
        <w:contextualSpacing/>
        <w:jc w:val="both"/>
        <w:rPr>
          <w:rFonts w:ascii="Book Antiqua" w:hAnsi="Book Antiqua"/>
        </w:rPr>
      </w:pPr>
    </w:p>
    <w:p w14:paraId="4953F832" w14:textId="77777777" w:rsidR="00A36870" w:rsidRDefault="00A36870" w:rsidP="00B54C59">
      <w:pPr>
        <w:pStyle w:val="NormalWeb"/>
        <w:numPr>
          <w:ilvl w:val="0"/>
          <w:numId w:val="30"/>
        </w:numPr>
        <w:contextualSpacing/>
        <w:jc w:val="both"/>
        <w:rPr>
          <w:rFonts w:ascii="Book Antiqua" w:hAnsi="Book Antiqua"/>
        </w:rPr>
      </w:pPr>
      <w:r w:rsidRPr="00DB4B55">
        <w:rPr>
          <w:rStyle w:val="Strong"/>
          <w:rFonts w:ascii="Book Antiqua" w:hAnsi="Book Antiqua"/>
        </w:rPr>
        <w:t>Consulta a otras entidades:</w:t>
      </w:r>
      <w:r w:rsidRPr="00DB4B55">
        <w:rPr>
          <w:rFonts w:ascii="Book Antiqua" w:hAnsi="Book Antiqua"/>
        </w:rPr>
        <w:t xml:space="preserve"> Finalmente, la OCPR recomendó que, al tratarse de una medida con implicaciones de política pública, se considere la opinión de otras entidades pertinentes como la Asociación y la Federación de </w:t>
      </w:r>
      <w:proofErr w:type="gramStart"/>
      <w:r w:rsidRPr="00DB4B55">
        <w:rPr>
          <w:rFonts w:ascii="Book Antiqua" w:hAnsi="Book Antiqua"/>
        </w:rPr>
        <w:t>Alcaldes</w:t>
      </w:r>
      <w:proofErr w:type="gramEnd"/>
      <w:r w:rsidRPr="00DB4B55">
        <w:rPr>
          <w:rFonts w:ascii="Book Antiqua" w:hAnsi="Book Antiqua"/>
        </w:rPr>
        <w:t xml:space="preserve"> de Puerto Rico, la Oficina de Gerencia Municipal, la Administración de Servicios Generales y el Departamento de Justicia.</w:t>
      </w:r>
    </w:p>
    <w:p w14:paraId="3AD81FFA" w14:textId="77777777" w:rsidR="00B54C59" w:rsidRPr="00DB4B55" w:rsidRDefault="00B54C59" w:rsidP="00B54C59">
      <w:pPr>
        <w:pStyle w:val="NormalWeb"/>
        <w:contextualSpacing/>
        <w:jc w:val="both"/>
        <w:rPr>
          <w:rFonts w:ascii="Book Antiqua" w:hAnsi="Book Antiqua"/>
        </w:rPr>
      </w:pPr>
    </w:p>
    <w:p w14:paraId="62EBF4CA" w14:textId="546BF774" w:rsidR="00A36870" w:rsidRDefault="00A36870" w:rsidP="00DD1F37">
      <w:pPr>
        <w:pStyle w:val="NormalWeb"/>
        <w:contextualSpacing/>
        <w:jc w:val="both"/>
        <w:rPr>
          <w:rFonts w:ascii="Book Antiqua" w:hAnsi="Book Antiqua"/>
        </w:rPr>
      </w:pPr>
      <w:r w:rsidRPr="00DB4B55">
        <w:rPr>
          <w:rFonts w:ascii="Book Antiqua" w:hAnsi="Book Antiqua"/>
        </w:rPr>
        <w:lastRenderedPageBreak/>
        <w:t xml:space="preserve">En resumen, aunque la Oficina del Contralor reconoció los méritos que pueda tener el Proyecto de la Cámara 66 en cuanto al fortalecimiento de la transparencia y el uso responsable de los fondos públicos, </w:t>
      </w:r>
      <w:r w:rsidRPr="004E3623">
        <w:rPr>
          <w:rFonts w:ascii="Book Antiqua" w:hAnsi="Book Antiqua"/>
          <w:b/>
          <w:bCs/>
        </w:rPr>
        <w:t>exhortó a que se incorporen las enmiendas sugeridas para garantizar la coherencia legal y la efectividad de su implementación.</w:t>
      </w:r>
    </w:p>
    <w:p w14:paraId="3AEA1784" w14:textId="77777777" w:rsidR="00B54C59" w:rsidRDefault="00B54C59" w:rsidP="00B54C59">
      <w:pPr>
        <w:pStyle w:val="NormalWeb"/>
        <w:contextualSpacing/>
        <w:jc w:val="both"/>
        <w:rPr>
          <w:rFonts w:ascii="Book Antiqua" w:hAnsi="Book Antiqua"/>
        </w:rPr>
      </w:pPr>
    </w:p>
    <w:p w14:paraId="5F529172" w14:textId="2EF19A71" w:rsidR="00F425AD" w:rsidRPr="00DB4B55" w:rsidRDefault="00F425AD" w:rsidP="00DD1F37">
      <w:pPr>
        <w:pStyle w:val="NormalWeb"/>
        <w:jc w:val="both"/>
        <w:rPr>
          <w:rFonts w:ascii="Book Antiqua" w:hAnsi="Book Antiqua"/>
        </w:rPr>
      </w:pPr>
      <w:r w:rsidRPr="00DB4B55">
        <w:rPr>
          <w:rFonts w:ascii="Book Antiqua" w:hAnsi="Book Antiqua"/>
          <w:lang w:val="es-ES"/>
        </w:rPr>
        <w:t xml:space="preserve">La </w:t>
      </w:r>
      <w:r w:rsidRPr="00DB4B55">
        <w:rPr>
          <w:rFonts w:ascii="Book Antiqua" w:hAnsi="Book Antiqua"/>
          <w:b/>
          <w:bCs/>
          <w:i/>
          <w:iCs/>
          <w:lang w:val="es-ES"/>
        </w:rPr>
        <w:t>Oficina de Ética Gubernamental (OEG)</w:t>
      </w:r>
      <w:r w:rsidRPr="00DB4B55">
        <w:rPr>
          <w:rFonts w:ascii="Book Antiqua" w:hAnsi="Book Antiqua"/>
          <w:lang w:val="es-ES"/>
        </w:rPr>
        <w:t xml:space="preserve">, </w:t>
      </w:r>
      <w:r w:rsidR="00B54C59">
        <w:rPr>
          <w:rFonts w:ascii="Book Antiqua" w:hAnsi="Book Antiqua"/>
          <w:lang w:val="es-ES"/>
        </w:rPr>
        <w:t xml:space="preserve">compareció </w:t>
      </w:r>
      <w:r w:rsidRPr="00DB4B55">
        <w:rPr>
          <w:rFonts w:ascii="Book Antiqua" w:hAnsi="Book Antiqua"/>
          <w:lang w:val="es-ES"/>
        </w:rPr>
        <w:t xml:space="preserve">mediante memorial con fecha del 13 de febrero de 2025, suscrito por Luis A Pérez Vargas. </w:t>
      </w:r>
      <w:r w:rsidRPr="00DB4B55">
        <w:rPr>
          <w:rFonts w:ascii="Book Antiqua" w:hAnsi="Book Antiqua"/>
        </w:rPr>
        <w:t>La OEG reconoció como loable el propósito de la medida, al considerar que la regulación de la adquisición de vehículos oficiales en los municipios —en especial aquellos asignados a los alcaldes y alcaldesas— puede contribuir a una administración más transparente y responsable de los fondos públicos. Sin embargo, la agencia expresó reservas importantes sobre una de las disposiciones específicas de la medida: la que impone a la OEG la responsabilidad de sancionar administrativamente al alcalde o alcaldesa que incumpla con lo establecido en el nuevo artículo propuesto.</w:t>
      </w:r>
    </w:p>
    <w:p w14:paraId="7DA2A730" w14:textId="77777777" w:rsidR="00F425AD" w:rsidRPr="00DB4B55" w:rsidRDefault="00F425AD" w:rsidP="00DD1F37">
      <w:pPr>
        <w:pStyle w:val="NormalWeb"/>
        <w:jc w:val="both"/>
        <w:rPr>
          <w:rFonts w:ascii="Book Antiqua" w:hAnsi="Book Antiqua"/>
        </w:rPr>
      </w:pPr>
      <w:r w:rsidRPr="00DB4B55">
        <w:rPr>
          <w:rFonts w:ascii="Book Antiqua" w:hAnsi="Book Antiqua"/>
        </w:rPr>
        <w:t xml:space="preserve">La Oficina aclaró que su facultad sancionadora está delimitada por su </w:t>
      </w:r>
      <w:r w:rsidRPr="00DB4B55">
        <w:rPr>
          <w:rStyle w:val="Strong"/>
          <w:rFonts w:ascii="Book Antiqua" w:hAnsi="Book Antiqua"/>
        </w:rPr>
        <w:t>Ley Orgánica</w:t>
      </w:r>
      <w:r w:rsidRPr="00DB4B55">
        <w:rPr>
          <w:rFonts w:ascii="Book Antiqua" w:hAnsi="Book Antiqua"/>
        </w:rPr>
        <w:t xml:space="preserve"> y se restringe a imponer sanciones por violaciones a las prohibiciones expresamente contenidas en la </w:t>
      </w:r>
      <w:r w:rsidRPr="00DB4B55">
        <w:rPr>
          <w:rStyle w:val="Strong"/>
          <w:rFonts w:ascii="Book Antiqua" w:hAnsi="Book Antiqua"/>
        </w:rPr>
        <w:t>Ley de Ética Gubernamental</w:t>
      </w:r>
      <w:r w:rsidRPr="00DB4B55">
        <w:rPr>
          <w:rFonts w:ascii="Book Antiqua" w:hAnsi="Book Antiqua"/>
        </w:rPr>
        <w:t xml:space="preserve"> (LOOEG). Aunque la OEG puede considerar el incumplimiento de otras disposiciones legales o reglamentarias como parte del análisis ético, no tiene la autoridad legal para imponer sanciones administrativas por infracciones a leyes externas al marco de la LOOEG.</w:t>
      </w:r>
    </w:p>
    <w:p w14:paraId="63F4E867" w14:textId="4B8FD9AC" w:rsidR="00F425AD" w:rsidRPr="00DB4B55" w:rsidRDefault="00F425AD" w:rsidP="00DD1F37">
      <w:pPr>
        <w:pStyle w:val="NormalWeb"/>
        <w:jc w:val="both"/>
        <w:rPr>
          <w:rFonts w:ascii="Book Antiqua" w:hAnsi="Book Antiqua"/>
        </w:rPr>
      </w:pPr>
      <w:r w:rsidRPr="00DB4B55">
        <w:rPr>
          <w:rFonts w:ascii="Book Antiqua" w:hAnsi="Book Antiqua"/>
        </w:rPr>
        <w:t>A modo de ejemplo, la OEG citó el inciso (r) del Artículo 4.2 de la LOOEG, el cual establece que un servidor público no puede omitir el cumplimiento de un deber impuesto por ley o reglamento si con ello se ocasiona la pérdida de fondos públicos o daño a la propiedad pública. No obstante, aún bajo ese escenario, cualquier acción sancionadora debe estar fundamentada en una violación a la propia Ley de Ética, y no exclusivamente en una infracción a otra legislación.</w:t>
      </w:r>
    </w:p>
    <w:p w14:paraId="45849CF2" w14:textId="77777777" w:rsidR="00F425AD" w:rsidRPr="00DB4B55" w:rsidRDefault="00F425AD" w:rsidP="00DD1F37">
      <w:pPr>
        <w:pStyle w:val="NormalWeb"/>
        <w:jc w:val="both"/>
        <w:rPr>
          <w:rFonts w:ascii="Book Antiqua" w:hAnsi="Book Antiqua"/>
        </w:rPr>
      </w:pPr>
      <w:r w:rsidRPr="00DB4B55">
        <w:rPr>
          <w:rFonts w:ascii="Book Antiqua" w:hAnsi="Book Antiqua"/>
        </w:rPr>
        <w:t xml:space="preserve">Asimismo, la OEG destacó el precedente jurisprudencial establecido por el </w:t>
      </w:r>
      <w:r w:rsidRPr="00DB4B55">
        <w:rPr>
          <w:rStyle w:val="Strong"/>
          <w:rFonts w:ascii="Book Antiqua" w:hAnsi="Book Antiqua"/>
        </w:rPr>
        <w:t>Tribunal Supremo de Puerto Rico en el caso OEG v. Martínez Giraud, 210 D.P.R. 79 (2022)</w:t>
      </w:r>
      <w:r w:rsidRPr="00DB4B55">
        <w:rPr>
          <w:rFonts w:ascii="Book Antiqua" w:hAnsi="Book Antiqua"/>
        </w:rPr>
        <w:t>, el cual establece que toda penalidad ética bajo la LOOEG debe cumplir con un alto estándar probatorio: prueba clara, robusta y convincente. Bajo ese marco, imponer responsabilidad personal automática a un alcalde o alcaldesa por incumplimiento administrativo, sin considerar las circunstancias del caso y los sujetos involucrados, podría ser incompatible con dicho estándar constitucional.</w:t>
      </w:r>
    </w:p>
    <w:p w14:paraId="0B85CE7A" w14:textId="77777777" w:rsidR="00F425AD" w:rsidRPr="00DB4B55" w:rsidRDefault="00F425AD" w:rsidP="00DD1F37">
      <w:pPr>
        <w:pStyle w:val="NormalWeb"/>
        <w:jc w:val="both"/>
        <w:rPr>
          <w:rFonts w:ascii="Book Antiqua" w:hAnsi="Book Antiqua"/>
        </w:rPr>
      </w:pPr>
      <w:r w:rsidRPr="00DB4B55">
        <w:rPr>
          <w:rFonts w:ascii="Book Antiqua" w:hAnsi="Book Antiqua"/>
          <w:b/>
          <w:bCs/>
        </w:rPr>
        <w:t xml:space="preserve">En virtud de lo anterior, la Oficina de Ética Gubernamental manifestó que </w:t>
      </w:r>
      <w:r w:rsidRPr="00DD1F37">
        <w:rPr>
          <w:rStyle w:val="Strong"/>
          <w:rFonts w:ascii="Book Antiqua" w:hAnsi="Book Antiqua"/>
        </w:rPr>
        <w:t>no</w:t>
      </w:r>
      <w:r w:rsidRPr="00DB4B55">
        <w:rPr>
          <w:rStyle w:val="Strong"/>
          <w:rFonts w:ascii="Book Antiqua" w:hAnsi="Book Antiqua"/>
          <w:b w:val="0"/>
          <w:bCs w:val="0"/>
        </w:rPr>
        <w:t xml:space="preserve"> </w:t>
      </w:r>
      <w:r w:rsidRPr="00DB4B55">
        <w:rPr>
          <w:rStyle w:val="Strong"/>
          <w:rFonts w:ascii="Book Antiqua" w:hAnsi="Book Antiqua"/>
        </w:rPr>
        <w:t>favorece la aprobación del Proyecto de la Cámara 66 en su versión actual</w:t>
      </w:r>
      <w:r w:rsidRPr="00DB4B55">
        <w:rPr>
          <w:rFonts w:ascii="Book Antiqua" w:hAnsi="Book Antiqua"/>
        </w:rPr>
        <w:t>, específicamente en lo relativo a la disposición que le atribuye a la OEG la facultad de imponer sanciones administrativas por incumplimiento del nuevo artículo propuesto.</w:t>
      </w:r>
    </w:p>
    <w:p w14:paraId="193859E9" w14:textId="77777777" w:rsidR="001E0BAD" w:rsidRPr="00DB4B55" w:rsidRDefault="001E0BAD" w:rsidP="00B54C59">
      <w:pPr>
        <w:pStyle w:val="NormalWeb"/>
        <w:rPr>
          <w:rFonts w:ascii="Book Antiqua" w:hAnsi="Book Antiqua"/>
        </w:rPr>
      </w:pPr>
    </w:p>
    <w:p w14:paraId="0513540A" w14:textId="3A3EE086" w:rsidR="00721BCE" w:rsidRDefault="004000AE" w:rsidP="001E0BAD">
      <w:pPr>
        <w:pStyle w:val="NormalWeb"/>
        <w:jc w:val="center"/>
        <w:rPr>
          <w:rFonts w:ascii="Book Antiqua" w:hAnsi="Book Antiqua"/>
          <w:b/>
          <w:i/>
          <w:smallCaps/>
          <w:lang w:val="es-ES_tradnl"/>
        </w:rPr>
      </w:pPr>
      <w:r w:rsidRPr="00DB4B55">
        <w:rPr>
          <w:rFonts w:ascii="Book Antiqua" w:hAnsi="Book Antiqua"/>
          <w:b/>
          <w:i/>
          <w:smallCaps/>
          <w:lang w:val="es-ES_tradnl"/>
        </w:rPr>
        <w:lastRenderedPageBreak/>
        <w:t xml:space="preserve">Análisis </w:t>
      </w:r>
      <w:r w:rsidR="00C646DB" w:rsidRPr="00DB4B55">
        <w:rPr>
          <w:rFonts w:ascii="Book Antiqua" w:hAnsi="Book Antiqua"/>
          <w:b/>
          <w:i/>
          <w:smallCaps/>
          <w:lang w:val="es-ES_tradnl"/>
        </w:rPr>
        <w:t>De la Medida</w:t>
      </w:r>
    </w:p>
    <w:p w14:paraId="5DB2FC43" w14:textId="77777777" w:rsidR="003438FC" w:rsidRPr="00DB4B55" w:rsidRDefault="003438FC" w:rsidP="00DD1F37">
      <w:pPr>
        <w:pStyle w:val="NormalWeb"/>
        <w:jc w:val="both"/>
        <w:rPr>
          <w:rFonts w:ascii="Book Antiqua" w:hAnsi="Book Antiqua"/>
        </w:rPr>
      </w:pPr>
      <w:r w:rsidRPr="00DB4B55">
        <w:rPr>
          <w:rFonts w:ascii="Book Antiqua" w:hAnsi="Book Antiqua"/>
        </w:rPr>
        <w:t>Tras examinar el contenido del Proyecto de la Cámara 66 y evaluar los memoriales recibidos de distintas entidades gubernamentales, esta Comisión entiende que, si bien la medida persigue un objetivo legítimo —promover un uso juicioso y responsable de los fondos públicos en la adquisición de vehículos oficiales por parte de los alcaldes y alcaldesas—, la misma presenta serias deficiencias normativas, contradicciones legales y problemas de viabilidad administrativa que impiden recomendar su aprobación en la forma en que ha sido presentada.</w:t>
      </w:r>
    </w:p>
    <w:p w14:paraId="368489F5" w14:textId="23A5419D" w:rsidR="003438FC" w:rsidRPr="00DB4B55" w:rsidRDefault="003438FC" w:rsidP="00DD1F37">
      <w:pPr>
        <w:pStyle w:val="NormalWeb"/>
        <w:jc w:val="both"/>
        <w:rPr>
          <w:rFonts w:ascii="Book Antiqua" w:hAnsi="Book Antiqua"/>
        </w:rPr>
      </w:pPr>
      <w:r w:rsidRPr="00DB4B55">
        <w:rPr>
          <w:rFonts w:ascii="Book Antiqua" w:hAnsi="Book Antiqua"/>
        </w:rPr>
        <w:t xml:space="preserve">Uno de los señalamientos más significativos lo plantea la Federación de </w:t>
      </w:r>
      <w:proofErr w:type="gramStart"/>
      <w:r w:rsidRPr="00DB4B55">
        <w:rPr>
          <w:rFonts w:ascii="Book Antiqua" w:hAnsi="Book Antiqua"/>
        </w:rPr>
        <w:t>Alcaldes</w:t>
      </w:r>
      <w:proofErr w:type="gramEnd"/>
      <w:r w:rsidRPr="00DB4B55">
        <w:rPr>
          <w:rFonts w:ascii="Book Antiqua" w:hAnsi="Book Antiqua"/>
        </w:rPr>
        <w:t xml:space="preserve"> de Puerto Rico, al sostener que </w:t>
      </w:r>
      <w:r w:rsidRPr="004E3623">
        <w:rPr>
          <w:rFonts w:ascii="Book Antiqua" w:hAnsi="Book Antiqua"/>
          <w:b/>
          <w:bCs/>
        </w:rPr>
        <w:t>el proyecto resulta innecesario y redundante en tanto el Código Municipal de Puerto Rico ya contiene disposiciones específicas que regulan la adquisición de bienes, prohíben gastos excesivos y promueven la eficiencia administrativa en el manejo de fondos públicos</w:t>
      </w:r>
      <w:r w:rsidRPr="00DB4B55">
        <w:rPr>
          <w:rFonts w:ascii="Book Antiqua" w:hAnsi="Book Antiqua"/>
        </w:rPr>
        <w:t>. En efecto, el propio Código establece que toda transacción municipal debe responder a criterios de necesidad, legalidad y razonabilidad fiscal, incluyendo la adquisición de vehículos oficiales.</w:t>
      </w:r>
      <w:r w:rsidR="00DD1F37">
        <w:rPr>
          <w:rFonts w:ascii="Book Antiqua" w:hAnsi="Book Antiqua"/>
        </w:rPr>
        <w:t xml:space="preserve"> </w:t>
      </w:r>
      <w:r w:rsidRPr="00DB4B55">
        <w:rPr>
          <w:rFonts w:ascii="Book Antiqua" w:hAnsi="Book Antiqua"/>
        </w:rPr>
        <w:t xml:space="preserve">Desde esa perspectiva, </w:t>
      </w:r>
      <w:r w:rsidRPr="004E3623">
        <w:rPr>
          <w:rFonts w:ascii="Book Antiqua" w:hAnsi="Book Antiqua"/>
          <w:b/>
          <w:bCs/>
        </w:rPr>
        <w:t>esta medida no solo duplica controles existentes, sino que también representa una posible intromisión en la autonomía municipal garantizada por la Ley 107-2020</w:t>
      </w:r>
      <w:r w:rsidRPr="00DB4B55">
        <w:rPr>
          <w:rFonts w:ascii="Book Antiqua" w:hAnsi="Book Antiqua"/>
        </w:rPr>
        <w:t>.</w:t>
      </w:r>
    </w:p>
    <w:p w14:paraId="15AD39E6" w14:textId="1F248AD6" w:rsidR="003438FC" w:rsidRPr="00DB4B55" w:rsidRDefault="00DD1F37" w:rsidP="00DD1F37">
      <w:pPr>
        <w:pStyle w:val="NormalWeb"/>
        <w:jc w:val="both"/>
        <w:rPr>
          <w:rFonts w:ascii="Book Antiqua" w:hAnsi="Book Antiqua"/>
        </w:rPr>
      </w:pPr>
      <w:r>
        <w:rPr>
          <w:rFonts w:ascii="Book Antiqua" w:hAnsi="Book Antiqua"/>
        </w:rPr>
        <w:t>Además</w:t>
      </w:r>
      <w:r w:rsidR="003438FC" w:rsidRPr="00DB4B55">
        <w:rPr>
          <w:rFonts w:ascii="Book Antiqua" w:hAnsi="Book Antiqua"/>
        </w:rPr>
        <w:t xml:space="preserve">, la Oficina de Ética Gubernamental (OEG) expresó serias reservas respecto a una de las disposiciones medulares del proyecto: aquella que le atribuye a dicha agencia la facultad de imponer una sanción administrativa de veinte mil dólares al alcalde o alcaldesa que incumpla con los requisitos propuestos. </w:t>
      </w:r>
      <w:r w:rsidR="003438FC" w:rsidRPr="004E3623">
        <w:rPr>
          <w:rFonts w:ascii="Book Antiqua" w:hAnsi="Book Antiqua"/>
          <w:b/>
          <w:bCs/>
        </w:rPr>
        <w:t>La OEG fue clara al señalar que su función sancionadora está delimitada por su Ley Orgánica y que, conforme al estado de derecho vigente, solo puede imponer sanciones por violaciones directas a la Ley de Ética Gubernamental (LOOEG).</w:t>
      </w:r>
      <w:r w:rsidR="003438FC" w:rsidRPr="00DB4B55">
        <w:rPr>
          <w:rFonts w:ascii="Book Antiqua" w:hAnsi="Book Antiqua"/>
        </w:rPr>
        <w:t xml:space="preserve"> Aun cuando puede considerar el incumplimiento de otras leyes como un elemento contextual en sus investigaciones, la agencia no tiene jurisdicción para penalizar directamente a funcionarios por infracciones a leyes externas a la LOOEG. </w:t>
      </w:r>
      <w:r w:rsidR="003438FC" w:rsidRPr="004E3623">
        <w:rPr>
          <w:rFonts w:ascii="Book Antiqua" w:hAnsi="Book Antiqua"/>
          <w:b/>
          <w:bCs/>
        </w:rPr>
        <w:t xml:space="preserve">Esta disposición, además de ser jurídicamente insostenible, podría resultar incompatible con el estándar probatorio establecido por el Tribunal Supremo de Puerto Rico en el caso </w:t>
      </w:r>
      <w:r w:rsidR="003438FC" w:rsidRPr="004E3623">
        <w:rPr>
          <w:rStyle w:val="Emphasis"/>
          <w:rFonts w:ascii="Book Antiqua" w:hAnsi="Book Antiqua"/>
          <w:b/>
          <w:bCs/>
        </w:rPr>
        <w:t>OEG v. Martínez Giraud</w:t>
      </w:r>
      <w:r w:rsidR="003438FC" w:rsidRPr="004E3623">
        <w:rPr>
          <w:rFonts w:ascii="Book Antiqua" w:hAnsi="Book Antiqua"/>
          <w:b/>
          <w:bCs/>
        </w:rPr>
        <w:t>, 210 D.P.R. 79 (2022)</w:t>
      </w:r>
      <w:r w:rsidR="003438FC" w:rsidRPr="00DB4B55">
        <w:rPr>
          <w:rFonts w:ascii="Book Antiqua" w:hAnsi="Book Antiqua"/>
        </w:rPr>
        <w:t>, que exige prueba clara, robusta y convincente para toda sanción ética.</w:t>
      </w:r>
    </w:p>
    <w:p w14:paraId="3192E161" w14:textId="20A57C3F" w:rsidR="003438FC" w:rsidRPr="00DB4B55" w:rsidRDefault="003438FC" w:rsidP="00DD1F37">
      <w:pPr>
        <w:pStyle w:val="NormalWeb"/>
        <w:jc w:val="both"/>
        <w:rPr>
          <w:rFonts w:ascii="Book Antiqua" w:hAnsi="Book Antiqua"/>
        </w:rPr>
      </w:pPr>
      <w:r w:rsidRPr="00DB4B55">
        <w:rPr>
          <w:rFonts w:ascii="Book Antiqua" w:hAnsi="Book Antiqua"/>
        </w:rPr>
        <w:t xml:space="preserve">Por su parte, la Oficina del Contralor de Puerto Rico (OCPR) también planteó múltiples observaciones técnicas a la medida. En primer lugar, señaló que </w:t>
      </w:r>
      <w:r w:rsidRPr="004E3623">
        <w:rPr>
          <w:rFonts w:ascii="Book Antiqua" w:hAnsi="Book Antiqua"/>
          <w:b/>
          <w:bCs/>
        </w:rPr>
        <w:t xml:space="preserve">el proyecto no define adecuadamente el término “vehículo”, lo cual puede dar pie a ambigüedades interpretativas </w:t>
      </w:r>
      <w:r w:rsidRPr="00DB4B55">
        <w:rPr>
          <w:rFonts w:ascii="Book Antiqua" w:hAnsi="Book Antiqua"/>
        </w:rPr>
        <w:t xml:space="preserve">respecto a si están incluidos modelos como SUV o guaguas, o si los límites de precio aplican igualmente a vehículos nuevos y usados. Además, indicó que la referencia al Artículo 2.036(m) del Código en relación con el mantenimiento de los vehículos resulta imprecisa, ya que dicho inciso no contempla expresamente ese tipo de servicios, por lo que sería necesario enmendarlo para garantizar coherencia normativa. </w:t>
      </w:r>
      <w:r w:rsidRPr="00DB4B55">
        <w:rPr>
          <w:rFonts w:ascii="Book Antiqua" w:hAnsi="Book Antiqua"/>
        </w:rPr>
        <w:lastRenderedPageBreak/>
        <w:t>Finalmente, la O</w:t>
      </w:r>
      <w:r w:rsidR="00DD1F37">
        <w:rPr>
          <w:rFonts w:ascii="Book Antiqua" w:hAnsi="Book Antiqua"/>
        </w:rPr>
        <w:t xml:space="preserve">CPR </w:t>
      </w:r>
      <w:r w:rsidRPr="00DB4B55">
        <w:rPr>
          <w:rFonts w:ascii="Book Antiqua" w:hAnsi="Book Antiqua"/>
        </w:rPr>
        <w:t>recomendó que se incluya un mecanismo de validación del valor de intercambio de vehículos (“</w:t>
      </w:r>
      <w:proofErr w:type="spellStart"/>
      <w:r w:rsidRPr="004E3623">
        <w:rPr>
          <w:rFonts w:ascii="Book Antiqua" w:hAnsi="Book Antiqua"/>
          <w:i/>
          <w:iCs/>
        </w:rPr>
        <w:t>trade</w:t>
      </w:r>
      <w:proofErr w:type="spellEnd"/>
      <w:r w:rsidRPr="004E3623">
        <w:rPr>
          <w:rFonts w:ascii="Book Antiqua" w:hAnsi="Book Antiqua"/>
          <w:i/>
          <w:iCs/>
        </w:rPr>
        <w:t>-in</w:t>
      </w:r>
      <w:r w:rsidRPr="00DB4B55">
        <w:rPr>
          <w:rFonts w:ascii="Book Antiqua" w:hAnsi="Book Antiqua"/>
        </w:rPr>
        <w:t>”), a fin de evitar irregularidades en el proceso de tasación y garantizar la razonabilidad de los valores negociados.</w:t>
      </w:r>
    </w:p>
    <w:p w14:paraId="6ADD223F" w14:textId="77777777" w:rsidR="003438FC" w:rsidRPr="00DB4B55" w:rsidRDefault="003438FC" w:rsidP="00DD1F37">
      <w:pPr>
        <w:pStyle w:val="NormalWeb"/>
        <w:jc w:val="both"/>
        <w:rPr>
          <w:rFonts w:ascii="Book Antiqua" w:hAnsi="Book Antiqua"/>
        </w:rPr>
      </w:pPr>
      <w:r w:rsidRPr="00DB4B55">
        <w:rPr>
          <w:rFonts w:ascii="Book Antiqua" w:hAnsi="Book Antiqua"/>
        </w:rPr>
        <w:t xml:space="preserve">Otro aspecto que merece atención es el hecho de que </w:t>
      </w:r>
      <w:r w:rsidRPr="00DD1F37">
        <w:rPr>
          <w:rFonts w:ascii="Book Antiqua" w:hAnsi="Book Antiqua"/>
          <w:b/>
          <w:bCs/>
        </w:rPr>
        <w:t>l</w:t>
      </w:r>
      <w:r w:rsidRPr="004E3623">
        <w:rPr>
          <w:rFonts w:ascii="Book Antiqua" w:hAnsi="Book Antiqua"/>
          <w:b/>
          <w:bCs/>
        </w:rPr>
        <w:t>as restricciones propuestas por la medida se aplican exclusivamente a los alcaldes y alcaldesas, sin extenderse a otros funcionarios</w:t>
      </w:r>
      <w:r w:rsidRPr="00DB4B55">
        <w:rPr>
          <w:rFonts w:ascii="Book Antiqua" w:hAnsi="Book Antiqua"/>
        </w:rPr>
        <w:t xml:space="preserve"> del Estado que también hacen uso de vehículos oficiales costeados con fondos públicos</w:t>
      </w:r>
      <w:r w:rsidRPr="004E3623">
        <w:rPr>
          <w:rFonts w:ascii="Book Antiqua" w:hAnsi="Book Antiqua"/>
          <w:b/>
          <w:bCs/>
        </w:rPr>
        <w:t xml:space="preserve">. Este tratamiento desigual podría interpretarse como una limitación discriminatoria y atentatoria contra el principio de equidad </w:t>
      </w:r>
      <w:r w:rsidRPr="00DB4B55">
        <w:rPr>
          <w:rFonts w:ascii="Book Antiqua" w:hAnsi="Book Antiqua"/>
        </w:rPr>
        <w:t>que debe regir toda política pública. La regulación del uso de vehículos oficiales debe ser coherente, uniforme y aplicable a toda la estructura gubernamental, no solo a los gobiernos municipales.</w:t>
      </w:r>
    </w:p>
    <w:p w14:paraId="27A555E9" w14:textId="7346ACCE" w:rsidR="00A85717" w:rsidRDefault="00F04A9A" w:rsidP="00A76B51">
      <w:pPr>
        <w:jc w:val="center"/>
        <w:rPr>
          <w:rFonts w:ascii="Book Antiqua" w:hAnsi="Book Antiqua"/>
          <w:b/>
          <w:i/>
          <w:smallCaps/>
          <w:szCs w:val="24"/>
          <w:lang w:val="es-ES_tradnl"/>
        </w:rPr>
      </w:pPr>
      <w:r w:rsidRPr="00DB4B55">
        <w:rPr>
          <w:rFonts w:ascii="Book Antiqua" w:hAnsi="Book Antiqua"/>
          <w:b/>
          <w:i/>
          <w:smallCaps/>
          <w:szCs w:val="24"/>
          <w:lang w:val="es-ES_tradnl"/>
        </w:rPr>
        <w:t xml:space="preserve">Impacto Fiscal </w:t>
      </w:r>
    </w:p>
    <w:p w14:paraId="131B6AF7" w14:textId="77777777" w:rsidR="004E3623" w:rsidRPr="00DB4B55" w:rsidRDefault="004E3623" w:rsidP="00A76B51">
      <w:pPr>
        <w:jc w:val="center"/>
        <w:rPr>
          <w:rFonts w:ascii="Book Antiqua" w:hAnsi="Book Antiqua"/>
          <w:b/>
          <w:i/>
          <w:smallCaps/>
          <w:szCs w:val="24"/>
          <w:lang w:val="es-ES_tradnl"/>
        </w:rPr>
      </w:pPr>
    </w:p>
    <w:p w14:paraId="43751FE2" w14:textId="7467175B" w:rsidR="004E3623" w:rsidRPr="004E3623" w:rsidRDefault="004E3623" w:rsidP="00DD1F37">
      <w:pPr>
        <w:jc w:val="both"/>
        <w:rPr>
          <w:rFonts w:ascii="Book Antiqua" w:hAnsi="Book Antiqua"/>
          <w:bCs/>
          <w:iCs/>
          <w:smallCaps/>
          <w:szCs w:val="24"/>
          <w:lang w:val="es-ES"/>
        </w:rPr>
      </w:pPr>
      <w:r w:rsidRPr="004E3623">
        <w:rPr>
          <w:rFonts w:ascii="Book Antiqua" w:hAnsi="Book Antiqua"/>
          <w:lang w:val="es-ES"/>
        </w:rPr>
        <w:t xml:space="preserve">En cumplimiento con lo dispuesto en el Artículo 1.007 de la Ley 107-2020, conocida como el “Código Municipal de Puerto Rico” (21 L.P.R.A. § 7012), la Comisión de Asuntos Municipales </w:t>
      </w:r>
      <w:r w:rsidRPr="004E3623">
        <w:rPr>
          <w:rStyle w:val="Strong"/>
          <w:rFonts w:ascii="Book Antiqua" w:hAnsi="Book Antiqua"/>
          <w:lang w:val="es-ES"/>
        </w:rPr>
        <w:t>certifica que, al contar la presente medida con una recomendación de</w:t>
      </w:r>
      <w:r w:rsidR="00DD1F37">
        <w:rPr>
          <w:rStyle w:val="Strong"/>
          <w:rFonts w:ascii="Book Antiqua" w:hAnsi="Book Antiqua"/>
          <w:lang w:val="es-ES"/>
        </w:rPr>
        <w:t xml:space="preserve"> no</w:t>
      </w:r>
      <w:r w:rsidRPr="004E3623">
        <w:rPr>
          <w:rStyle w:val="Strong"/>
          <w:rFonts w:ascii="Book Antiqua" w:hAnsi="Book Antiqua"/>
          <w:lang w:val="es-ES"/>
        </w:rPr>
        <w:t xml:space="preserve"> aprobación, resulta </w:t>
      </w:r>
      <w:r w:rsidR="00DD1F37">
        <w:rPr>
          <w:rStyle w:val="Strong"/>
          <w:rFonts w:ascii="Book Antiqua" w:hAnsi="Book Antiqua"/>
          <w:lang w:val="es-ES"/>
        </w:rPr>
        <w:t>in</w:t>
      </w:r>
      <w:r w:rsidRPr="004E3623">
        <w:rPr>
          <w:rStyle w:val="Strong"/>
          <w:rFonts w:ascii="Book Antiqua" w:hAnsi="Book Antiqua"/>
          <w:lang w:val="es-ES"/>
        </w:rPr>
        <w:t>necesario realizar un análisis de impacto económico adicional.</w:t>
      </w:r>
    </w:p>
    <w:p w14:paraId="4F977CE2" w14:textId="77777777" w:rsidR="004E3623" w:rsidRDefault="004E3623" w:rsidP="004000AE">
      <w:pPr>
        <w:jc w:val="center"/>
        <w:rPr>
          <w:rFonts w:ascii="Book Antiqua" w:hAnsi="Book Antiqua"/>
          <w:b/>
          <w:i/>
          <w:smallCaps/>
          <w:szCs w:val="24"/>
          <w:lang w:val="es-ES_tradnl"/>
        </w:rPr>
      </w:pPr>
    </w:p>
    <w:p w14:paraId="64E4266F" w14:textId="5F98AF80" w:rsidR="004000AE" w:rsidRPr="00DB4B55" w:rsidRDefault="004000AE" w:rsidP="004000AE">
      <w:pPr>
        <w:jc w:val="center"/>
        <w:rPr>
          <w:rFonts w:ascii="Book Antiqua" w:hAnsi="Book Antiqua"/>
          <w:b/>
          <w:i/>
          <w:smallCaps/>
          <w:szCs w:val="24"/>
          <w:lang w:val="es-ES_tradnl"/>
        </w:rPr>
      </w:pPr>
      <w:r w:rsidRPr="00DB4B55">
        <w:rPr>
          <w:rFonts w:ascii="Book Antiqua" w:hAnsi="Book Antiqua"/>
          <w:b/>
          <w:i/>
          <w:smallCaps/>
          <w:szCs w:val="24"/>
          <w:lang w:val="es-ES_tradnl"/>
        </w:rPr>
        <w:t>Conclusión</w:t>
      </w:r>
    </w:p>
    <w:p w14:paraId="0FA06E58" w14:textId="77777777" w:rsidR="002365AE" w:rsidRPr="002365AE" w:rsidRDefault="002365AE" w:rsidP="00DD1F37">
      <w:pPr>
        <w:pStyle w:val="NormalWeb"/>
        <w:jc w:val="both"/>
        <w:rPr>
          <w:rFonts w:ascii="Book Antiqua" w:hAnsi="Book Antiqua"/>
        </w:rPr>
      </w:pPr>
      <w:r w:rsidRPr="002365AE">
        <w:rPr>
          <w:rFonts w:ascii="Book Antiqua" w:hAnsi="Book Antiqua"/>
        </w:rPr>
        <w:t>Los municipios han provisto vehículos oficiales a sus primeros ejecutivos como una herramienta necesaria para el cumplimiento de sus funciones y la atención efectiva de los asuntos públicos. Cualquier regulación sobre esta materia debe sustentarse en principios de eficiencia, funcionalidad y equidad, evitando imponer restricciones desproporcionadas que entorpezcan la gestión administrativa municipal.</w:t>
      </w:r>
    </w:p>
    <w:p w14:paraId="4C5E269E" w14:textId="2805240F" w:rsidR="004E3623" w:rsidRPr="002365AE" w:rsidRDefault="002365AE" w:rsidP="00DD1F37">
      <w:pPr>
        <w:pStyle w:val="NormalWeb"/>
        <w:jc w:val="both"/>
        <w:rPr>
          <w:rFonts w:ascii="Book Antiqua" w:hAnsi="Book Antiqua"/>
        </w:rPr>
      </w:pPr>
      <w:r w:rsidRPr="002365AE">
        <w:rPr>
          <w:rFonts w:ascii="Book Antiqua" w:hAnsi="Book Antiqua"/>
        </w:rPr>
        <w:t xml:space="preserve">No obstante, el </w:t>
      </w:r>
      <w:r w:rsidRPr="002365AE">
        <w:rPr>
          <w:rStyle w:val="Strong"/>
          <w:rFonts w:ascii="Book Antiqua" w:hAnsi="Book Antiqua"/>
        </w:rPr>
        <w:t>Proyecto de la Cámara 66</w:t>
      </w:r>
      <w:r w:rsidRPr="002365AE">
        <w:rPr>
          <w:rFonts w:ascii="Book Antiqua" w:hAnsi="Book Antiqua"/>
        </w:rPr>
        <w:t>, según redactado, presenta deficiencias jurídicas y estructurales que afectan su coherencia y viabilidad. La medida impone requisitos innecesarios, contradice disposiciones legales vigentes, asigna competencias a entidades sin jurisdicción y genera dudas sobre su aplicación uniforme, por lo que requiere una revisión sustantiva antes de su consideración legislativa.</w:t>
      </w:r>
    </w:p>
    <w:p w14:paraId="5A498756" w14:textId="57836DA2" w:rsidR="007935F7" w:rsidRPr="006678FA" w:rsidRDefault="007935F7" w:rsidP="007935F7">
      <w:pPr>
        <w:jc w:val="both"/>
        <w:rPr>
          <w:rFonts w:ascii="Book Antiqua" w:eastAsia="Times New Roman" w:hAnsi="Book Antiqua"/>
          <w:lang w:val="es-ES"/>
        </w:rPr>
      </w:pPr>
      <w:r w:rsidRPr="006678FA">
        <w:rPr>
          <w:rFonts w:ascii="Book Antiqua" w:eastAsia="Times New Roman" w:hAnsi="Book Antiqua"/>
          <w:b/>
          <w:bCs/>
          <w:lang w:val="es-ES"/>
        </w:rPr>
        <w:t>POR</w:t>
      </w:r>
      <w:r w:rsidRPr="006678FA">
        <w:rPr>
          <w:rFonts w:ascii="Book Antiqua" w:eastAsia="Times New Roman" w:hAnsi="Book Antiqua"/>
          <w:lang w:val="es-ES"/>
        </w:rPr>
        <w:t xml:space="preserve"> </w:t>
      </w:r>
      <w:r w:rsidRPr="006678FA">
        <w:rPr>
          <w:rFonts w:ascii="Book Antiqua" w:eastAsia="Times New Roman" w:hAnsi="Book Antiqua"/>
          <w:b/>
          <w:bCs/>
          <w:lang w:val="es-ES"/>
        </w:rPr>
        <w:t xml:space="preserve">LOS FUNDAMENTOS ANTES </w:t>
      </w:r>
      <w:r>
        <w:rPr>
          <w:rFonts w:ascii="Book Antiqua" w:eastAsia="Times New Roman" w:hAnsi="Book Antiqua"/>
          <w:b/>
          <w:bCs/>
          <w:lang w:val="es-ES"/>
        </w:rPr>
        <w:t>EX</w:t>
      </w:r>
      <w:r w:rsidRPr="006678FA">
        <w:rPr>
          <w:rFonts w:ascii="Book Antiqua" w:eastAsia="Times New Roman" w:hAnsi="Book Antiqua"/>
          <w:b/>
          <w:bCs/>
          <w:lang w:val="es-ES"/>
        </w:rPr>
        <w:t>PUESTOS</w:t>
      </w:r>
      <w:r w:rsidRPr="00526A00">
        <w:rPr>
          <w:rFonts w:ascii="Book Antiqua" w:eastAsia="Times New Roman" w:hAnsi="Book Antiqua"/>
          <w:lang w:val="es-ES"/>
        </w:rPr>
        <w:t xml:space="preserve">, luego del análisis exhaustivo de la medida y de los memoriales recibidos, la Comisión de </w:t>
      </w:r>
      <w:r>
        <w:rPr>
          <w:rFonts w:ascii="Book Antiqua" w:eastAsia="Times New Roman" w:hAnsi="Book Antiqua"/>
          <w:lang w:val="es-ES"/>
        </w:rPr>
        <w:t xml:space="preserve">Asuntos Municipales </w:t>
      </w:r>
      <w:r w:rsidRPr="00526A00">
        <w:rPr>
          <w:rFonts w:ascii="Book Antiqua" w:eastAsia="Times New Roman" w:hAnsi="Book Antiqua"/>
          <w:lang w:val="es-ES"/>
        </w:rPr>
        <w:t>no recomienda la</w:t>
      </w:r>
      <w:r>
        <w:rPr>
          <w:rFonts w:ascii="Book Antiqua" w:eastAsia="Times New Roman" w:hAnsi="Book Antiqua"/>
          <w:lang w:val="es-ES"/>
        </w:rPr>
        <w:t xml:space="preserve"> </w:t>
      </w:r>
      <w:r w:rsidRPr="00526A00">
        <w:rPr>
          <w:rFonts w:ascii="Book Antiqua" w:eastAsia="Times New Roman" w:hAnsi="Book Antiqua"/>
          <w:lang w:val="es-ES"/>
        </w:rPr>
        <w:t xml:space="preserve">aprobación del </w:t>
      </w:r>
      <w:r>
        <w:rPr>
          <w:rFonts w:ascii="Book Antiqua" w:eastAsia="Times New Roman" w:hAnsi="Book Antiqua"/>
          <w:b/>
          <w:bCs/>
          <w:lang w:val="es-ES"/>
        </w:rPr>
        <w:t>Proyecto de la Cámara 66</w:t>
      </w:r>
      <w:r w:rsidRPr="00526A00">
        <w:rPr>
          <w:rFonts w:ascii="Book Antiqua" w:eastAsia="Times New Roman" w:hAnsi="Book Antiqua"/>
          <w:lang w:val="es-ES"/>
        </w:rPr>
        <w:t>.</w:t>
      </w:r>
    </w:p>
    <w:p w14:paraId="0BE04919" w14:textId="77777777" w:rsidR="003438FC" w:rsidRPr="00DB4B55" w:rsidRDefault="003438FC" w:rsidP="00AC0B45">
      <w:pPr>
        <w:jc w:val="both"/>
        <w:rPr>
          <w:rFonts w:ascii="Book Antiqua" w:hAnsi="Book Antiqua" w:cs="Arial"/>
          <w:lang w:val="es-ES"/>
        </w:rPr>
      </w:pPr>
    </w:p>
    <w:p w14:paraId="0636930C" w14:textId="4A1467D6" w:rsidR="00AC0B45" w:rsidRPr="00DB4B55" w:rsidRDefault="00AC0B45" w:rsidP="00AC0B45">
      <w:pPr>
        <w:jc w:val="both"/>
        <w:rPr>
          <w:rFonts w:ascii="Book Antiqua" w:hAnsi="Book Antiqua" w:cs="Arial"/>
          <w:lang w:val="es-ES"/>
        </w:rPr>
      </w:pPr>
      <w:r w:rsidRPr="00DB4B55">
        <w:rPr>
          <w:rFonts w:ascii="Book Antiqua" w:hAnsi="Book Antiqua" w:cs="Arial"/>
          <w:lang w:val="es-ES"/>
        </w:rPr>
        <w:t>Respetuosamente sometido,</w:t>
      </w:r>
    </w:p>
    <w:p w14:paraId="73C7FD62" w14:textId="77777777" w:rsidR="00AC0B45" w:rsidRPr="00DB4B55" w:rsidRDefault="00AC0B45" w:rsidP="00AC0B45">
      <w:pPr>
        <w:rPr>
          <w:lang w:val="es-ES"/>
        </w:rPr>
      </w:pPr>
    </w:p>
    <w:p w14:paraId="5A509428" w14:textId="77777777" w:rsidR="00AC0B45" w:rsidRPr="00DB4B55" w:rsidRDefault="00AC0B45" w:rsidP="00AC0B45">
      <w:pPr>
        <w:rPr>
          <w:lang w:val="es-ES"/>
        </w:rPr>
      </w:pPr>
    </w:p>
    <w:p w14:paraId="3EC4B2F2" w14:textId="77777777" w:rsidR="00304C16" w:rsidRPr="00DB4B55" w:rsidRDefault="00304C16" w:rsidP="00304C16">
      <w:pPr>
        <w:jc w:val="both"/>
        <w:rPr>
          <w:rFonts w:ascii="Book Antiqua" w:hAnsi="Book Antiqua"/>
          <w:b/>
          <w:i/>
          <w:szCs w:val="24"/>
          <w:lang w:val="es-ES_tradnl"/>
        </w:rPr>
      </w:pPr>
      <w:r w:rsidRPr="00DB4B55">
        <w:rPr>
          <w:rFonts w:ascii="Book Antiqua" w:hAnsi="Book Antiqua"/>
          <w:b/>
          <w:i/>
          <w:szCs w:val="24"/>
          <w:lang w:val="es-ES_tradnl"/>
        </w:rPr>
        <w:t>Luis Pérez Ortiz</w:t>
      </w:r>
    </w:p>
    <w:p w14:paraId="1293D745" w14:textId="77777777" w:rsidR="00AC0B45" w:rsidRPr="00DB4B55" w:rsidRDefault="00AC0B45" w:rsidP="00AC0B45">
      <w:pPr>
        <w:jc w:val="both"/>
        <w:rPr>
          <w:rFonts w:ascii="Book Antiqua" w:hAnsi="Book Antiqua" w:cs="Arial"/>
          <w:lang w:val="es-ES"/>
        </w:rPr>
      </w:pPr>
      <w:r w:rsidRPr="00DB4B55">
        <w:rPr>
          <w:rFonts w:ascii="Book Antiqua" w:hAnsi="Book Antiqua" w:cs="Arial"/>
          <w:lang w:val="es-ES"/>
        </w:rPr>
        <w:t>Presidente</w:t>
      </w:r>
      <w:r w:rsidRPr="00DB4B55">
        <w:rPr>
          <w:rFonts w:ascii="Book Antiqua" w:hAnsi="Book Antiqua" w:cs="Arial"/>
          <w:lang w:val="es-ES"/>
        </w:rPr>
        <w:tab/>
      </w:r>
    </w:p>
    <w:p w14:paraId="3D9F1629" w14:textId="4FF920AA" w:rsidR="00AC0B45" w:rsidRPr="00DB4B55" w:rsidRDefault="00AC0B45" w:rsidP="005E345A">
      <w:pPr>
        <w:jc w:val="both"/>
        <w:rPr>
          <w:rFonts w:ascii="Book Antiqua" w:hAnsi="Book Antiqua" w:cs="Arial"/>
          <w:lang w:val="es-ES"/>
        </w:rPr>
      </w:pPr>
      <w:r w:rsidRPr="00DB4B55">
        <w:rPr>
          <w:rFonts w:ascii="Book Antiqua" w:hAnsi="Book Antiqua" w:cs="Arial"/>
          <w:lang w:val="es-ES"/>
        </w:rPr>
        <w:t xml:space="preserve">Comisión de Asuntos Municipales   </w:t>
      </w:r>
    </w:p>
    <w:sectPr w:rsidR="00AC0B45" w:rsidRPr="00DB4B55"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7CFF6" w14:textId="77777777" w:rsidR="00B921EB" w:rsidRDefault="00B921EB" w:rsidP="006705DD">
      <w:r>
        <w:separator/>
      </w:r>
    </w:p>
  </w:endnote>
  <w:endnote w:type="continuationSeparator" w:id="0">
    <w:p w14:paraId="273B0945" w14:textId="77777777" w:rsidR="00B921EB" w:rsidRDefault="00B921EB"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060AA" w14:textId="77777777" w:rsidR="00B921EB" w:rsidRDefault="00B921EB" w:rsidP="006705DD">
      <w:r>
        <w:separator/>
      </w:r>
    </w:p>
  </w:footnote>
  <w:footnote w:type="continuationSeparator" w:id="0">
    <w:p w14:paraId="356F5D34" w14:textId="77777777" w:rsidR="00B921EB" w:rsidRDefault="00B921EB"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272F482A"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w:t>
    </w:r>
    <w:r w:rsidR="003438FC">
      <w:rPr>
        <w:rStyle w:val="PageNumber"/>
        <w:rFonts w:ascii="Book Antiqua" w:hAnsi="Book Antiqua"/>
        <w:i/>
        <w:sz w:val="22"/>
        <w:szCs w:val="22"/>
        <w:lang w:val="es-PR"/>
      </w:rPr>
      <w:t>Negativo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140EFB">
      <w:rPr>
        <w:rStyle w:val="PageNumber"/>
        <w:rFonts w:ascii="Book Antiqua" w:hAnsi="Book Antiqua"/>
        <w:i/>
        <w:sz w:val="22"/>
        <w:szCs w:val="22"/>
        <w:lang w:val="es-PR"/>
      </w:rPr>
      <w:t>6</w:t>
    </w:r>
    <w:r w:rsidR="009375FE">
      <w:rPr>
        <w:rStyle w:val="PageNumber"/>
        <w:rFonts w:ascii="Book Antiqua" w:hAnsi="Book Antiqua"/>
        <w:i/>
        <w:sz w:val="22"/>
        <w:szCs w:val="22"/>
        <w:lang w:val="es-PR"/>
      </w:rPr>
      <w:t>6</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80D6BBE"/>
    <w:multiLevelType w:val="multilevel"/>
    <w:tmpl w:val="6F84A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77B493B"/>
    <w:multiLevelType w:val="multilevel"/>
    <w:tmpl w:val="205CD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1"/>
  </w:num>
  <w:num w:numId="2" w16cid:durableId="12457928">
    <w:abstractNumId w:val="20"/>
  </w:num>
  <w:num w:numId="3" w16cid:durableId="150217024">
    <w:abstractNumId w:val="22"/>
  </w:num>
  <w:num w:numId="4" w16cid:durableId="1144077218">
    <w:abstractNumId w:val="13"/>
  </w:num>
  <w:num w:numId="5" w16cid:durableId="1391071492">
    <w:abstractNumId w:val="25"/>
  </w:num>
  <w:num w:numId="6" w16cid:durableId="1887521205">
    <w:abstractNumId w:val="24"/>
  </w:num>
  <w:num w:numId="7" w16cid:durableId="17200089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9"/>
  </w:num>
  <w:num w:numId="9" w16cid:durableId="978419079">
    <w:abstractNumId w:val="12"/>
  </w:num>
  <w:num w:numId="10" w16cid:durableId="1431662367">
    <w:abstractNumId w:val="8"/>
  </w:num>
  <w:num w:numId="11" w16cid:durableId="745687741">
    <w:abstractNumId w:val="11"/>
  </w:num>
  <w:num w:numId="12" w16cid:durableId="788547495">
    <w:abstractNumId w:val="27"/>
  </w:num>
  <w:num w:numId="13" w16cid:durableId="953445716">
    <w:abstractNumId w:val="26"/>
  </w:num>
  <w:num w:numId="14" w16cid:durableId="194583800">
    <w:abstractNumId w:val="9"/>
  </w:num>
  <w:num w:numId="15" w16cid:durableId="523634993">
    <w:abstractNumId w:val="5"/>
  </w:num>
  <w:num w:numId="16" w16cid:durableId="640503561">
    <w:abstractNumId w:val="14"/>
  </w:num>
  <w:num w:numId="17" w16cid:durableId="558250333">
    <w:abstractNumId w:val="10"/>
  </w:num>
  <w:num w:numId="18" w16cid:durableId="544635036">
    <w:abstractNumId w:val="29"/>
  </w:num>
  <w:num w:numId="19" w16cid:durableId="328294607">
    <w:abstractNumId w:val="28"/>
  </w:num>
  <w:num w:numId="20" w16cid:durableId="1746873194">
    <w:abstractNumId w:val="6"/>
  </w:num>
  <w:num w:numId="21" w16cid:durableId="796483149">
    <w:abstractNumId w:val="16"/>
  </w:num>
  <w:num w:numId="22" w16cid:durableId="2005666296">
    <w:abstractNumId w:val="3"/>
  </w:num>
  <w:num w:numId="23" w16cid:durableId="1935046073">
    <w:abstractNumId w:val="23"/>
  </w:num>
  <w:num w:numId="24" w16cid:durableId="1003436762">
    <w:abstractNumId w:val="2"/>
  </w:num>
  <w:num w:numId="25" w16cid:durableId="363680753">
    <w:abstractNumId w:val="7"/>
  </w:num>
  <w:num w:numId="26" w16cid:durableId="819734833">
    <w:abstractNumId w:val="21"/>
  </w:num>
  <w:num w:numId="27" w16cid:durableId="319966295">
    <w:abstractNumId w:val="0"/>
  </w:num>
  <w:num w:numId="28" w16cid:durableId="1320692743">
    <w:abstractNumId w:val="4"/>
  </w:num>
  <w:num w:numId="29" w16cid:durableId="2071803549">
    <w:abstractNumId w:val="15"/>
  </w:num>
  <w:num w:numId="30" w16cid:durableId="104059171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16779"/>
    <w:rsid w:val="0002078C"/>
    <w:rsid w:val="000245A3"/>
    <w:rsid w:val="00040D4F"/>
    <w:rsid w:val="0004232E"/>
    <w:rsid w:val="00046F97"/>
    <w:rsid w:val="000549AC"/>
    <w:rsid w:val="00055E65"/>
    <w:rsid w:val="0006657A"/>
    <w:rsid w:val="000711C1"/>
    <w:rsid w:val="00075649"/>
    <w:rsid w:val="00084B35"/>
    <w:rsid w:val="0008609B"/>
    <w:rsid w:val="000862D3"/>
    <w:rsid w:val="00093070"/>
    <w:rsid w:val="00093599"/>
    <w:rsid w:val="000A0DD0"/>
    <w:rsid w:val="000A3551"/>
    <w:rsid w:val="000A36B0"/>
    <w:rsid w:val="000A3926"/>
    <w:rsid w:val="000A3F06"/>
    <w:rsid w:val="000A55EE"/>
    <w:rsid w:val="000C595D"/>
    <w:rsid w:val="000D4ACC"/>
    <w:rsid w:val="000E328C"/>
    <w:rsid w:val="000F7B85"/>
    <w:rsid w:val="00103081"/>
    <w:rsid w:val="00103ADD"/>
    <w:rsid w:val="00104793"/>
    <w:rsid w:val="00115CCE"/>
    <w:rsid w:val="00126B90"/>
    <w:rsid w:val="001319DA"/>
    <w:rsid w:val="00140EFB"/>
    <w:rsid w:val="0014633D"/>
    <w:rsid w:val="00147634"/>
    <w:rsid w:val="00163B5C"/>
    <w:rsid w:val="00164C7B"/>
    <w:rsid w:val="00165840"/>
    <w:rsid w:val="0017614C"/>
    <w:rsid w:val="00176B06"/>
    <w:rsid w:val="00182ED3"/>
    <w:rsid w:val="0018793D"/>
    <w:rsid w:val="0019634E"/>
    <w:rsid w:val="001A2FCD"/>
    <w:rsid w:val="001A3733"/>
    <w:rsid w:val="001A6010"/>
    <w:rsid w:val="001B612F"/>
    <w:rsid w:val="001C6904"/>
    <w:rsid w:val="001D0ABB"/>
    <w:rsid w:val="001E0BAD"/>
    <w:rsid w:val="001E2BBC"/>
    <w:rsid w:val="001E51A0"/>
    <w:rsid w:val="001E58FE"/>
    <w:rsid w:val="00214189"/>
    <w:rsid w:val="002169FB"/>
    <w:rsid w:val="00216D19"/>
    <w:rsid w:val="00222553"/>
    <w:rsid w:val="0022554E"/>
    <w:rsid w:val="0022643F"/>
    <w:rsid w:val="0023264E"/>
    <w:rsid w:val="002360B5"/>
    <w:rsid w:val="002365AE"/>
    <w:rsid w:val="002370D3"/>
    <w:rsid w:val="00244C04"/>
    <w:rsid w:val="00245609"/>
    <w:rsid w:val="00252693"/>
    <w:rsid w:val="00276BDD"/>
    <w:rsid w:val="00276C3E"/>
    <w:rsid w:val="002808F0"/>
    <w:rsid w:val="00281A3B"/>
    <w:rsid w:val="00290C4B"/>
    <w:rsid w:val="00296D3F"/>
    <w:rsid w:val="002B3B61"/>
    <w:rsid w:val="002B5FA1"/>
    <w:rsid w:val="002D1D70"/>
    <w:rsid w:val="002D4B38"/>
    <w:rsid w:val="002F2860"/>
    <w:rsid w:val="002F58EB"/>
    <w:rsid w:val="002F60E4"/>
    <w:rsid w:val="00300512"/>
    <w:rsid w:val="00304C16"/>
    <w:rsid w:val="00327EDE"/>
    <w:rsid w:val="00330D59"/>
    <w:rsid w:val="003403CB"/>
    <w:rsid w:val="003438FC"/>
    <w:rsid w:val="00352C61"/>
    <w:rsid w:val="00353DB9"/>
    <w:rsid w:val="00361144"/>
    <w:rsid w:val="00364DCF"/>
    <w:rsid w:val="003700E9"/>
    <w:rsid w:val="003822D7"/>
    <w:rsid w:val="00396560"/>
    <w:rsid w:val="00397AC7"/>
    <w:rsid w:val="003A69EF"/>
    <w:rsid w:val="003B644B"/>
    <w:rsid w:val="003B766F"/>
    <w:rsid w:val="003C1FA6"/>
    <w:rsid w:val="003D07D2"/>
    <w:rsid w:val="003F0372"/>
    <w:rsid w:val="003F2DE1"/>
    <w:rsid w:val="003F46BE"/>
    <w:rsid w:val="003F7352"/>
    <w:rsid w:val="003F7F49"/>
    <w:rsid w:val="004000AE"/>
    <w:rsid w:val="0040062C"/>
    <w:rsid w:val="00403A15"/>
    <w:rsid w:val="00415E27"/>
    <w:rsid w:val="00421B76"/>
    <w:rsid w:val="0042474F"/>
    <w:rsid w:val="004315C4"/>
    <w:rsid w:val="00437BDC"/>
    <w:rsid w:val="00440C62"/>
    <w:rsid w:val="00451E85"/>
    <w:rsid w:val="004538A3"/>
    <w:rsid w:val="00462A7C"/>
    <w:rsid w:val="004641B9"/>
    <w:rsid w:val="00465358"/>
    <w:rsid w:val="004663D5"/>
    <w:rsid w:val="004719B8"/>
    <w:rsid w:val="00473250"/>
    <w:rsid w:val="004733FF"/>
    <w:rsid w:val="00487F38"/>
    <w:rsid w:val="004A40A5"/>
    <w:rsid w:val="004C0E27"/>
    <w:rsid w:val="004D66E8"/>
    <w:rsid w:val="004D7CDB"/>
    <w:rsid w:val="004E3623"/>
    <w:rsid w:val="004F0069"/>
    <w:rsid w:val="004F0D7E"/>
    <w:rsid w:val="0050015A"/>
    <w:rsid w:val="0050357A"/>
    <w:rsid w:val="005054AB"/>
    <w:rsid w:val="0052307A"/>
    <w:rsid w:val="00531976"/>
    <w:rsid w:val="00540C4E"/>
    <w:rsid w:val="005453CE"/>
    <w:rsid w:val="005616B3"/>
    <w:rsid w:val="00565C58"/>
    <w:rsid w:val="005670CC"/>
    <w:rsid w:val="00575591"/>
    <w:rsid w:val="00584F82"/>
    <w:rsid w:val="005852B6"/>
    <w:rsid w:val="005865D6"/>
    <w:rsid w:val="00592912"/>
    <w:rsid w:val="00594C0D"/>
    <w:rsid w:val="00597725"/>
    <w:rsid w:val="005C2A30"/>
    <w:rsid w:val="005C6005"/>
    <w:rsid w:val="005D4247"/>
    <w:rsid w:val="005E345A"/>
    <w:rsid w:val="005F2117"/>
    <w:rsid w:val="005F3B18"/>
    <w:rsid w:val="00610D55"/>
    <w:rsid w:val="00620546"/>
    <w:rsid w:val="00624B6C"/>
    <w:rsid w:val="00625848"/>
    <w:rsid w:val="00633B31"/>
    <w:rsid w:val="00642D73"/>
    <w:rsid w:val="00650E7C"/>
    <w:rsid w:val="00651F6C"/>
    <w:rsid w:val="00663552"/>
    <w:rsid w:val="006705DD"/>
    <w:rsid w:val="00677ADE"/>
    <w:rsid w:val="006A2E89"/>
    <w:rsid w:val="006A627D"/>
    <w:rsid w:val="006B0E23"/>
    <w:rsid w:val="006C6F08"/>
    <w:rsid w:val="006D2DAD"/>
    <w:rsid w:val="006E01C3"/>
    <w:rsid w:val="00716D4F"/>
    <w:rsid w:val="007202AB"/>
    <w:rsid w:val="00721BCE"/>
    <w:rsid w:val="00726C66"/>
    <w:rsid w:val="0073521E"/>
    <w:rsid w:val="00744889"/>
    <w:rsid w:val="007526B6"/>
    <w:rsid w:val="00757B0E"/>
    <w:rsid w:val="0076466B"/>
    <w:rsid w:val="0076672E"/>
    <w:rsid w:val="00766BC6"/>
    <w:rsid w:val="007767FD"/>
    <w:rsid w:val="00787CC3"/>
    <w:rsid w:val="007935F7"/>
    <w:rsid w:val="00796D86"/>
    <w:rsid w:val="007A3330"/>
    <w:rsid w:val="007A52BD"/>
    <w:rsid w:val="007B1F4C"/>
    <w:rsid w:val="007B284B"/>
    <w:rsid w:val="007B737C"/>
    <w:rsid w:val="007B75B4"/>
    <w:rsid w:val="007C1FB4"/>
    <w:rsid w:val="007C5402"/>
    <w:rsid w:val="007D2D96"/>
    <w:rsid w:val="007D483B"/>
    <w:rsid w:val="007D502B"/>
    <w:rsid w:val="007F23FD"/>
    <w:rsid w:val="007F6BCF"/>
    <w:rsid w:val="0080494A"/>
    <w:rsid w:val="00812415"/>
    <w:rsid w:val="0083160D"/>
    <w:rsid w:val="00832BE1"/>
    <w:rsid w:val="00835666"/>
    <w:rsid w:val="00855DDC"/>
    <w:rsid w:val="008605D1"/>
    <w:rsid w:val="00866623"/>
    <w:rsid w:val="00873014"/>
    <w:rsid w:val="00874229"/>
    <w:rsid w:val="0087700A"/>
    <w:rsid w:val="008945B2"/>
    <w:rsid w:val="008A3BFF"/>
    <w:rsid w:val="008B131A"/>
    <w:rsid w:val="008B5837"/>
    <w:rsid w:val="008C4E1E"/>
    <w:rsid w:val="008D3AED"/>
    <w:rsid w:val="008E3FE1"/>
    <w:rsid w:val="008F3240"/>
    <w:rsid w:val="00916851"/>
    <w:rsid w:val="0091696B"/>
    <w:rsid w:val="009170EF"/>
    <w:rsid w:val="00920655"/>
    <w:rsid w:val="009375FE"/>
    <w:rsid w:val="00944B6E"/>
    <w:rsid w:val="00950543"/>
    <w:rsid w:val="00953576"/>
    <w:rsid w:val="0095762D"/>
    <w:rsid w:val="0098155A"/>
    <w:rsid w:val="00986544"/>
    <w:rsid w:val="00986838"/>
    <w:rsid w:val="009912EA"/>
    <w:rsid w:val="00995340"/>
    <w:rsid w:val="009A0D8D"/>
    <w:rsid w:val="009A24F9"/>
    <w:rsid w:val="009A375D"/>
    <w:rsid w:val="009C04AF"/>
    <w:rsid w:val="009D0D69"/>
    <w:rsid w:val="009D7A6C"/>
    <w:rsid w:val="009D7AE4"/>
    <w:rsid w:val="009E093A"/>
    <w:rsid w:val="009E097D"/>
    <w:rsid w:val="009E291B"/>
    <w:rsid w:val="009E6247"/>
    <w:rsid w:val="009F1CEE"/>
    <w:rsid w:val="00A00B79"/>
    <w:rsid w:val="00A06540"/>
    <w:rsid w:val="00A06D24"/>
    <w:rsid w:val="00A2744F"/>
    <w:rsid w:val="00A30BC4"/>
    <w:rsid w:val="00A338D0"/>
    <w:rsid w:val="00A36870"/>
    <w:rsid w:val="00A42BD2"/>
    <w:rsid w:val="00A51AED"/>
    <w:rsid w:val="00A56BC5"/>
    <w:rsid w:val="00A608EE"/>
    <w:rsid w:val="00A73459"/>
    <w:rsid w:val="00A76B51"/>
    <w:rsid w:val="00A85717"/>
    <w:rsid w:val="00AA4EE8"/>
    <w:rsid w:val="00AC0B45"/>
    <w:rsid w:val="00AD7C3F"/>
    <w:rsid w:val="00AE53C7"/>
    <w:rsid w:val="00AF184F"/>
    <w:rsid w:val="00AF630A"/>
    <w:rsid w:val="00B11907"/>
    <w:rsid w:val="00B34FF4"/>
    <w:rsid w:val="00B41353"/>
    <w:rsid w:val="00B41EA0"/>
    <w:rsid w:val="00B54C59"/>
    <w:rsid w:val="00B64DBC"/>
    <w:rsid w:val="00B656A1"/>
    <w:rsid w:val="00B66415"/>
    <w:rsid w:val="00B67267"/>
    <w:rsid w:val="00B75683"/>
    <w:rsid w:val="00B76FC7"/>
    <w:rsid w:val="00B921EB"/>
    <w:rsid w:val="00B95434"/>
    <w:rsid w:val="00B958BB"/>
    <w:rsid w:val="00B97282"/>
    <w:rsid w:val="00BA33DF"/>
    <w:rsid w:val="00BB04FE"/>
    <w:rsid w:val="00BC1282"/>
    <w:rsid w:val="00BC4AEA"/>
    <w:rsid w:val="00BC704F"/>
    <w:rsid w:val="00BD740D"/>
    <w:rsid w:val="00BE62B2"/>
    <w:rsid w:val="00BF2933"/>
    <w:rsid w:val="00C0097E"/>
    <w:rsid w:val="00C0489D"/>
    <w:rsid w:val="00C04CC4"/>
    <w:rsid w:val="00C05074"/>
    <w:rsid w:val="00C06BB6"/>
    <w:rsid w:val="00C20727"/>
    <w:rsid w:val="00C23448"/>
    <w:rsid w:val="00C2466C"/>
    <w:rsid w:val="00C33482"/>
    <w:rsid w:val="00C364C6"/>
    <w:rsid w:val="00C445E0"/>
    <w:rsid w:val="00C54F93"/>
    <w:rsid w:val="00C55349"/>
    <w:rsid w:val="00C646DB"/>
    <w:rsid w:val="00C70147"/>
    <w:rsid w:val="00C72BDF"/>
    <w:rsid w:val="00C746E5"/>
    <w:rsid w:val="00C971D6"/>
    <w:rsid w:val="00CA25B9"/>
    <w:rsid w:val="00CA25DD"/>
    <w:rsid w:val="00CB59F2"/>
    <w:rsid w:val="00CC0AC2"/>
    <w:rsid w:val="00CC169F"/>
    <w:rsid w:val="00CD6F6C"/>
    <w:rsid w:val="00CD7998"/>
    <w:rsid w:val="00CD7C8F"/>
    <w:rsid w:val="00CE50B0"/>
    <w:rsid w:val="00CE6859"/>
    <w:rsid w:val="00CE7FD0"/>
    <w:rsid w:val="00CF3279"/>
    <w:rsid w:val="00CF40DD"/>
    <w:rsid w:val="00D10164"/>
    <w:rsid w:val="00D36F4D"/>
    <w:rsid w:val="00D400B4"/>
    <w:rsid w:val="00D46E38"/>
    <w:rsid w:val="00D54D79"/>
    <w:rsid w:val="00D65942"/>
    <w:rsid w:val="00D66F82"/>
    <w:rsid w:val="00D75329"/>
    <w:rsid w:val="00D905F2"/>
    <w:rsid w:val="00DA02ED"/>
    <w:rsid w:val="00DA09E1"/>
    <w:rsid w:val="00DA7015"/>
    <w:rsid w:val="00DB2939"/>
    <w:rsid w:val="00DB4B55"/>
    <w:rsid w:val="00DD1F37"/>
    <w:rsid w:val="00DD3A6C"/>
    <w:rsid w:val="00DD7000"/>
    <w:rsid w:val="00DE2021"/>
    <w:rsid w:val="00E104AB"/>
    <w:rsid w:val="00E1059A"/>
    <w:rsid w:val="00E227DF"/>
    <w:rsid w:val="00E27A93"/>
    <w:rsid w:val="00E3046D"/>
    <w:rsid w:val="00E304DB"/>
    <w:rsid w:val="00E3239A"/>
    <w:rsid w:val="00E34378"/>
    <w:rsid w:val="00E46361"/>
    <w:rsid w:val="00E47CDB"/>
    <w:rsid w:val="00E501A0"/>
    <w:rsid w:val="00E53603"/>
    <w:rsid w:val="00E61D3F"/>
    <w:rsid w:val="00E662B1"/>
    <w:rsid w:val="00E66D25"/>
    <w:rsid w:val="00E70E1E"/>
    <w:rsid w:val="00E7435A"/>
    <w:rsid w:val="00E8150B"/>
    <w:rsid w:val="00E87DFC"/>
    <w:rsid w:val="00E946CD"/>
    <w:rsid w:val="00EA0424"/>
    <w:rsid w:val="00EA1A07"/>
    <w:rsid w:val="00EA3EBA"/>
    <w:rsid w:val="00EA7DC1"/>
    <w:rsid w:val="00EB166E"/>
    <w:rsid w:val="00EB1E3E"/>
    <w:rsid w:val="00EC6777"/>
    <w:rsid w:val="00EC745B"/>
    <w:rsid w:val="00ED6D04"/>
    <w:rsid w:val="00EE5D67"/>
    <w:rsid w:val="00EE6494"/>
    <w:rsid w:val="00EF07C1"/>
    <w:rsid w:val="00F043A8"/>
    <w:rsid w:val="00F04A9A"/>
    <w:rsid w:val="00F11058"/>
    <w:rsid w:val="00F173C8"/>
    <w:rsid w:val="00F179C6"/>
    <w:rsid w:val="00F21142"/>
    <w:rsid w:val="00F425AD"/>
    <w:rsid w:val="00F44081"/>
    <w:rsid w:val="00F46A5B"/>
    <w:rsid w:val="00F4737F"/>
    <w:rsid w:val="00F664B4"/>
    <w:rsid w:val="00FC11CC"/>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077362">
      <w:bodyDiv w:val="1"/>
      <w:marLeft w:val="0"/>
      <w:marRight w:val="0"/>
      <w:marTop w:val="0"/>
      <w:marBottom w:val="0"/>
      <w:divBdr>
        <w:top w:val="none" w:sz="0" w:space="0" w:color="auto"/>
        <w:left w:val="none" w:sz="0" w:space="0" w:color="auto"/>
        <w:bottom w:val="none" w:sz="0" w:space="0" w:color="auto"/>
        <w:right w:val="none" w:sz="0" w:space="0" w:color="auto"/>
      </w:divBdr>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62511701">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484798">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19805595">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088240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63964020">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662850044">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88409814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3072</Words>
  <Characters>17514</Characters>
  <Application>Microsoft Office Word</Application>
  <DocSecurity>4</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2025-10-09T19:57:00Z</cp:lastPrinted>
  <dcterms:created xsi:type="dcterms:W3CDTF">2025-10-14T19:35:00Z</dcterms:created>
  <dcterms:modified xsi:type="dcterms:W3CDTF">2025-10-14T19:35:00Z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