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05438A" w:rsidRDefault="009D6C16" w:rsidP="002573CC">
      <w:pPr>
        <w:suppressLineNumbers/>
        <w:spacing w:after="0" w:line="240" w:lineRule="auto"/>
        <w:jc w:val="center"/>
        <w:rPr>
          <w:rFonts w:ascii="Book Antiqua" w:eastAsia="Times New Roman" w:hAnsi="Book Antiqua" w:cs="Times New Roman"/>
          <w:sz w:val="28"/>
          <w:szCs w:val="28"/>
          <w:lang w:val="es-ES_tradnl"/>
        </w:rPr>
      </w:pPr>
      <w:r w:rsidRPr="0005438A">
        <w:rPr>
          <w:rFonts w:ascii="Book Antiqua" w:eastAsia="Times New Roman" w:hAnsi="Book Antiqua" w:cs="Times New Roman"/>
          <w:sz w:val="28"/>
          <w:szCs w:val="28"/>
          <w:lang w:val="es-ES_tradnl"/>
        </w:rPr>
        <w:t xml:space="preserve">GOBIERNO </w:t>
      </w:r>
      <w:r w:rsidR="002573CC" w:rsidRPr="0005438A">
        <w:rPr>
          <w:rFonts w:ascii="Book Antiqua" w:eastAsia="Times New Roman" w:hAnsi="Book Antiqua" w:cs="Times New Roman"/>
          <w:sz w:val="28"/>
          <w:szCs w:val="28"/>
          <w:lang w:val="es-ES_tradnl"/>
        </w:rPr>
        <w:t>DE PUERTO RICO</w:t>
      </w:r>
    </w:p>
    <w:p w14:paraId="14DCF277" w14:textId="77777777" w:rsidR="002573CC" w:rsidRPr="0005438A"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1DF077C3" w:rsidR="002573CC" w:rsidRPr="0005438A"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05438A">
        <w:rPr>
          <w:rFonts w:ascii="Book Antiqua" w:eastAsia="Times New Roman" w:hAnsi="Book Antiqua" w:cs="Times New Roman"/>
          <w:sz w:val="24"/>
          <w:szCs w:val="20"/>
          <w:lang w:val="es-ES_tradnl"/>
        </w:rPr>
        <w:t>20</w:t>
      </w:r>
      <w:r w:rsidRPr="0005438A">
        <w:rPr>
          <w:rFonts w:ascii="Book Antiqua" w:eastAsia="Times New Roman" w:hAnsi="Book Antiqua" w:cs="Times New Roman"/>
          <w:sz w:val="24"/>
          <w:szCs w:val="20"/>
          <w:vertAlign w:val="superscript"/>
          <w:lang w:val="es-ES_tradnl"/>
        </w:rPr>
        <w:t>m</w:t>
      </w:r>
      <w:r w:rsidR="002573CC" w:rsidRPr="0005438A">
        <w:rPr>
          <w:rFonts w:ascii="Book Antiqua" w:eastAsia="Times New Roman" w:hAnsi="Book Antiqua" w:cs="Times New Roman"/>
          <w:sz w:val="24"/>
          <w:szCs w:val="20"/>
          <w:vertAlign w:val="superscript"/>
          <w:lang w:val="es-ES_tradnl"/>
        </w:rPr>
        <w:t>a.</w:t>
      </w:r>
      <w:r w:rsidR="002573CC" w:rsidRPr="0005438A">
        <w:rPr>
          <w:rFonts w:ascii="Book Antiqua" w:eastAsia="Times New Roman" w:hAnsi="Book Antiqua" w:cs="Times New Roman"/>
          <w:sz w:val="24"/>
          <w:szCs w:val="20"/>
          <w:lang w:val="es-ES_tradnl"/>
        </w:rPr>
        <w:tab/>
        <w:t>Asamblea</w:t>
      </w:r>
      <w:r w:rsidR="002573CC" w:rsidRPr="0005438A">
        <w:rPr>
          <w:rFonts w:ascii="Book Antiqua" w:eastAsia="Times New Roman" w:hAnsi="Book Antiqua" w:cs="Times New Roman"/>
          <w:sz w:val="24"/>
          <w:szCs w:val="20"/>
          <w:lang w:val="es-ES_tradnl"/>
        </w:rPr>
        <w:tab/>
      </w:r>
      <w:r w:rsidR="004421C7">
        <w:rPr>
          <w:rFonts w:ascii="Book Antiqua" w:eastAsia="Times New Roman" w:hAnsi="Book Antiqua" w:cs="Times New Roman"/>
          <w:sz w:val="24"/>
          <w:szCs w:val="20"/>
          <w:lang w:val="es-ES_tradnl"/>
        </w:rPr>
        <w:t xml:space="preserve"> </w:t>
      </w:r>
      <w:r w:rsidR="00E85494" w:rsidRPr="0005438A">
        <w:rPr>
          <w:rFonts w:ascii="Book Antiqua" w:eastAsia="Times New Roman" w:hAnsi="Book Antiqua" w:cs="Times New Roman"/>
          <w:sz w:val="24"/>
          <w:szCs w:val="20"/>
          <w:lang w:val="es-ES_tradnl"/>
        </w:rPr>
        <w:t>2</w:t>
      </w:r>
      <w:r w:rsidR="00E85494" w:rsidRPr="0005438A">
        <w:rPr>
          <w:rFonts w:ascii="Book Antiqua" w:eastAsia="Times New Roman" w:hAnsi="Book Antiqua" w:cs="Times New Roman"/>
          <w:sz w:val="24"/>
          <w:szCs w:val="20"/>
          <w:vertAlign w:val="superscript"/>
          <w:lang w:val="es-ES_tradnl"/>
        </w:rPr>
        <w:t>da</w:t>
      </w:r>
      <w:r w:rsidR="002573CC" w:rsidRPr="0005438A">
        <w:rPr>
          <w:rFonts w:ascii="Book Antiqua" w:eastAsia="Times New Roman" w:hAnsi="Book Antiqua" w:cs="Times New Roman"/>
          <w:sz w:val="24"/>
          <w:szCs w:val="20"/>
          <w:vertAlign w:val="superscript"/>
          <w:lang w:val="es-ES_tradnl"/>
        </w:rPr>
        <w:t>.</w:t>
      </w:r>
      <w:r w:rsidR="002573CC" w:rsidRPr="0005438A">
        <w:rPr>
          <w:rFonts w:ascii="Book Antiqua" w:eastAsia="Times New Roman" w:hAnsi="Book Antiqua" w:cs="Times New Roman"/>
          <w:sz w:val="24"/>
          <w:szCs w:val="20"/>
          <w:lang w:val="es-ES_tradnl"/>
        </w:rPr>
        <w:tab/>
        <w:t>Sesión</w:t>
      </w:r>
    </w:p>
    <w:p w14:paraId="0C767136" w14:textId="6F68BF7C" w:rsidR="002573CC" w:rsidRPr="0005438A"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05438A">
        <w:rPr>
          <w:rFonts w:ascii="Book Antiqua" w:eastAsia="Times New Roman" w:hAnsi="Book Antiqua" w:cs="Times New Roman"/>
          <w:sz w:val="24"/>
          <w:szCs w:val="20"/>
          <w:lang w:val="es-ES_tradnl"/>
        </w:rPr>
        <w:tab/>
        <w:t>Legislativa</w:t>
      </w:r>
      <w:r w:rsidRPr="0005438A">
        <w:rPr>
          <w:rFonts w:ascii="Book Antiqua" w:eastAsia="Times New Roman" w:hAnsi="Book Antiqua" w:cs="Times New Roman"/>
          <w:sz w:val="24"/>
          <w:szCs w:val="20"/>
          <w:lang w:val="es-ES_tradnl"/>
        </w:rPr>
        <w:tab/>
      </w:r>
      <w:r w:rsidR="004421C7">
        <w:rPr>
          <w:rFonts w:ascii="Book Antiqua" w:eastAsia="Times New Roman" w:hAnsi="Book Antiqua" w:cs="Times New Roman"/>
          <w:sz w:val="24"/>
          <w:szCs w:val="20"/>
          <w:lang w:val="es-ES_tradnl"/>
        </w:rPr>
        <w:t xml:space="preserve"> </w:t>
      </w:r>
      <w:r w:rsidRPr="0005438A">
        <w:rPr>
          <w:rFonts w:ascii="Book Antiqua" w:eastAsia="Times New Roman" w:hAnsi="Book Antiqua" w:cs="Times New Roman"/>
          <w:sz w:val="24"/>
          <w:szCs w:val="20"/>
          <w:lang w:val="es-ES_tradnl"/>
        </w:rPr>
        <w:tab/>
        <w:t>Ordinaria</w:t>
      </w:r>
    </w:p>
    <w:p w14:paraId="36E1EB6D" w14:textId="77777777" w:rsidR="002573CC" w:rsidRPr="0005438A"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05438A" w:rsidRDefault="009D6C16" w:rsidP="002573CC">
      <w:pPr>
        <w:spacing w:after="0" w:line="240" w:lineRule="auto"/>
        <w:jc w:val="center"/>
        <w:rPr>
          <w:rFonts w:ascii="Book Antiqua" w:eastAsia="Times New Roman" w:hAnsi="Book Antiqua" w:cs="Times New Roman"/>
          <w:b/>
          <w:sz w:val="36"/>
          <w:szCs w:val="36"/>
          <w:lang w:val="es-ES_tradnl"/>
        </w:rPr>
      </w:pPr>
      <w:r w:rsidRPr="0005438A">
        <w:rPr>
          <w:rFonts w:ascii="Book Antiqua" w:eastAsia="Times New Roman" w:hAnsi="Book Antiqua" w:cs="Times New Roman"/>
          <w:b/>
          <w:sz w:val="36"/>
          <w:szCs w:val="36"/>
          <w:lang w:val="es-ES_tradnl"/>
        </w:rPr>
        <w:t>C</w:t>
      </w:r>
      <w:r w:rsidR="00680204" w:rsidRPr="0005438A">
        <w:rPr>
          <w:rFonts w:ascii="Book Antiqua" w:eastAsia="Times New Roman" w:hAnsi="Book Antiqua" w:cs="Times New Roman"/>
          <w:b/>
          <w:sz w:val="36"/>
          <w:szCs w:val="36"/>
          <w:lang w:val="es-ES_tradnl"/>
        </w:rPr>
        <w:t>Á</w:t>
      </w:r>
      <w:r w:rsidRPr="0005438A">
        <w:rPr>
          <w:rFonts w:ascii="Book Antiqua" w:eastAsia="Times New Roman" w:hAnsi="Book Antiqua" w:cs="Times New Roman"/>
          <w:b/>
          <w:sz w:val="36"/>
          <w:szCs w:val="36"/>
          <w:lang w:val="es-ES_tradnl"/>
        </w:rPr>
        <w:t>MARA DE REPRESENTANTES</w:t>
      </w:r>
    </w:p>
    <w:p w14:paraId="7E8FA781" w14:textId="77777777" w:rsidR="002573CC" w:rsidRPr="0005438A"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5138AB4A" w:rsidR="002573CC" w:rsidRPr="0005438A" w:rsidRDefault="002573CC" w:rsidP="002573CC">
      <w:pPr>
        <w:spacing w:after="0" w:line="240" w:lineRule="auto"/>
        <w:jc w:val="center"/>
        <w:rPr>
          <w:rFonts w:ascii="Book Antiqua" w:eastAsia="Times New Roman" w:hAnsi="Book Antiqua" w:cs="Times New Roman"/>
          <w:b/>
          <w:sz w:val="52"/>
          <w:szCs w:val="52"/>
          <w:lang w:val="es-ES_tradnl"/>
        </w:rPr>
      </w:pPr>
      <w:r w:rsidRPr="0005438A">
        <w:rPr>
          <w:rFonts w:ascii="Book Antiqua" w:eastAsia="Times New Roman" w:hAnsi="Book Antiqua" w:cs="Times New Roman"/>
          <w:b/>
          <w:sz w:val="52"/>
          <w:szCs w:val="52"/>
          <w:lang w:val="es-ES_tradnl"/>
        </w:rPr>
        <w:t>P. de</w:t>
      </w:r>
      <w:r w:rsidR="009D6C16" w:rsidRPr="0005438A">
        <w:rPr>
          <w:rFonts w:ascii="Book Antiqua" w:eastAsia="Times New Roman" w:hAnsi="Book Antiqua" w:cs="Times New Roman"/>
          <w:b/>
          <w:sz w:val="52"/>
          <w:szCs w:val="52"/>
          <w:lang w:val="es-ES_tradnl"/>
        </w:rPr>
        <w:t xml:space="preserve"> </w:t>
      </w:r>
      <w:r w:rsidR="00B03370" w:rsidRPr="0005438A">
        <w:rPr>
          <w:rFonts w:ascii="Book Antiqua" w:eastAsia="Times New Roman" w:hAnsi="Book Antiqua" w:cs="Times New Roman"/>
          <w:b/>
          <w:sz w:val="52"/>
          <w:szCs w:val="52"/>
          <w:lang w:val="es-ES_tradnl"/>
        </w:rPr>
        <w:t>l</w:t>
      </w:r>
      <w:r w:rsidR="009D6C16" w:rsidRPr="0005438A">
        <w:rPr>
          <w:rFonts w:ascii="Book Antiqua" w:eastAsia="Times New Roman" w:hAnsi="Book Antiqua" w:cs="Times New Roman"/>
          <w:b/>
          <w:sz w:val="52"/>
          <w:szCs w:val="52"/>
          <w:lang w:val="es-ES_tradnl"/>
        </w:rPr>
        <w:t>a</w:t>
      </w:r>
      <w:r w:rsidR="00B03370" w:rsidRPr="0005438A">
        <w:rPr>
          <w:rFonts w:ascii="Book Antiqua" w:eastAsia="Times New Roman" w:hAnsi="Book Antiqua" w:cs="Times New Roman"/>
          <w:b/>
          <w:sz w:val="52"/>
          <w:szCs w:val="52"/>
          <w:lang w:val="es-ES_tradnl"/>
        </w:rPr>
        <w:t xml:space="preserve"> </w:t>
      </w:r>
      <w:r w:rsidR="009D6C16" w:rsidRPr="0005438A">
        <w:rPr>
          <w:rFonts w:ascii="Book Antiqua" w:eastAsia="Times New Roman" w:hAnsi="Book Antiqua" w:cs="Times New Roman"/>
          <w:b/>
          <w:sz w:val="52"/>
          <w:szCs w:val="52"/>
          <w:lang w:val="es-ES_tradnl"/>
        </w:rPr>
        <w:t>C</w:t>
      </w:r>
      <w:r w:rsidR="00B03370" w:rsidRPr="0005438A">
        <w:rPr>
          <w:rFonts w:ascii="Book Antiqua" w:eastAsia="Times New Roman" w:hAnsi="Book Antiqua" w:cs="Times New Roman"/>
          <w:b/>
          <w:sz w:val="52"/>
          <w:szCs w:val="52"/>
          <w:lang w:val="es-ES_tradnl"/>
        </w:rPr>
        <w:t xml:space="preserve">. </w:t>
      </w:r>
      <w:r w:rsidR="00CC0588">
        <w:rPr>
          <w:rFonts w:ascii="Book Antiqua" w:eastAsia="Times New Roman" w:hAnsi="Book Antiqua" w:cs="Times New Roman"/>
          <w:b/>
          <w:sz w:val="52"/>
          <w:szCs w:val="52"/>
          <w:lang w:val="es-ES_tradnl"/>
        </w:rPr>
        <w:t>73</w:t>
      </w:r>
    </w:p>
    <w:p w14:paraId="49C06FA4" w14:textId="77777777" w:rsidR="002573CC" w:rsidRPr="0005438A"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15C71D6F" w:rsidR="002573CC" w:rsidRPr="0005438A" w:rsidRDefault="002573CC" w:rsidP="002573CC">
      <w:pPr>
        <w:spacing w:after="0" w:line="240" w:lineRule="auto"/>
        <w:jc w:val="center"/>
        <w:rPr>
          <w:rFonts w:ascii="Book Antiqua" w:eastAsia="Times New Roman" w:hAnsi="Book Antiqua" w:cs="Times New Roman"/>
          <w:b/>
          <w:sz w:val="28"/>
          <w:szCs w:val="28"/>
          <w:lang w:val="es-ES_tradnl"/>
        </w:rPr>
      </w:pPr>
      <w:r w:rsidRPr="0005438A">
        <w:rPr>
          <w:rFonts w:ascii="Book Antiqua" w:eastAsia="Times New Roman" w:hAnsi="Book Antiqua" w:cs="Times New Roman"/>
          <w:b/>
          <w:sz w:val="28"/>
          <w:szCs w:val="28"/>
          <w:lang w:val="es-ES_tradnl"/>
        </w:rPr>
        <w:t xml:space="preserve">INFORME </w:t>
      </w:r>
      <w:r w:rsidR="008E68B2" w:rsidRPr="0005438A">
        <w:rPr>
          <w:rFonts w:ascii="Book Antiqua" w:eastAsia="Times New Roman" w:hAnsi="Book Antiqua" w:cs="Times New Roman"/>
          <w:b/>
          <w:sz w:val="28"/>
          <w:szCs w:val="28"/>
          <w:lang w:val="es-ES_tradnl"/>
        </w:rPr>
        <w:t>NEGATIVO</w:t>
      </w:r>
    </w:p>
    <w:p w14:paraId="53631E38" w14:textId="77777777" w:rsidR="002573CC" w:rsidRPr="0005438A"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0F9C3229" w:rsidR="002573CC" w:rsidRPr="0005438A" w:rsidRDefault="00874C15"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16</w:t>
      </w:r>
      <w:r w:rsidR="00A35ADF" w:rsidRPr="0005438A">
        <w:rPr>
          <w:rFonts w:ascii="Book Antiqua" w:eastAsia="Times New Roman" w:hAnsi="Book Antiqua" w:cs="Times New Roman"/>
          <w:sz w:val="24"/>
          <w:szCs w:val="24"/>
          <w:lang w:val="es-ES_tradnl"/>
        </w:rPr>
        <w:t xml:space="preserve"> </w:t>
      </w:r>
      <w:r w:rsidR="002573CC" w:rsidRPr="0005438A">
        <w:rPr>
          <w:rFonts w:ascii="Book Antiqua" w:eastAsia="Times New Roman" w:hAnsi="Book Antiqua" w:cs="Times New Roman"/>
          <w:sz w:val="24"/>
          <w:szCs w:val="24"/>
          <w:lang w:val="es-ES_tradnl"/>
        </w:rPr>
        <w:t xml:space="preserve">de </w:t>
      </w:r>
      <w:r w:rsidR="004421C7">
        <w:rPr>
          <w:rFonts w:ascii="Book Antiqua" w:eastAsia="Times New Roman" w:hAnsi="Book Antiqua" w:cs="Times New Roman"/>
          <w:sz w:val="24"/>
          <w:szCs w:val="24"/>
          <w:lang w:val="es-ES_tradnl"/>
        </w:rPr>
        <w:t>octubre</w:t>
      </w:r>
      <w:r w:rsidR="009C1DD7" w:rsidRPr="0005438A">
        <w:rPr>
          <w:rFonts w:ascii="Book Antiqua" w:eastAsia="Times New Roman" w:hAnsi="Book Antiqua" w:cs="Times New Roman"/>
          <w:sz w:val="24"/>
          <w:szCs w:val="24"/>
          <w:lang w:val="es-ES_tradnl"/>
        </w:rPr>
        <w:t xml:space="preserve"> de 2025</w:t>
      </w:r>
    </w:p>
    <w:p w14:paraId="68521AC0" w14:textId="77777777" w:rsidR="002573CC" w:rsidRDefault="002573CC" w:rsidP="002573CC">
      <w:pPr>
        <w:spacing w:after="0" w:line="240" w:lineRule="auto"/>
        <w:jc w:val="both"/>
        <w:rPr>
          <w:rFonts w:ascii="Book Antiqua" w:eastAsia="Times New Roman" w:hAnsi="Book Antiqua" w:cs="Times New Roman"/>
          <w:b/>
          <w:sz w:val="24"/>
          <w:szCs w:val="20"/>
          <w:lang w:val="es-ES_tradnl"/>
        </w:rPr>
      </w:pPr>
    </w:p>
    <w:p w14:paraId="76C4D9DB" w14:textId="77777777" w:rsidR="00C50279" w:rsidRPr="0005438A" w:rsidRDefault="00C50279"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05438A" w:rsidRDefault="002573CC" w:rsidP="0005438A">
      <w:pPr>
        <w:spacing w:after="0" w:line="240" w:lineRule="auto"/>
        <w:contextualSpacing/>
        <w:jc w:val="both"/>
        <w:rPr>
          <w:rFonts w:ascii="Book Antiqua" w:eastAsia="Times New Roman" w:hAnsi="Book Antiqua" w:cs="Times New Roman"/>
          <w:b/>
          <w:sz w:val="24"/>
          <w:szCs w:val="24"/>
          <w:lang w:val="es-ES_tradnl"/>
        </w:rPr>
      </w:pPr>
      <w:r w:rsidRPr="0005438A">
        <w:rPr>
          <w:rFonts w:ascii="Book Antiqua" w:eastAsia="Times New Roman" w:hAnsi="Book Antiqua" w:cs="Times New Roman"/>
          <w:b/>
          <w:sz w:val="24"/>
          <w:szCs w:val="24"/>
          <w:lang w:val="es-ES_tradnl"/>
        </w:rPr>
        <w:t>A</w:t>
      </w:r>
      <w:r w:rsidR="009C1DD7" w:rsidRPr="0005438A">
        <w:rPr>
          <w:rFonts w:ascii="Book Antiqua" w:eastAsia="Times New Roman" w:hAnsi="Book Antiqua" w:cs="Times New Roman"/>
          <w:b/>
          <w:sz w:val="24"/>
          <w:szCs w:val="24"/>
          <w:lang w:val="es-ES_tradnl"/>
        </w:rPr>
        <w:t xml:space="preserve"> </w:t>
      </w:r>
      <w:r w:rsidRPr="0005438A">
        <w:rPr>
          <w:rFonts w:ascii="Book Antiqua" w:eastAsia="Times New Roman" w:hAnsi="Book Antiqua" w:cs="Times New Roman"/>
          <w:b/>
          <w:sz w:val="24"/>
          <w:szCs w:val="24"/>
          <w:lang w:val="es-ES_tradnl"/>
        </w:rPr>
        <w:t>L</w:t>
      </w:r>
      <w:r w:rsidR="009C1DD7" w:rsidRPr="0005438A">
        <w:rPr>
          <w:rFonts w:ascii="Book Antiqua" w:eastAsia="Times New Roman" w:hAnsi="Book Antiqua" w:cs="Times New Roman"/>
          <w:b/>
          <w:sz w:val="24"/>
          <w:szCs w:val="24"/>
          <w:lang w:val="es-ES_tradnl"/>
        </w:rPr>
        <w:t>A C</w:t>
      </w:r>
      <w:r w:rsidR="00680204" w:rsidRPr="0005438A">
        <w:rPr>
          <w:rFonts w:ascii="Book Antiqua" w:eastAsia="Times New Roman" w:hAnsi="Book Antiqua" w:cs="Times New Roman"/>
          <w:b/>
          <w:sz w:val="24"/>
          <w:szCs w:val="24"/>
          <w:lang w:val="es-ES_tradnl"/>
        </w:rPr>
        <w:t>Á</w:t>
      </w:r>
      <w:r w:rsidR="009C1DD7" w:rsidRPr="0005438A">
        <w:rPr>
          <w:rFonts w:ascii="Book Antiqua" w:eastAsia="Times New Roman" w:hAnsi="Book Antiqua" w:cs="Times New Roman"/>
          <w:b/>
          <w:sz w:val="24"/>
          <w:szCs w:val="24"/>
          <w:lang w:val="es-ES_tradnl"/>
        </w:rPr>
        <w:t>MARA DE REPRESENTANTES</w:t>
      </w:r>
      <w:r w:rsidRPr="0005438A">
        <w:rPr>
          <w:rFonts w:ascii="Book Antiqua" w:eastAsia="Times New Roman" w:hAnsi="Book Antiqua" w:cs="Times New Roman"/>
          <w:b/>
          <w:sz w:val="24"/>
          <w:szCs w:val="24"/>
          <w:lang w:val="es-ES_tradnl"/>
        </w:rPr>
        <w:t>:</w:t>
      </w:r>
    </w:p>
    <w:p w14:paraId="1863FBE5" w14:textId="77777777" w:rsidR="002573CC" w:rsidRPr="0005438A" w:rsidRDefault="002573CC" w:rsidP="0005438A">
      <w:pPr>
        <w:spacing w:after="0" w:line="240" w:lineRule="auto"/>
        <w:contextualSpacing/>
        <w:jc w:val="both"/>
        <w:rPr>
          <w:rFonts w:ascii="Book Antiqua" w:eastAsia="Times New Roman" w:hAnsi="Book Antiqua" w:cs="Times New Roman"/>
          <w:b/>
          <w:sz w:val="24"/>
          <w:szCs w:val="24"/>
          <w:lang w:val="es-ES_tradnl"/>
        </w:rPr>
      </w:pPr>
    </w:p>
    <w:p w14:paraId="6D190832" w14:textId="59EE6612" w:rsidR="00A442AC" w:rsidRPr="0005438A" w:rsidRDefault="002573CC" w:rsidP="0005438A">
      <w:pPr>
        <w:spacing w:after="0" w:line="240" w:lineRule="auto"/>
        <w:ind w:firstLine="708"/>
        <w:contextualSpacing/>
        <w:jc w:val="both"/>
        <w:rPr>
          <w:rFonts w:ascii="Book Antiqua" w:eastAsia="Times New Roman" w:hAnsi="Book Antiqua" w:cs="Times New Roman"/>
          <w:sz w:val="24"/>
          <w:szCs w:val="24"/>
          <w:lang w:val="es-ES_tradnl"/>
        </w:rPr>
      </w:pPr>
      <w:r w:rsidRPr="0005438A">
        <w:rPr>
          <w:rFonts w:ascii="Book Antiqua" w:eastAsia="Times New Roman" w:hAnsi="Book Antiqua" w:cs="Times New Roman"/>
          <w:sz w:val="24"/>
          <w:szCs w:val="24"/>
          <w:lang w:val="es-ES_tradnl"/>
        </w:rPr>
        <w:t>La Comisión de</w:t>
      </w:r>
      <w:r w:rsidR="008972CA" w:rsidRPr="0005438A">
        <w:rPr>
          <w:rFonts w:ascii="Book Antiqua" w:eastAsia="Times New Roman" w:hAnsi="Book Antiqua" w:cs="Times New Roman"/>
          <w:sz w:val="24"/>
          <w:szCs w:val="24"/>
          <w:lang w:val="es-ES_tradnl"/>
        </w:rPr>
        <w:t xml:space="preserve"> </w:t>
      </w:r>
      <w:r w:rsidR="00E85494" w:rsidRPr="0005438A">
        <w:rPr>
          <w:rFonts w:ascii="Book Antiqua" w:eastAsia="Times New Roman" w:hAnsi="Book Antiqua" w:cs="Times New Roman"/>
          <w:sz w:val="24"/>
          <w:szCs w:val="24"/>
          <w:lang w:val="es-ES_tradnl"/>
        </w:rPr>
        <w:t>Gobierno</w:t>
      </w:r>
      <w:r w:rsidR="004620B0" w:rsidRPr="0005438A">
        <w:rPr>
          <w:rFonts w:ascii="Book Antiqua" w:eastAsia="Times New Roman" w:hAnsi="Book Antiqua" w:cs="Times New Roman"/>
          <w:sz w:val="24"/>
          <w:szCs w:val="24"/>
          <w:lang w:val="es-ES_tradnl"/>
        </w:rPr>
        <w:t xml:space="preserve"> de la Cámara de Representantes </w:t>
      </w:r>
      <w:r w:rsidR="00850D8F" w:rsidRPr="0005438A">
        <w:rPr>
          <w:rFonts w:ascii="Book Antiqua" w:eastAsia="Times New Roman" w:hAnsi="Book Antiqua" w:cs="Times New Roman"/>
          <w:sz w:val="24"/>
          <w:szCs w:val="24"/>
          <w:lang w:val="es-ES_tradnl"/>
        </w:rPr>
        <w:t>de Puerto Rico</w:t>
      </w:r>
      <w:r w:rsidRPr="0005438A">
        <w:rPr>
          <w:rFonts w:ascii="Book Antiqua" w:eastAsia="Times New Roman" w:hAnsi="Book Antiqua" w:cs="Times New Roman"/>
          <w:sz w:val="24"/>
          <w:szCs w:val="24"/>
          <w:lang w:val="es-ES_tradnl"/>
        </w:rPr>
        <w:t xml:space="preserve">, </w:t>
      </w:r>
      <w:r w:rsidR="00074744">
        <w:rPr>
          <w:rFonts w:ascii="Book Antiqua" w:eastAsia="Times New Roman" w:hAnsi="Book Antiqua" w:cs="Times New Roman"/>
          <w:sz w:val="24"/>
          <w:szCs w:val="24"/>
          <w:lang w:val="es-ES_tradnl"/>
        </w:rPr>
        <w:t>luego de analizar</w:t>
      </w:r>
      <w:r w:rsidR="00FD0109">
        <w:rPr>
          <w:rFonts w:ascii="Book Antiqua" w:eastAsia="Times New Roman" w:hAnsi="Book Antiqua" w:cs="Times New Roman"/>
          <w:sz w:val="24"/>
          <w:szCs w:val="24"/>
          <w:lang w:val="es-ES_tradnl"/>
        </w:rPr>
        <w:t xml:space="preserve"> y revisar </w:t>
      </w:r>
      <w:r w:rsidRPr="0005438A">
        <w:rPr>
          <w:rFonts w:ascii="Book Antiqua" w:eastAsia="Times New Roman" w:hAnsi="Book Antiqua" w:cs="Times New Roman"/>
          <w:sz w:val="24"/>
          <w:szCs w:val="24"/>
          <w:lang w:val="es-ES_tradnl"/>
        </w:rPr>
        <w:t>el</w:t>
      </w:r>
      <w:r w:rsidR="00470B60" w:rsidRPr="0005438A">
        <w:rPr>
          <w:rFonts w:ascii="Book Antiqua" w:eastAsia="Times New Roman" w:hAnsi="Book Antiqua" w:cs="Times New Roman"/>
          <w:sz w:val="24"/>
          <w:szCs w:val="24"/>
          <w:lang w:val="es-ES_tradnl"/>
        </w:rPr>
        <w:t xml:space="preserve"> Proyecto de</w:t>
      </w:r>
      <w:r w:rsidR="00680204" w:rsidRPr="0005438A">
        <w:rPr>
          <w:rFonts w:ascii="Book Antiqua" w:eastAsia="Times New Roman" w:hAnsi="Book Antiqua" w:cs="Times New Roman"/>
          <w:sz w:val="24"/>
          <w:szCs w:val="24"/>
          <w:lang w:val="es-ES_tradnl"/>
        </w:rPr>
        <w:t xml:space="preserve"> </w:t>
      </w:r>
      <w:r w:rsidR="00470B60" w:rsidRPr="0005438A">
        <w:rPr>
          <w:rFonts w:ascii="Book Antiqua" w:eastAsia="Times New Roman" w:hAnsi="Book Antiqua" w:cs="Times New Roman"/>
          <w:sz w:val="24"/>
          <w:szCs w:val="24"/>
          <w:lang w:val="es-ES_tradnl"/>
        </w:rPr>
        <w:t>l</w:t>
      </w:r>
      <w:r w:rsidR="00680204" w:rsidRPr="0005438A">
        <w:rPr>
          <w:rFonts w:ascii="Book Antiqua" w:eastAsia="Times New Roman" w:hAnsi="Book Antiqua" w:cs="Times New Roman"/>
          <w:sz w:val="24"/>
          <w:szCs w:val="24"/>
          <w:lang w:val="es-ES_tradnl"/>
        </w:rPr>
        <w:t>a</w:t>
      </w:r>
      <w:r w:rsidR="00470B60" w:rsidRPr="0005438A">
        <w:rPr>
          <w:rFonts w:ascii="Book Antiqua" w:eastAsia="Times New Roman" w:hAnsi="Book Antiqua" w:cs="Times New Roman"/>
          <w:sz w:val="24"/>
          <w:szCs w:val="24"/>
          <w:lang w:val="es-ES_tradnl"/>
        </w:rPr>
        <w:t xml:space="preserve"> </w:t>
      </w:r>
      <w:r w:rsidR="00680204" w:rsidRPr="0005438A">
        <w:rPr>
          <w:rFonts w:ascii="Book Antiqua" w:eastAsia="Times New Roman" w:hAnsi="Book Antiqua" w:cs="Times New Roman"/>
          <w:sz w:val="24"/>
          <w:szCs w:val="24"/>
          <w:lang w:val="es-ES_tradnl"/>
        </w:rPr>
        <w:t>Cámara</w:t>
      </w:r>
      <w:r w:rsidR="00470B60" w:rsidRPr="0005438A">
        <w:rPr>
          <w:rFonts w:ascii="Book Antiqua" w:eastAsia="Times New Roman" w:hAnsi="Book Antiqua" w:cs="Times New Roman"/>
          <w:sz w:val="24"/>
          <w:szCs w:val="24"/>
          <w:lang w:val="es-ES_tradnl"/>
        </w:rPr>
        <w:t xml:space="preserve"> </w:t>
      </w:r>
      <w:r w:rsidR="008E68B2" w:rsidRPr="0005438A">
        <w:rPr>
          <w:rFonts w:ascii="Book Antiqua" w:eastAsia="Times New Roman" w:hAnsi="Book Antiqua" w:cs="Times New Roman"/>
          <w:sz w:val="24"/>
          <w:szCs w:val="24"/>
          <w:lang w:val="es-ES_tradnl"/>
        </w:rPr>
        <w:t>73</w:t>
      </w:r>
      <w:r w:rsidRPr="0005438A">
        <w:rPr>
          <w:rFonts w:ascii="Book Antiqua" w:eastAsia="Times New Roman" w:hAnsi="Book Antiqua" w:cs="Times New Roman"/>
          <w:sz w:val="24"/>
          <w:szCs w:val="24"/>
          <w:lang w:val="es-ES_tradnl"/>
        </w:rPr>
        <w:t>,</w:t>
      </w:r>
      <w:r w:rsidR="00C10EC0" w:rsidRPr="0005438A">
        <w:rPr>
          <w:rFonts w:ascii="Book Antiqua" w:eastAsia="Times New Roman" w:hAnsi="Book Antiqua" w:cs="Times New Roman"/>
          <w:sz w:val="24"/>
          <w:szCs w:val="24"/>
          <w:lang w:val="es-ES_tradnl"/>
        </w:rPr>
        <w:t xml:space="preserve"> </w:t>
      </w:r>
      <w:r w:rsidR="008E68B2" w:rsidRPr="0005438A">
        <w:rPr>
          <w:rFonts w:ascii="Book Antiqua" w:eastAsia="Times New Roman" w:hAnsi="Book Antiqua" w:cs="Times New Roman"/>
          <w:sz w:val="24"/>
          <w:szCs w:val="24"/>
          <w:lang w:val="es-ES_tradnl"/>
        </w:rPr>
        <w:t xml:space="preserve">no </w:t>
      </w:r>
      <w:r w:rsidR="00282759" w:rsidRPr="0005438A">
        <w:rPr>
          <w:rFonts w:ascii="Book Antiqua" w:eastAsia="Times New Roman" w:hAnsi="Book Antiqua" w:cs="Times New Roman"/>
          <w:sz w:val="24"/>
          <w:szCs w:val="24"/>
          <w:lang w:val="es-ES_tradnl"/>
        </w:rPr>
        <w:t>recomienda</w:t>
      </w:r>
      <w:r w:rsidRPr="0005438A">
        <w:rPr>
          <w:rFonts w:ascii="Book Antiqua" w:eastAsia="Times New Roman" w:hAnsi="Book Antiqua" w:cs="Times New Roman"/>
          <w:sz w:val="24"/>
          <w:szCs w:val="24"/>
          <w:lang w:val="es-ES_tradnl"/>
        </w:rPr>
        <w:t xml:space="preserve"> a este Alto Cuerpo </w:t>
      </w:r>
      <w:r w:rsidR="008E68B2" w:rsidRPr="0005438A">
        <w:rPr>
          <w:rFonts w:ascii="Book Antiqua" w:eastAsia="Times New Roman" w:hAnsi="Book Antiqua" w:cs="Times New Roman"/>
          <w:sz w:val="24"/>
          <w:szCs w:val="24"/>
          <w:lang w:val="es-ES_tradnl"/>
        </w:rPr>
        <w:t>su</w:t>
      </w:r>
      <w:r w:rsidRPr="0005438A">
        <w:rPr>
          <w:rFonts w:ascii="Book Antiqua" w:eastAsia="Times New Roman" w:hAnsi="Book Antiqua" w:cs="Times New Roman"/>
          <w:sz w:val="24"/>
          <w:szCs w:val="24"/>
          <w:lang w:val="es-ES_tradnl"/>
        </w:rPr>
        <w:t xml:space="preserve"> </w:t>
      </w:r>
      <w:r w:rsidRPr="0005438A">
        <w:rPr>
          <w:rFonts w:ascii="Book Antiqua" w:eastAsia="Times New Roman" w:hAnsi="Book Antiqua" w:cs="Times New Roman"/>
          <w:b/>
          <w:bCs/>
          <w:sz w:val="24"/>
          <w:szCs w:val="24"/>
          <w:lang w:val="es-ES_tradnl"/>
        </w:rPr>
        <w:t>a</w:t>
      </w:r>
      <w:r w:rsidRPr="0005438A">
        <w:rPr>
          <w:rFonts w:ascii="Book Antiqua" w:eastAsia="Times New Roman" w:hAnsi="Book Antiqua" w:cs="Times New Roman"/>
          <w:b/>
          <w:sz w:val="24"/>
          <w:szCs w:val="24"/>
          <w:lang w:val="es-ES_tradnl"/>
        </w:rPr>
        <w:t>probación</w:t>
      </w:r>
      <w:r w:rsidR="008E68B2" w:rsidRPr="0005438A">
        <w:rPr>
          <w:rFonts w:ascii="Book Antiqua" w:eastAsia="Times New Roman" w:hAnsi="Book Antiqua" w:cs="Times New Roman"/>
          <w:b/>
          <w:sz w:val="24"/>
          <w:szCs w:val="24"/>
          <w:lang w:val="es-ES_tradnl"/>
        </w:rPr>
        <w:t>.</w:t>
      </w:r>
      <w:r w:rsidRPr="0005438A">
        <w:rPr>
          <w:rFonts w:ascii="Book Antiqua" w:eastAsia="Times New Roman" w:hAnsi="Book Antiqua" w:cs="Times New Roman"/>
          <w:sz w:val="24"/>
          <w:szCs w:val="24"/>
          <w:lang w:val="es-ES_tradnl"/>
        </w:rPr>
        <w:t xml:space="preserve"> </w:t>
      </w:r>
    </w:p>
    <w:p w14:paraId="30856599" w14:textId="77777777" w:rsidR="002D6515" w:rsidRDefault="002D6515" w:rsidP="0005438A">
      <w:pPr>
        <w:spacing w:after="0" w:line="240" w:lineRule="auto"/>
        <w:ind w:firstLine="708"/>
        <w:contextualSpacing/>
        <w:jc w:val="both"/>
        <w:rPr>
          <w:rFonts w:ascii="Book Antiqua" w:eastAsia="Times New Roman" w:hAnsi="Book Antiqua" w:cs="Times New Roman"/>
          <w:sz w:val="24"/>
          <w:szCs w:val="24"/>
          <w:lang w:val="es-ES_tradnl"/>
        </w:rPr>
      </w:pPr>
    </w:p>
    <w:p w14:paraId="693AEC9E" w14:textId="77777777" w:rsidR="00C50279" w:rsidRDefault="00C50279" w:rsidP="0005438A">
      <w:pPr>
        <w:spacing w:after="0" w:line="240" w:lineRule="auto"/>
        <w:ind w:firstLine="708"/>
        <w:contextualSpacing/>
        <w:jc w:val="both"/>
        <w:rPr>
          <w:rFonts w:ascii="Book Antiqua" w:eastAsia="Times New Roman" w:hAnsi="Book Antiqua" w:cs="Times New Roman"/>
          <w:sz w:val="24"/>
          <w:szCs w:val="24"/>
          <w:lang w:val="es-ES_tradnl"/>
        </w:rPr>
      </w:pPr>
    </w:p>
    <w:p w14:paraId="089769F7" w14:textId="77777777" w:rsidR="002573CC" w:rsidRPr="0005438A" w:rsidRDefault="002573CC" w:rsidP="0005438A">
      <w:pPr>
        <w:spacing w:after="0" w:line="240" w:lineRule="auto"/>
        <w:contextualSpacing/>
        <w:jc w:val="center"/>
        <w:rPr>
          <w:rFonts w:ascii="Book Antiqua" w:eastAsia="Times New Roman" w:hAnsi="Book Antiqua" w:cs="Times New Roman"/>
          <w:b/>
          <w:sz w:val="24"/>
          <w:szCs w:val="24"/>
          <w:lang w:val="es-ES_tradnl"/>
        </w:rPr>
      </w:pPr>
      <w:r w:rsidRPr="0005438A">
        <w:rPr>
          <w:rFonts w:ascii="Book Antiqua" w:eastAsia="Times New Roman" w:hAnsi="Book Antiqua" w:cs="Times New Roman"/>
          <w:b/>
          <w:sz w:val="24"/>
          <w:szCs w:val="24"/>
          <w:lang w:val="es-ES_tradnl"/>
        </w:rPr>
        <w:t>ALCANCE DE LA MEDIDA</w:t>
      </w:r>
    </w:p>
    <w:p w14:paraId="33C8D1DE" w14:textId="77777777" w:rsidR="006471A0" w:rsidRPr="0005438A" w:rsidRDefault="006471A0" w:rsidP="0005438A">
      <w:pPr>
        <w:suppressLineNumbers/>
        <w:spacing w:after="0" w:line="240" w:lineRule="auto"/>
        <w:ind w:firstLine="708"/>
        <w:contextualSpacing/>
        <w:jc w:val="both"/>
        <w:rPr>
          <w:rFonts w:ascii="Book Antiqua" w:eastAsia="Times New Roman" w:hAnsi="Book Antiqua" w:cs="Times New Roman"/>
          <w:sz w:val="24"/>
          <w:szCs w:val="24"/>
        </w:rPr>
      </w:pPr>
    </w:p>
    <w:p w14:paraId="087E9FAF" w14:textId="0C44D6CF" w:rsidR="00B50F85" w:rsidRPr="0005438A" w:rsidRDefault="002573CC" w:rsidP="0005438A">
      <w:pPr>
        <w:suppressLineNumbers/>
        <w:spacing w:after="0" w:line="240" w:lineRule="auto"/>
        <w:ind w:firstLine="708"/>
        <w:contextualSpacing/>
        <w:jc w:val="both"/>
        <w:rPr>
          <w:rFonts w:ascii="Book Antiqua" w:eastAsia="Times New Roman" w:hAnsi="Book Antiqua" w:cs="Times New Roman"/>
          <w:bCs/>
          <w:sz w:val="24"/>
          <w:szCs w:val="24"/>
        </w:rPr>
      </w:pPr>
      <w:r w:rsidRPr="00E16C30">
        <w:rPr>
          <w:rFonts w:ascii="Book Antiqua" w:eastAsia="Times New Roman" w:hAnsi="Book Antiqua" w:cs="Times New Roman"/>
          <w:sz w:val="24"/>
          <w:szCs w:val="24"/>
        </w:rPr>
        <w:t>El P. de</w:t>
      </w:r>
      <w:r w:rsidR="00FE6DD7" w:rsidRPr="00E16C30">
        <w:rPr>
          <w:rFonts w:ascii="Book Antiqua" w:eastAsia="Times New Roman" w:hAnsi="Book Antiqua" w:cs="Times New Roman"/>
          <w:sz w:val="24"/>
          <w:szCs w:val="24"/>
        </w:rPr>
        <w:t xml:space="preserve"> </w:t>
      </w:r>
      <w:r w:rsidR="00B03370" w:rsidRPr="00E16C30">
        <w:rPr>
          <w:rFonts w:ascii="Book Antiqua" w:eastAsia="Times New Roman" w:hAnsi="Book Antiqua" w:cs="Times New Roman"/>
          <w:sz w:val="24"/>
          <w:szCs w:val="24"/>
        </w:rPr>
        <w:t>l</w:t>
      </w:r>
      <w:r w:rsidR="00FE6DD7" w:rsidRPr="00E16C30">
        <w:rPr>
          <w:rFonts w:ascii="Book Antiqua" w:eastAsia="Times New Roman" w:hAnsi="Book Antiqua" w:cs="Times New Roman"/>
          <w:sz w:val="24"/>
          <w:szCs w:val="24"/>
        </w:rPr>
        <w:t>a</w:t>
      </w:r>
      <w:r w:rsidR="00B03370" w:rsidRPr="00E16C30">
        <w:rPr>
          <w:rFonts w:ascii="Book Antiqua" w:eastAsia="Times New Roman" w:hAnsi="Book Antiqua" w:cs="Times New Roman"/>
          <w:sz w:val="24"/>
          <w:szCs w:val="24"/>
        </w:rPr>
        <w:t xml:space="preserve"> </w:t>
      </w:r>
      <w:r w:rsidR="00FE6DD7" w:rsidRPr="00E16C30">
        <w:rPr>
          <w:rFonts w:ascii="Book Antiqua" w:eastAsia="Times New Roman" w:hAnsi="Book Antiqua" w:cs="Times New Roman"/>
          <w:sz w:val="24"/>
          <w:szCs w:val="24"/>
        </w:rPr>
        <w:t>C</w:t>
      </w:r>
      <w:r w:rsidR="00B03370" w:rsidRPr="00E16C30">
        <w:rPr>
          <w:rFonts w:ascii="Book Antiqua" w:eastAsia="Times New Roman" w:hAnsi="Book Antiqua" w:cs="Times New Roman"/>
          <w:sz w:val="24"/>
          <w:szCs w:val="24"/>
        </w:rPr>
        <w:t xml:space="preserve">. </w:t>
      </w:r>
      <w:r w:rsidR="00E16C30" w:rsidRPr="00E16C30">
        <w:rPr>
          <w:rFonts w:ascii="Book Antiqua" w:eastAsia="Times New Roman" w:hAnsi="Book Antiqua" w:cs="Times New Roman"/>
          <w:sz w:val="24"/>
          <w:szCs w:val="24"/>
        </w:rPr>
        <w:t>73</w:t>
      </w:r>
      <w:r w:rsidRPr="00E16C30">
        <w:rPr>
          <w:rFonts w:ascii="Book Antiqua" w:eastAsia="Times New Roman" w:hAnsi="Book Antiqua" w:cs="Times New Roman"/>
          <w:sz w:val="24"/>
          <w:szCs w:val="24"/>
        </w:rPr>
        <w:t xml:space="preserve">, </w:t>
      </w:r>
      <w:r w:rsidR="003D46CA" w:rsidRPr="00E16C30">
        <w:rPr>
          <w:rFonts w:ascii="Book Antiqua" w:eastAsia="Times New Roman" w:hAnsi="Book Antiqua" w:cs="Times New Roman"/>
          <w:sz w:val="24"/>
          <w:szCs w:val="24"/>
        </w:rPr>
        <w:t xml:space="preserve">busca </w:t>
      </w:r>
      <w:r w:rsidR="008E68B2" w:rsidRPr="00E16C30">
        <w:rPr>
          <w:rFonts w:ascii="Book Antiqua" w:eastAsia="Times New Roman" w:hAnsi="Book Antiqua" w:cs="Times New Roman"/>
          <w:sz w:val="24"/>
          <w:szCs w:val="24"/>
        </w:rPr>
        <w:t>enmendar</w:t>
      </w:r>
      <w:r w:rsidR="008E68B2" w:rsidRPr="0005438A">
        <w:rPr>
          <w:rFonts w:ascii="Book Antiqua" w:eastAsia="Times New Roman" w:hAnsi="Book Antiqua" w:cs="Times New Roman"/>
          <w:sz w:val="24"/>
          <w:szCs w:val="24"/>
        </w:rPr>
        <w:t xml:space="preserve"> los Artículos 3, 4, 5, 6, 8, 11, 13 y 21, añadir un nuevo Artículo 22 y reenumerar el Artículo 22 como Artículo 23 de la Ley 209-2003, según enmendada, conocida como la “Ley del Instituto de Estadísticas de Puerto Rico”, a los fines de realizar enmiendas técnicas; disponer que el Instituto de Estadísticas de Puerto Rico pueda solicitar, aceptar y recibir donativos; establecer que las sumas recaudadas por este concepto podrán ser utilizadas para sufragar los gastos de operación y funcionamiento del Instituto y las actividades estadísticas que el Instituto determine; disponer la facultad de la Junta de Directores del Instituto para aprobar la adquisición de equipo, materiales y servicios cuyo valor exceda la cantidad de cien mil ($100,000) dólares; disponer que la Junta de Directores tendrá como parte de sus deberes y poderes la autoridad para adoptar los estándares éticos aplicables a toda persona que labore en la unidades de estadísticas de los organismos gubernamentales o que asesore, intervenga o colabore con el Servicio de Producción Estadística del Estado Libre Asociado de Puerto Rico; constituir una unidad de trabajo y destinar los recursos necesarios para, a solicitud de cualquier persona, entidad privada u organismo gubernamental, o la Rama Judicial, ofrecer servicios compensados; clarificar las obligaciones de los organismos gubernamentales en torno al envío de información estadística al Instituto; disponer que el Gobernador incluirá en el presupuesto modelo los cálculos para los gastos corrientes </w:t>
      </w:r>
      <w:r w:rsidR="008E68B2" w:rsidRPr="0005438A">
        <w:rPr>
          <w:rFonts w:ascii="Book Antiqua" w:eastAsia="Times New Roman" w:hAnsi="Book Antiqua" w:cs="Times New Roman"/>
          <w:sz w:val="24"/>
          <w:szCs w:val="24"/>
        </w:rPr>
        <w:lastRenderedPageBreak/>
        <w:t>de dicho Instituto, sin revisarlos, que garantice su estabilidad fiscal; crear el Programa de Academias y Talleres del Instituto de Estadísticas de Puerto Rico; establecer un sistema de certificación de la educación continua como requisito para ocupar y permanecer en un cargo o puesto, u ofrecer consultoría o asesoramiento externo; ordenar al Instituto preparar los formularios necesarios para la notificación por parte de los organismos gubernamentales, y para otros fines relacionados.</w:t>
      </w:r>
      <w:r w:rsidR="00B50F85" w:rsidRPr="0005438A">
        <w:rPr>
          <w:rFonts w:ascii="Book Antiqua" w:eastAsia="Times New Roman" w:hAnsi="Book Antiqua" w:cs="Times New Roman"/>
          <w:bCs/>
          <w:sz w:val="24"/>
          <w:szCs w:val="24"/>
        </w:rPr>
        <w:t>.</w:t>
      </w:r>
    </w:p>
    <w:p w14:paraId="3A2800C6" w14:textId="4A1E058C" w:rsidR="00FF231A" w:rsidRDefault="00FF231A" w:rsidP="004A6483">
      <w:pPr>
        <w:suppressLineNumbers/>
        <w:spacing w:after="0" w:line="240" w:lineRule="auto"/>
        <w:contextualSpacing/>
        <w:jc w:val="both"/>
        <w:rPr>
          <w:rFonts w:ascii="Book Antiqua" w:eastAsia="Times New Roman" w:hAnsi="Book Antiqua" w:cs="Times New Roman"/>
          <w:sz w:val="24"/>
          <w:szCs w:val="24"/>
          <w:lang w:val="es-ES"/>
        </w:rPr>
      </w:pPr>
    </w:p>
    <w:p w14:paraId="180F3F63" w14:textId="77777777" w:rsidR="00C50279" w:rsidRPr="004A6483" w:rsidRDefault="00C50279" w:rsidP="004A6483">
      <w:pPr>
        <w:suppressLineNumbers/>
        <w:spacing w:after="0" w:line="240" w:lineRule="auto"/>
        <w:contextualSpacing/>
        <w:jc w:val="both"/>
        <w:rPr>
          <w:rFonts w:ascii="Book Antiqua" w:eastAsia="Times New Roman" w:hAnsi="Book Antiqua" w:cs="Times New Roman"/>
          <w:sz w:val="24"/>
          <w:szCs w:val="24"/>
          <w:lang w:val="es-ES"/>
        </w:rPr>
      </w:pPr>
    </w:p>
    <w:p w14:paraId="79AEB4A6" w14:textId="77777777" w:rsidR="002573CC" w:rsidRPr="0005438A" w:rsidRDefault="002573CC" w:rsidP="0005438A">
      <w:pPr>
        <w:spacing w:after="0" w:line="240" w:lineRule="auto"/>
        <w:contextualSpacing/>
        <w:jc w:val="center"/>
        <w:rPr>
          <w:rFonts w:ascii="Book Antiqua" w:eastAsia="Times New Roman" w:hAnsi="Book Antiqua" w:cs="Times New Roman"/>
          <w:b/>
          <w:sz w:val="24"/>
          <w:szCs w:val="24"/>
          <w:lang w:val="es-ES_tradnl"/>
        </w:rPr>
      </w:pPr>
      <w:r w:rsidRPr="0005438A">
        <w:rPr>
          <w:rFonts w:ascii="Book Antiqua" w:eastAsia="Times New Roman" w:hAnsi="Book Antiqua" w:cs="Times New Roman"/>
          <w:b/>
          <w:sz w:val="24"/>
          <w:szCs w:val="24"/>
          <w:lang w:val="es-ES_tradnl"/>
        </w:rPr>
        <w:t>INTRODUCCIÓN</w:t>
      </w:r>
    </w:p>
    <w:p w14:paraId="3E55500C" w14:textId="77777777" w:rsidR="006471A0" w:rsidRPr="0005438A" w:rsidRDefault="006471A0" w:rsidP="0005438A">
      <w:pPr>
        <w:spacing w:after="0" w:line="240" w:lineRule="auto"/>
        <w:ind w:firstLine="708"/>
        <w:contextualSpacing/>
        <w:jc w:val="both"/>
        <w:rPr>
          <w:rFonts w:ascii="Book Antiqua" w:eastAsia="Times New Roman" w:hAnsi="Book Antiqua" w:cs="Times New Roman"/>
          <w:sz w:val="24"/>
          <w:szCs w:val="24"/>
        </w:rPr>
      </w:pPr>
    </w:p>
    <w:p w14:paraId="40BDA313" w14:textId="60C41329" w:rsidR="00926722" w:rsidRPr="00926722" w:rsidRDefault="00926722" w:rsidP="0005438A">
      <w:pPr>
        <w:spacing w:after="0" w:line="240" w:lineRule="auto"/>
        <w:ind w:firstLine="708"/>
        <w:contextualSpacing/>
        <w:jc w:val="both"/>
        <w:rPr>
          <w:rFonts w:ascii="Book Antiqua" w:hAnsi="Book Antiqua"/>
          <w:sz w:val="24"/>
          <w:szCs w:val="24"/>
        </w:rPr>
      </w:pPr>
      <w:r w:rsidRPr="0005438A">
        <w:rPr>
          <w:rFonts w:ascii="Book Antiqua" w:eastAsia="Times New Roman" w:hAnsi="Book Antiqua" w:cs="Times New Roman"/>
          <w:sz w:val="24"/>
          <w:szCs w:val="24"/>
        </w:rPr>
        <w:t>Según la</w:t>
      </w:r>
      <w:r w:rsidR="002573CC" w:rsidRPr="0005438A">
        <w:rPr>
          <w:rFonts w:ascii="Book Antiqua" w:eastAsia="Times New Roman" w:hAnsi="Book Antiqua" w:cs="Times New Roman"/>
          <w:sz w:val="24"/>
          <w:szCs w:val="24"/>
        </w:rPr>
        <w:t xml:space="preserve"> </w:t>
      </w:r>
      <w:r w:rsidR="00FB4D06" w:rsidRPr="0005438A">
        <w:rPr>
          <w:rFonts w:ascii="Book Antiqua" w:eastAsia="Times New Roman" w:hAnsi="Book Antiqua" w:cs="Times New Roman"/>
          <w:sz w:val="24"/>
          <w:szCs w:val="24"/>
        </w:rPr>
        <w:t>E</w:t>
      </w:r>
      <w:r w:rsidR="002573CC" w:rsidRPr="0005438A">
        <w:rPr>
          <w:rFonts w:ascii="Book Antiqua" w:eastAsia="Times New Roman" w:hAnsi="Book Antiqua" w:cs="Times New Roman"/>
          <w:sz w:val="24"/>
          <w:szCs w:val="24"/>
        </w:rPr>
        <w:t xml:space="preserve">xposición de </w:t>
      </w:r>
      <w:r w:rsidR="00FB4D06" w:rsidRPr="0005438A">
        <w:rPr>
          <w:rFonts w:ascii="Book Antiqua" w:eastAsia="Times New Roman" w:hAnsi="Book Antiqua" w:cs="Times New Roman"/>
          <w:sz w:val="24"/>
          <w:szCs w:val="24"/>
        </w:rPr>
        <w:t>M</w:t>
      </w:r>
      <w:r w:rsidR="002573CC" w:rsidRPr="0005438A">
        <w:rPr>
          <w:rFonts w:ascii="Book Antiqua" w:eastAsia="Times New Roman" w:hAnsi="Book Antiqua" w:cs="Times New Roman"/>
          <w:sz w:val="24"/>
          <w:szCs w:val="24"/>
        </w:rPr>
        <w:t>otivos del P. de</w:t>
      </w:r>
      <w:r w:rsidR="00BF2010" w:rsidRPr="0005438A">
        <w:rPr>
          <w:rFonts w:ascii="Book Antiqua" w:eastAsia="Times New Roman" w:hAnsi="Book Antiqua" w:cs="Times New Roman"/>
          <w:sz w:val="24"/>
          <w:szCs w:val="24"/>
        </w:rPr>
        <w:t xml:space="preserve"> la</w:t>
      </w:r>
      <w:r w:rsidR="00FF231A" w:rsidRPr="0005438A">
        <w:rPr>
          <w:rFonts w:ascii="Book Antiqua" w:eastAsia="Times New Roman" w:hAnsi="Book Antiqua" w:cs="Times New Roman"/>
          <w:sz w:val="24"/>
          <w:szCs w:val="24"/>
        </w:rPr>
        <w:t xml:space="preserve"> </w:t>
      </w:r>
      <w:r w:rsidR="00BF2010" w:rsidRPr="0005438A">
        <w:rPr>
          <w:rFonts w:ascii="Book Antiqua" w:eastAsia="Times New Roman" w:hAnsi="Book Antiqua" w:cs="Times New Roman"/>
          <w:sz w:val="24"/>
          <w:szCs w:val="24"/>
        </w:rPr>
        <w:t>C</w:t>
      </w:r>
      <w:r w:rsidR="00FF231A" w:rsidRPr="0005438A">
        <w:rPr>
          <w:rFonts w:ascii="Book Antiqua" w:eastAsia="Times New Roman" w:hAnsi="Book Antiqua" w:cs="Times New Roman"/>
          <w:sz w:val="24"/>
          <w:szCs w:val="24"/>
        </w:rPr>
        <w:t xml:space="preserve">. </w:t>
      </w:r>
      <w:r w:rsidR="008E68B2" w:rsidRPr="0005438A">
        <w:rPr>
          <w:rFonts w:ascii="Book Antiqua" w:eastAsia="Times New Roman" w:hAnsi="Book Antiqua" w:cs="Times New Roman"/>
          <w:sz w:val="24"/>
          <w:szCs w:val="24"/>
        </w:rPr>
        <w:t>73</w:t>
      </w:r>
      <w:r w:rsidR="005F7EEF" w:rsidRPr="0005438A">
        <w:rPr>
          <w:rFonts w:ascii="Book Antiqua" w:eastAsia="Times New Roman" w:hAnsi="Book Antiqua" w:cs="Times New Roman"/>
          <w:sz w:val="24"/>
          <w:szCs w:val="24"/>
        </w:rPr>
        <w:t xml:space="preserve">, </w:t>
      </w:r>
      <w:r w:rsidRPr="0005438A">
        <w:rPr>
          <w:rFonts w:ascii="Book Antiqua" w:eastAsia="Times New Roman" w:hAnsi="Book Antiqua" w:cs="Times New Roman"/>
          <w:sz w:val="24"/>
          <w:szCs w:val="24"/>
        </w:rPr>
        <w:t xml:space="preserve"> </w:t>
      </w:r>
      <w:r w:rsidRPr="0005438A">
        <w:rPr>
          <w:rFonts w:ascii="Book Antiqua" w:hAnsi="Book Antiqua"/>
          <w:sz w:val="24"/>
          <w:szCs w:val="24"/>
        </w:rPr>
        <w:t>la creación del Instituto de Estadísticas mediante la Ley 209-2003 tuvo como propósito crear un</w:t>
      </w:r>
      <w:r w:rsidR="008D13A8">
        <w:rPr>
          <w:rFonts w:ascii="Book Antiqua" w:hAnsi="Book Antiqua"/>
          <w:sz w:val="24"/>
          <w:szCs w:val="24"/>
        </w:rPr>
        <w:t>a</w:t>
      </w:r>
      <w:r w:rsidRPr="0005438A">
        <w:rPr>
          <w:rFonts w:ascii="Book Antiqua" w:hAnsi="Book Antiqua"/>
          <w:sz w:val="24"/>
          <w:szCs w:val="24"/>
        </w:rPr>
        <w:t xml:space="preserve"> “entidad responsable de emitir las normas, directrices o reglamentos vinculantes para todos los organismos gubernamentales, y aplicables al conjunto de actividades y datos producidos para la elaboración del producto estadístico que desarrollan las unidades estadísticas”</w:t>
      </w:r>
      <w:r w:rsidR="008D13A8">
        <w:rPr>
          <w:rFonts w:ascii="Book Antiqua" w:hAnsi="Book Antiqua"/>
          <w:sz w:val="24"/>
          <w:szCs w:val="24"/>
        </w:rPr>
        <w:t>.</w:t>
      </w:r>
      <w:r w:rsidRPr="0005438A">
        <w:rPr>
          <w:rFonts w:ascii="Book Antiqua" w:hAnsi="Book Antiqua"/>
          <w:sz w:val="24"/>
          <w:szCs w:val="24"/>
        </w:rPr>
        <w:t xml:space="preserve"> </w:t>
      </w:r>
      <w:r w:rsidRPr="00926722">
        <w:rPr>
          <w:rFonts w:ascii="Book Antiqua" w:eastAsia="Times New Roman" w:hAnsi="Book Antiqua" w:cs="Times New Roman"/>
          <w:sz w:val="24"/>
          <w:szCs w:val="24"/>
        </w:rPr>
        <w:t>Su misión principal es</w:t>
      </w:r>
      <w:r w:rsidR="00C75439">
        <w:rPr>
          <w:rFonts w:ascii="Book Antiqua" w:eastAsia="Times New Roman" w:hAnsi="Book Antiqua" w:cs="Times New Roman"/>
          <w:sz w:val="24"/>
          <w:szCs w:val="24"/>
        </w:rPr>
        <w:t xml:space="preserve"> la de</w:t>
      </w:r>
      <w:r w:rsidRPr="00926722">
        <w:rPr>
          <w:rFonts w:ascii="Book Antiqua" w:eastAsia="Times New Roman" w:hAnsi="Book Antiqua" w:cs="Times New Roman"/>
          <w:sz w:val="24"/>
          <w:szCs w:val="24"/>
        </w:rPr>
        <w:t xml:space="preserve"> “promover cambios en los sistemas de recopilación de datos y estadísticas para que éstos sean completos, confiables y de rápido y universal acceso”</w:t>
      </w:r>
      <w:r w:rsidR="00C75439">
        <w:rPr>
          <w:rFonts w:ascii="Book Antiqua" w:eastAsia="Times New Roman" w:hAnsi="Book Antiqua" w:cs="Times New Roman"/>
          <w:sz w:val="24"/>
          <w:szCs w:val="24"/>
        </w:rPr>
        <w:t>.</w:t>
      </w:r>
    </w:p>
    <w:p w14:paraId="4625D702" w14:textId="4E548001" w:rsidR="00926722" w:rsidRPr="00926722" w:rsidRDefault="00926722" w:rsidP="0005438A">
      <w:pPr>
        <w:spacing w:after="0" w:line="240" w:lineRule="auto"/>
        <w:ind w:firstLine="708"/>
        <w:contextualSpacing/>
        <w:jc w:val="both"/>
        <w:rPr>
          <w:rFonts w:ascii="Book Antiqua" w:eastAsia="Times New Roman" w:hAnsi="Book Antiqua" w:cs="Times New Roman"/>
          <w:sz w:val="24"/>
          <w:szCs w:val="24"/>
        </w:rPr>
      </w:pPr>
    </w:p>
    <w:p w14:paraId="34B65007" w14:textId="02EC7DB9" w:rsidR="00926722" w:rsidRPr="00926722" w:rsidRDefault="00926722" w:rsidP="0005438A">
      <w:pPr>
        <w:spacing w:after="0" w:line="240" w:lineRule="auto"/>
        <w:ind w:firstLine="708"/>
        <w:contextualSpacing/>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t xml:space="preserve">Así mismo, </w:t>
      </w:r>
      <w:r w:rsidR="00C75439">
        <w:rPr>
          <w:rFonts w:ascii="Book Antiqua" w:eastAsia="Times New Roman" w:hAnsi="Book Antiqua" w:cs="Times New Roman"/>
          <w:sz w:val="24"/>
          <w:szCs w:val="24"/>
        </w:rPr>
        <w:t>la</w:t>
      </w:r>
      <w:r w:rsidRPr="0005438A">
        <w:rPr>
          <w:rFonts w:ascii="Book Antiqua" w:eastAsia="Times New Roman" w:hAnsi="Book Antiqua" w:cs="Times New Roman"/>
          <w:sz w:val="24"/>
          <w:szCs w:val="24"/>
        </w:rPr>
        <w:t xml:space="preserve"> </w:t>
      </w:r>
      <w:r w:rsidR="004A6483">
        <w:rPr>
          <w:rFonts w:ascii="Book Antiqua" w:eastAsia="Times New Roman" w:hAnsi="Book Antiqua" w:cs="Times New Roman"/>
          <w:sz w:val="24"/>
          <w:szCs w:val="24"/>
        </w:rPr>
        <w:t>E</w:t>
      </w:r>
      <w:r w:rsidRPr="0005438A">
        <w:rPr>
          <w:rFonts w:ascii="Book Antiqua" w:eastAsia="Times New Roman" w:hAnsi="Book Antiqua" w:cs="Times New Roman"/>
          <w:sz w:val="24"/>
          <w:szCs w:val="24"/>
        </w:rPr>
        <w:t xml:space="preserve">xposición de </w:t>
      </w:r>
      <w:r w:rsidR="004A6483">
        <w:rPr>
          <w:rFonts w:ascii="Book Antiqua" w:eastAsia="Times New Roman" w:hAnsi="Book Antiqua" w:cs="Times New Roman"/>
          <w:sz w:val="24"/>
          <w:szCs w:val="24"/>
        </w:rPr>
        <w:t>M</w:t>
      </w:r>
      <w:r w:rsidRPr="0005438A">
        <w:rPr>
          <w:rFonts w:ascii="Book Antiqua" w:eastAsia="Times New Roman" w:hAnsi="Book Antiqua" w:cs="Times New Roman"/>
          <w:sz w:val="24"/>
          <w:szCs w:val="24"/>
        </w:rPr>
        <w:t>otivos</w:t>
      </w:r>
      <w:r w:rsidR="00C75439">
        <w:rPr>
          <w:rFonts w:ascii="Book Antiqua" w:eastAsia="Times New Roman" w:hAnsi="Book Antiqua" w:cs="Times New Roman"/>
          <w:sz w:val="24"/>
          <w:szCs w:val="24"/>
        </w:rPr>
        <w:t xml:space="preserve"> de la medida</w:t>
      </w:r>
      <w:r w:rsidRPr="00926722">
        <w:rPr>
          <w:rFonts w:ascii="Book Antiqua" w:eastAsia="Times New Roman" w:hAnsi="Book Antiqua" w:cs="Times New Roman"/>
          <w:sz w:val="24"/>
          <w:szCs w:val="24"/>
        </w:rPr>
        <w:t xml:space="preserve"> destaca que, </w:t>
      </w:r>
      <w:r w:rsidRPr="0005438A">
        <w:rPr>
          <w:rFonts w:ascii="Book Antiqua" w:eastAsia="Times New Roman" w:hAnsi="Book Antiqua" w:cs="Times New Roman"/>
          <w:sz w:val="24"/>
          <w:szCs w:val="24"/>
        </w:rPr>
        <w:t xml:space="preserve">la Ley </w:t>
      </w:r>
      <w:r w:rsidR="0095458A" w:rsidRPr="0005438A">
        <w:rPr>
          <w:rFonts w:ascii="Book Antiqua" w:eastAsia="Times New Roman" w:hAnsi="Book Antiqua" w:cs="Times New Roman"/>
          <w:sz w:val="24"/>
          <w:szCs w:val="24"/>
        </w:rPr>
        <w:t>Núm.</w:t>
      </w:r>
      <w:r w:rsidRPr="0005438A">
        <w:rPr>
          <w:rFonts w:ascii="Book Antiqua" w:eastAsia="Times New Roman" w:hAnsi="Book Antiqua" w:cs="Times New Roman"/>
          <w:sz w:val="24"/>
          <w:szCs w:val="24"/>
        </w:rPr>
        <w:t xml:space="preserve"> 217-2008 según enmendada,</w:t>
      </w:r>
      <w:r w:rsidRPr="00926722">
        <w:rPr>
          <w:rFonts w:ascii="Book Antiqua" w:eastAsia="Times New Roman" w:hAnsi="Book Antiqua" w:cs="Times New Roman"/>
          <w:sz w:val="24"/>
          <w:szCs w:val="24"/>
        </w:rPr>
        <w:t xml:space="preserve"> reiteró la autonomía administrativa y fiscal del Instituto, excluyéndolo de leyes de administración y recursos humanos que podrían afectar su independencia. Así, se le confirió la facultad de “adoptar, promulgar, enmendar y derogar aquellas reglas, órdenes, y reglamentos para regir los procesos relacionados con la gerencia, la contratación o reclutamiento de su capital humano, la propiedad, la administración de su presupuesto, entre otros”</w:t>
      </w:r>
      <w:r w:rsidR="00322174">
        <w:rPr>
          <w:rFonts w:ascii="Book Antiqua" w:eastAsia="Times New Roman" w:hAnsi="Book Antiqua" w:cs="Times New Roman"/>
          <w:sz w:val="24"/>
          <w:szCs w:val="24"/>
        </w:rPr>
        <w:t>.</w:t>
      </w:r>
    </w:p>
    <w:p w14:paraId="5128F063" w14:textId="1E8A20D2" w:rsidR="00926722" w:rsidRPr="00926722" w:rsidRDefault="00926722" w:rsidP="0005438A">
      <w:pPr>
        <w:spacing w:after="0" w:line="240" w:lineRule="auto"/>
        <w:ind w:firstLine="708"/>
        <w:contextualSpacing/>
        <w:jc w:val="both"/>
        <w:rPr>
          <w:rFonts w:ascii="Book Antiqua" w:eastAsia="Times New Roman" w:hAnsi="Book Antiqua" w:cs="Times New Roman"/>
          <w:sz w:val="24"/>
          <w:szCs w:val="24"/>
        </w:rPr>
      </w:pPr>
    </w:p>
    <w:p w14:paraId="14014292" w14:textId="459FE14C" w:rsidR="00926722" w:rsidRPr="00926722" w:rsidRDefault="00FF538F" w:rsidP="0005438A">
      <w:pPr>
        <w:spacing w:after="0" w:line="240" w:lineRule="auto"/>
        <w:ind w:firstLine="708"/>
        <w:contextualSpacing/>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t xml:space="preserve">Además, </w:t>
      </w:r>
      <w:r w:rsidR="00926722" w:rsidRPr="00926722">
        <w:rPr>
          <w:rFonts w:ascii="Book Antiqua" w:eastAsia="Times New Roman" w:hAnsi="Book Antiqua" w:cs="Times New Roman"/>
          <w:sz w:val="24"/>
          <w:szCs w:val="24"/>
        </w:rPr>
        <w:t>resalta la necesidad de otorgar al Instituto más mecanismos para allegar fondos propios y reducir su dependencia del Fondo General. Según el texto, “debemos buscar alternativas para darles a las agencias facultades y poderes que permitan y viabilicen nuevos ingresos para sustentar sus operaciones</w:t>
      </w:r>
      <w:r w:rsidR="00C71143">
        <w:rPr>
          <w:rFonts w:ascii="Book Antiqua" w:eastAsia="Times New Roman" w:hAnsi="Book Antiqua" w:cs="Times New Roman"/>
          <w:sz w:val="24"/>
          <w:szCs w:val="24"/>
        </w:rPr>
        <w:t>”.</w:t>
      </w:r>
    </w:p>
    <w:p w14:paraId="5F647212" w14:textId="77777777" w:rsidR="00926722" w:rsidRPr="0005438A" w:rsidRDefault="00926722" w:rsidP="0005438A">
      <w:pPr>
        <w:spacing w:after="0" w:line="240" w:lineRule="auto"/>
        <w:ind w:firstLine="708"/>
        <w:contextualSpacing/>
        <w:jc w:val="both"/>
        <w:rPr>
          <w:rFonts w:ascii="Book Antiqua" w:eastAsia="Times New Roman" w:hAnsi="Book Antiqua" w:cs="Times New Roman"/>
          <w:sz w:val="24"/>
          <w:szCs w:val="24"/>
        </w:rPr>
      </w:pPr>
    </w:p>
    <w:p w14:paraId="2DB53D48" w14:textId="2C43840D" w:rsidR="00926722" w:rsidRPr="00926722" w:rsidRDefault="00926722" w:rsidP="0005438A">
      <w:pPr>
        <w:spacing w:after="0" w:line="240" w:lineRule="auto"/>
        <w:ind w:firstLine="708"/>
        <w:contextualSpacing/>
        <w:jc w:val="both"/>
        <w:rPr>
          <w:rFonts w:ascii="Book Antiqua" w:eastAsia="Times New Roman" w:hAnsi="Book Antiqua" w:cs="Times New Roman"/>
          <w:sz w:val="24"/>
          <w:szCs w:val="24"/>
        </w:rPr>
      </w:pPr>
      <w:r w:rsidRPr="00926722">
        <w:rPr>
          <w:rFonts w:ascii="Book Antiqua" w:eastAsia="Times New Roman" w:hAnsi="Book Antiqua" w:cs="Times New Roman"/>
          <w:sz w:val="24"/>
          <w:szCs w:val="24"/>
        </w:rPr>
        <w:t xml:space="preserve"> Por </w:t>
      </w:r>
      <w:r w:rsidRPr="0005438A">
        <w:rPr>
          <w:rFonts w:ascii="Book Antiqua" w:eastAsia="Times New Roman" w:hAnsi="Book Antiqua" w:cs="Times New Roman"/>
          <w:sz w:val="24"/>
          <w:szCs w:val="24"/>
        </w:rPr>
        <w:t>lo anterior,</w:t>
      </w:r>
      <w:r w:rsidRPr="00926722">
        <w:rPr>
          <w:rFonts w:ascii="Book Antiqua" w:eastAsia="Times New Roman" w:hAnsi="Book Antiqua" w:cs="Times New Roman"/>
          <w:sz w:val="24"/>
          <w:szCs w:val="24"/>
        </w:rPr>
        <w:t xml:space="preserve"> </w:t>
      </w:r>
      <w:r w:rsidR="00FF538F" w:rsidRPr="0005438A">
        <w:rPr>
          <w:rFonts w:ascii="Book Antiqua" w:eastAsia="Times New Roman" w:hAnsi="Book Antiqua" w:cs="Times New Roman"/>
          <w:sz w:val="24"/>
          <w:szCs w:val="24"/>
        </w:rPr>
        <w:t>el autor de la medida</w:t>
      </w:r>
      <w:r w:rsidRPr="00926722">
        <w:rPr>
          <w:rFonts w:ascii="Book Antiqua" w:eastAsia="Times New Roman" w:hAnsi="Book Antiqua" w:cs="Times New Roman"/>
          <w:sz w:val="24"/>
          <w:szCs w:val="24"/>
        </w:rPr>
        <w:t xml:space="preserve"> propone que la Junta de Directores adopte estándares éticos aplicables a quienes trabajan en las unidades estadísticas, fortaleciendo la objetividad y transparencia de los datos públicos. De esta forma, la medida busca legitimar la participación ciudadana y reforzar la confianza democrática.</w:t>
      </w:r>
    </w:p>
    <w:p w14:paraId="74B49B0E" w14:textId="77777777" w:rsidR="004421C7" w:rsidRDefault="004421C7" w:rsidP="0005438A">
      <w:pPr>
        <w:spacing w:after="0" w:line="240" w:lineRule="auto"/>
        <w:ind w:firstLine="708"/>
        <w:contextualSpacing/>
        <w:jc w:val="both"/>
        <w:rPr>
          <w:rFonts w:ascii="Book Antiqua" w:eastAsia="Times New Roman" w:hAnsi="Book Antiqua" w:cs="Times New Roman"/>
          <w:sz w:val="24"/>
          <w:szCs w:val="24"/>
          <w:lang w:val="es-ES"/>
        </w:rPr>
      </w:pPr>
    </w:p>
    <w:p w14:paraId="2FE1C8E1" w14:textId="77777777" w:rsidR="00C50279" w:rsidRPr="0005438A" w:rsidRDefault="00C50279" w:rsidP="0005438A">
      <w:pPr>
        <w:spacing w:after="0" w:line="240" w:lineRule="auto"/>
        <w:ind w:firstLine="708"/>
        <w:contextualSpacing/>
        <w:jc w:val="both"/>
        <w:rPr>
          <w:rFonts w:ascii="Book Antiqua" w:eastAsia="Times New Roman" w:hAnsi="Book Antiqua" w:cs="Times New Roman"/>
          <w:sz w:val="24"/>
          <w:szCs w:val="24"/>
          <w:lang w:val="es-ES"/>
        </w:rPr>
      </w:pPr>
    </w:p>
    <w:p w14:paraId="43DB3518" w14:textId="4D9D77F7" w:rsidR="002573CC" w:rsidRPr="0005438A" w:rsidRDefault="002573CC" w:rsidP="0005438A">
      <w:pPr>
        <w:spacing w:after="0" w:line="240" w:lineRule="auto"/>
        <w:contextualSpacing/>
        <w:jc w:val="center"/>
        <w:rPr>
          <w:rFonts w:ascii="Book Antiqua" w:eastAsia="Times New Roman" w:hAnsi="Book Antiqua" w:cs="Times New Roman"/>
          <w:b/>
          <w:sz w:val="24"/>
          <w:szCs w:val="24"/>
        </w:rPr>
      </w:pPr>
      <w:r w:rsidRPr="0005438A">
        <w:rPr>
          <w:rFonts w:ascii="Book Antiqua" w:eastAsia="Times New Roman" w:hAnsi="Book Antiqua" w:cs="Times New Roman"/>
          <w:b/>
          <w:sz w:val="24"/>
          <w:szCs w:val="24"/>
        </w:rPr>
        <w:t>ANÁLISIS DE</w:t>
      </w:r>
      <w:r w:rsidR="008E68B2" w:rsidRPr="0005438A">
        <w:rPr>
          <w:rFonts w:ascii="Book Antiqua" w:eastAsia="Times New Roman" w:hAnsi="Book Antiqua" w:cs="Times New Roman"/>
          <w:b/>
          <w:sz w:val="24"/>
          <w:szCs w:val="24"/>
        </w:rPr>
        <w:t>L</w:t>
      </w:r>
      <w:r w:rsidR="00406510" w:rsidRPr="0005438A">
        <w:rPr>
          <w:rFonts w:ascii="Book Antiqua" w:eastAsia="Times New Roman" w:hAnsi="Book Antiqua" w:cs="Times New Roman"/>
          <w:b/>
          <w:sz w:val="24"/>
          <w:szCs w:val="24"/>
        </w:rPr>
        <w:t xml:space="preserve"> INFORME</w:t>
      </w:r>
    </w:p>
    <w:p w14:paraId="4B90A446" w14:textId="77777777" w:rsidR="006471A0" w:rsidRPr="0005438A" w:rsidRDefault="006471A0" w:rsidP="0005438A">
      <w:pPr>
        <w:pStyle w:val="NormalWeb"/>
        <w:spacing w:before="0" w:beforeAutospacing="0" w:after="0" w:afterAutospacing="0"/>
        <w:ind w:firstLine="708"/>
        <w:contextualSpacing/>
        <w:jc w:val="both"/>
        <w:rPr>
          <w:rFonts w:ascii="Book Antiqua" w:hAnsi="Book Antiqua"/>
          <w:lang w:val="es-PR"/>
        </w:rPr>
      </w:pPr>
    </w:p>
    <w:p w14:paraId="7583D20F" w14:textId="33546CC4" w:rsidR="0037487C" w:rsidRPr="0005438A" w:rsidRDefault="0037487C" w:rsidP="0005438A">
      <w:pPr>
        <w:spacing w:after="0" w:line="240" w:lineRule="auto"/>
        <w:ind w:firstLine="708"/>
        <w:jc w:val="both"/>
        <w:rPr>
          <w:rFonts w:ascii="Book Antiqua" w:hAnsi="Book Antiqua"/>
          <w:sz w:val="24"/>
          <w:szCs w:val="24"/>
          <w:lang w:val="es-ES"/>
        </w:rPr>
      </w:pPr>
      <w:r w:rsidRPr="0005438A">
        <w:rPr>
          <w:rFonts w:ascii="Book Antiqua" w:hAnsi="Book Antiqua"/>
          <w:sz w:val="24"/>
          <w:szCs w:val="24"/>
          <w:lang w:val="es-ES"/>
        </w:rPr>
        <w:t xml:space="preserve">Como parte del proceso de análisis y evaluación del </w:t>
      </w:r>
      <w:r w:rsidRPr="0005438A">
        <w:rPr>
          <w:rFonts w:ascii="Book Antiqua" w:hAnsi="Book Antiqua"/>
          <w:b/>
          <w:bCs/>
          <w:sz w:val="24"/>
          <w:szCs w:val="24"/>
          <w:lang w:val="es-ES"/>
        </w:rPr>
        <w:t>P. del C. 73</w:t>
      </w:r>
      <w:r w:rsidRPr="0005438A">
        <w:rPr>
          <w:rFonts w:ascii="Book Antiqua" w:hAnsi="Book Antiqua"/>
          <w:sz w:val="24"/>
          <w:szCs w:val="24"/>
          <w:lang w:val="es-ES"/>
        </w:rPr>
        <w:t xml:space="preserve">, esta Honorable </w:t>
      </w:r>
      <w:r w:rsidR="00195C80" w:rsidRPr="0005438A">
        <w:rPr>
          <w:rFonts w:ascii="Book Antiqua" w:eastAsia="Times New Roman" w:hAnsi="Book Antiqua"/>
          <w:sz w:val="24"/>
          <w:szCs w:val="24"/>
          <w:lang w:val="es-ES"/>
        </w:rPr>
        <w:t>Comisión</w:t>
      </w:r>
      <w:r w:rsidRPr="0005438A">
        <w:rPr>
          <w:rFonts w:ascii="Book Antiqua" w:eastAsia="Times New Roman" w:hAnsi="Book Antiqua"/>
          <w:sz w:val="24"/>
          <w:szCs w:val="24"/>
          <w:lang w:val="es-ES"/>
        </w:rPr>
        <w:t xml:space="preserve"> de Gobierno</w:t>
      </w:r>
      <w:r w:rsidRPr="0005438A">
        <w:rPr>
          <w:rFonts w:ascii="Book Antiqua" w:hAnsi="Book Antiqua"/>
          <w:sz w:val="24"/>
          <w:szCs w:val="24"/>
          <w:lang w:val="es-ES"/>
        </w:rPr>
        <w:t xml:space="preserve"> solicit</w:t>
      </w:r>
      <w:r w:rsidR="0095458A" w:rsidRPr="0005438A">
        <w:rPr>
          <w:rFonts w:ascii="Book Antiqua" w:hAnsi="Book Antiqua"/>
          <w:sz w:val="24"/>
          <w:szCs w:val="24"/>
          <w:lang w:val="es-ES"/>
        </w:rPr>
        <w:t>ó</w:t>
      </w:r>
      <w:r w:rsidRPr="0005438A">
        <w:rPr>
          <w:rFonts w:ascii="Book Antiqua" w:hAnsi="Book Antiqua"/>
          <w:sz w:val="24"/>
          <w:szCs w:val="24"/>
          <w:lang w:val="es-ES"/>
        </w:rPr>
        <w:t xml:space="preserve"> comentarios sobre la medida a diversos componentes gubernamentales y no gubernamentales. Los memoriales recibidos y utilizados para el </w:t>
      </w:r>
      <w:r w:rsidRPr="0005438A">
        <w:rPr>
          <w:rFonts w:ascii="Book Antiqua" w:hAnsi="Book Antiqua"/>
          <w:sz w:val="24"/>
          <w:szCs w:val="24"/>
          <w:lang w:val="es-ES"/>
        </w:rPr>
        <w:lastRenderedPageBreak/>
        <w:t xml:space="preserve">análisis de esta pieza legislativa son los siguientes: </w:t>
      </w:r>
      <w:r w:rsidR="00195C80" w:rsidRPr="0005438A">
        <w:rPr>
          <w:rFonts w:ascii="Book Antiqua" w:hAnsi="Book Antiqua"/>
          <w:sz w:val="24"/>
          <w:szCs w:val="24"/>
          <w:lang w:val="es-ES"/>
        </w:rPr>
        <w:t xml:space="preserve">Oficina del Contralor de Puerto Rico (OCPR), la </w:t>
      </w:r>
      <w:r w:rsidRPr="0005438A">
        <w:rPr>
          <w:rFonts w:ascii="Book Antiqua" w:hAnsi="Book Antiqua"/>
          <w:sz w:val="24"/>
          <w:szCs w:val="24"/>
          <w:lang w:val="es-ES"/>
        </w:rPr>
        <w:t>Administración de Servicios Generales de Puerto Rico (ASG), Asociación de Alcaldes de Puerto Rico, Oficina de Ética Gubernamental</w:t>
      </w:r>
      <w:r w:rsidR="0095458A" w:rsidRPr="0005438A">
        <w:rPr>
          <w:rFonts w:ascii="Book Antiqua" w:hAnsi="Book Antiqua"/>
          <w:sz w:val="24"/>
          <w:szCs w:val="24"/>
          <w:lang w:val="es-ES"/>
        </w:rPr>
        <w:t xml:space="preserve"> (OEG)</w:t>
      </w:r>
      <w:r w:rsidRPr="0005438A">
        <w:rPr>
          <w:rFonts w:ascii="Book Antiqua" w:hAnsi="Book Antiqua"/>
          <w:sz w:val="24"/>
          <w:szCs w:val="24"/>
          <w:lang w:val="es-ES"/>
        </w:rPr>
        <w:t>, la Federación de Alcaldes de Puerto Rico, el Instituto de Estadísticas de Puerto Rico</w:t>
      </w:r>
      <w:r w:rsidR="0095458A" w:rsidRPr="0005438A">
        <w:rPr>
          <w:rFonts w:ascii="Book Antiqua" w:hAnsi="Book Antiqua"/>
          <w:sz w:val="24"/>
          <w:szCs w:val="24"/>
          <w:lang w:val="es-ES"/>
        </w:rPr>
        <w:t xml:space="preserve"> (IEPR)</w:t>
      </w:r>
      <w:r w:rsidRPr="0005438A">
        <w:rPr>
          <w:rFonts w:ascii="Book Antiqua" w:hAnsi="Book Antiqua"/>
          <w:sz w:val="24"/>
          <w:szCs w:val="24"/>
          <w:lang w:val="es-ES"/>
        </w:rPr>
        <w:t>, la Oficina del Inspector General (OIG), la Oficina de Presupuesto de la Asamblea Legislativa (OPAL), la Administración de Asuntos Federales de Puerto Rico (PRFAA) y la Oficina del Contralor</w:t>
      </w:r>
      <w:r w:rsidR="0095458A" w:rsidRPr="0005438A">
        <w:rPr>
          <w:rFonts w:ascii="Book Antiqua" w:hAnsi="Book Antiqua"/>
          <w:sz w:val="24"/>
          <w:szCs w:val="24"/>
          <w:lang w:val="es-ES"/>
        </w:rPr>
        <w:t>(OCPR)</w:t>
      </w:r>
      <w:r w:rsidRPr="0005438A">
        <w:rPr>
          <w:rFonts w:ascii="Book Antiqua" w:hAnsi="Book Antiqua"/>
          <w:sz w:val="24"/>
          <w:szCs w:val="24"/>
          <w:lang w:val="es-ES"/>
        </w:rPr>
        <w:t xml:space="preserve">. </w:t>
      </w:r>
    </w:p>
    <w:p w14:paraId="5D1E8C0C" w14:textId="77777777" w:rsidR="0037487C" w:rsidRPr="0005438A" w:rsidRDefault="0037487C" w:rsidP="0005438A">
      <w:pPr>
        <w:pStyle w:val="NoSpacing"/>
        <w:jc w:val="both"/>
        <w:rPr>
          <w:rFonts w:ascii="Book Antiqua" w:hAnsi="Book Antiqua"/>
          <w:sz w:val="24"/>
          <w:szCs w:val="24"/>
          <w:lang w:val="es-ES"/>
        </w:rPr>
      </w:pPr>
    </w:p>
    <w:p w14:paraId="77EF9946" w14:textId="46F64507" w:rsidR="0037487C" w:rsidRPr="0005438A" w:rsidRDefault="0037487C" w:rsidP="00954A78">
      <w:pPr>
        <w:spacing w:after="0" w:line="240" w:lineRule="auto"/>
        <w:ind w:firstLine="708"/>
        <w:jc w:val="both"/>
        <w:rPr>
          <w:rFonts w:ascii="Book Antiqua" w:hAnsi="Book Antiqua"/>
          <w:sz w:val="24"/>
          <w:szCs w:val="24"/>
          <w:lang w:val="es-ES"/>
        </w:rPr>
      </w:pPr>
      <w:r w:rsidRPr="0005438A">
        <w:rPr>
          <w:rFonts w:ascii="Book Antiqua" w:hAnsi="Book Antiqua"/>
          <w:sz w:val="24"/>
          <w:szCs w:val="24"/>
          <w:lang w:val="es-ES"/>
        </w:rPr>
        <w:t>Igualmente, se solicitaron los comentarios a</w:t>
      </w:r>
      <w:r w:rsidR="00126A91">
        <w:rPr>
          <w:rFonts w:ascii="Book Antiqua" w:hAnsi="Book Antiqua"/>
          <w:sz w:val="24"/>
          <w:szCs w:val="24"/>
          <w:lang w:val="es-ES"/>
        </w:rPr>
        <w:t>l Departamento de Justicia de Puerto Rico</w:t>
      </w:r>
      <w:r w:rsidR="008903B3">
        <w:rPr>
          <w:rFonts w:ascii="Book Antiqua" w:hAnsi="Book Antiqua"/>
          <w:sz w:val="24"/>
          <w:szCs w:val="24"/>
          <w:lang w:val="es-ES"/>
        </w:rPr>
        <w:t xml:space="preserve">, </w:t>
      </w:r>
      <w:r w:rsidR="008532F0">
        <w:rPr>
          <w:rFonts w:ascii="Book Antiqua" w:hAnsi="Book Antiqua"/>
          <w:sz w:val="24"/>
          <w:szCs w:val="24"/>
          <w:lang w:val="es-ES"/>
        </w:rPr>
        <w:t>al Departamento del Trabajo y Recursos Humanos</w:t>
      </w:r>
      <w:r w:rsidRPr="0005438A">
        <w:rPr>
          <w:rFonts w:ascii="Book Antiqua" w:hAnsi="Book Antiqua"/>
          <w:sz w:val="24"/>
          <w:szCs w:val="24"/>
          <w:lang w:val="es-ES"/>
        </w:rPr>
        <w:t xml:space="preserve">; no obstante, al momento de redactar este Informe, estos no han remitido los mismos. </w:t>
      </w:r>
    </w:p>
    <w:p w14:paraId="3DD8085E" w14:textId="77777777" w:rsidR="0037487C" w:rsidRPr="0005438A" w:rsidRDefault="0037487C" w:rsidP="0005438A">
      <w:pPr>
        <w:spacing w:after="0" w:line="240" w:lineRule="auto"/>
        <w:jc w:val="both"/>
        <w:rPr>
          <w:rFonts w:ascii="Book Antiqua" w:hAnsi="Book Antiqua"/>
          <w:sz w:val="24"/>
          <w:szCs w:val="24"/>
          <w:lang w:val="es-ES"/>
        </w:rPr>
      </w:pPr>
    </w:p>
    <w:p w14:paraId="23C5D465" w14:textId="77777777" w:rsidR="0037487C" w:rsidRDefault="0037487C" w:rsidP="00954A78">
      <w:pPr>
        <w:spacing w:after="0" w:line="240" w:lineRule="auto"/>
        <w:ind w:firstLine="708"/>
        <w:jc w:val="both"/>
        <w:rPr>
          <w:rFonts w:ascii="Book Antiqua" w:hAnsi="Book Antiqua"/>
          <w:sz w:val="24"/>
          <w:szCs w:val="24"/>
          <w:lang w:val="es-ES"/>
        </w:rPr>
      </w:pPr>
      <w:r w:rsidRPr="0005438A">
        <w:rPr>
          <w:rFonts w:ascii="Book Antiqua" w:hAnsi="Book Antiqua"/>
          <w:sz w:val="24"/>
          <w:szCs w:val="24"/>
          <w:lang w:val="es-ES"/>
        </w:rPr>
        <w:t xml:space="preserve">A continuación, presentaremos un resumen de los argumentos y comentarios esbozados por las diferentes agencias y entidades consultadas durante el proceso de evaluación de la medida en referencia.  </w:t>
      </w:r>
    </w:p>
    <w:p w14:paraId="79551A1A" w14:textId="77777777" w:rsidR="0005438A" w:rsidRPr="0005438A" w:rsidRDefault="0005438A" w:rsidP="0005438A">
      <w:pPr>
        <w:spacing w:after="0" w:line="240" w:lineRule="auto"/>
        <w:jc w:val="both"/>
        <w:rPr>
          <w:rFonts w:ascii="Book Antiqua" w:hAnsi="Book Antiqua"/>
          <w:sz w:val="24"/>
          <w:szCs w:val="24"/>
          <w:lang w:val="es-ES"/>
        </w:rPr>
      </w:pPr>
    </w:p>
    <w:p w14:paraId="35CDDB35" w14:textId="20751B84" w:rsidR="00095F53" w:rsidRPr="0005438A" w:rsidRDefault="00195C80" w:rsidP="0005438A">
      <w:pPr>
        <w:pStyle w:val="ListParagraph"/>
        <w:numPr>
          <w:ilvl w:val="0"/>
          <w:numId w:val="8"/>
        </w:numPr>
        <w:spacing w:after="0" w:line="240" w:lineRule="auto"/>
        <w:jc w:val="both"/>
        <w:rPr>
          <w:rFonts w:ascii="Book Antiqua" w:eastAsia="Times New Roman" w:hAnsi="Book Antiqua" w:cs="Times New Roman"/>
          <w:sz w:val="24"/>
          <w:szCs w:val="24"/>
          <w:u w:val="single"/>
        </w:rPr>
      </w:pPr>
      <w:r w:rsidRPr="0005438A">
        <w:rPr>
          <w:rFonts w:ascii="Book Antiqua" w:eastAsia="Times New Roman" w:hAnsi="Book Antiqua" w:cs="Times New Roman"/>
          <w:b/>
          <w:bCs/>
          <w:sz w:val="24"/>
          <w:szCs w:val="24"/>
        </w:rPr>
        <w:t>Oficina del Contralor de Puerto Rico (OCPR)</w:t>
      </w:r>
    </w:p>
    <w:p w14:paraId="4905362E" w14:textId="77777777" w:rsidR="001E2B23" w:rsidRPr="0005438A" w:rsidRDefault="001E2B23" w:rsidP="0005438A">
      <w:pPr>
        <w:pStyle w:val="ListParagraph"/>
        <w:spacing w:after="0" w:line="240" w:lineRule="auto"/>
        <w:ind w:left="1428"/>
        <w:jc w:val="both"/>
        <w:rPr>
          <w:rFonts w:ascii="Book Antiqua" w:eastAsia="Times New Roman" w:hAnsi="Book Antiqua" w:cs="Times New Roman"/>
          <w:sz w:val="24"/>
          <w:szCs w:val="24"/>
          <w:u w:val="single"/>
        </w:rPr>
      </w:pPr>
    </w:p>
    <w:p w14:paraId="02B602E2" w14:textId="4F85EFAC" w:rsidR="00095F53" w:rsidRPr="0005438A" w:rsidRDefault="00195C80" w:rsidP="0005438A">
      <w:pPr>
        <w:spacing w:after="0" w:line="240" w:lineRule="auto"/>
        <w:ind w:firstLine="708"/>
        <w:contextualSpacing/>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t>La Oficina del Contralor explica que la medida tiene como fin enmendar varios artículos de la Ley 209-2003 para fortalecer la operación del Instituto de Estadísticas de Puerto Rico. Entre los cambios, menciona que se busca “disponer que el Instituto pueda solicitar, aceptar y recibir donativos; aumentar de $36,000 a $100,000 la cantidad que tiene la Junta de Directores para aprobar la adquisición de equipo, materiales y servicios; y facultar a la Junta para adoptar los estándares éticos aplicables”</w:t>
      </w:r>
      <w:r w:rsidR="00F8642D">
        <w:rPr>
          <w:rFonts w:ascii="Book Antiqua" w:eastAsia="Times New Roman" w:hAnsi="Book Antiqua" w:cs="Times New Roman"/>
          <w:sz w:val="24"/>
          <w:szCs w:val="24"/>
        </w:rPr>
        <w:t>.</w:t>
      </w:r>
    </w:p>
    <w:p w14:paraId="6B9B7301" w14:textId="77777777" w:rsidR="00195C80" w:rsidRPr="0005438A" w:rsidRDefault="00195C80" w:rsidP="0005438A">
      <w:pPr>
        <w:spacing w:after="0" w:line="240" w:lineRule="auto"/>
        <w:ind w:firstLine="708"/>
        <w:contextualSpacing/>
        <w:jc w:val="both"/>
        <w:rPr>
          <w:rFonts w:ascii="Book Antiqua" w:eastAsia="Times New Roman" w:hAnsi="Book Antiqua" w:cs="Times New Roman"/>
          <w:sz w:val="24"/>
          <w:szCs w:val="24"/>
        </w:rPr>
      </w:pPr>
    </w:p>
    <w:p w14:paraId="162BA9BB" w14:textId="60486D8D" w:rsidR="00195C80" w:rsidRPr="00195C80" w:rsidRDefault="00195C80" w:rsidP="0005438A">
      <w:pPr>
        <w:spacing w:after="0" w:line="240" w:lineRule="auto"/>
        <w:ind w:firstLine="708"/>
        <w:contextualSpacing/>
        <w:jc w:val="both"/>
        <w:rPr>
          <w:rFonts w:ascii="Book Antiqua" w:eastAsia="Times New Roman" w:hAnsi="Book Antiqua" w:cs="Times New Roman"/>
          <w:sz w:val="24"/>
          <w:szCs w:val="24"/>
        </w:rPr>
      </w:pPr>
      <w:r w:rsidRPr="00195C80">
        <w:rPr>
          <w:rFonts w:ascii="Book Antiqua" w:eastAsia="Times New Roman" w:hAnsi="Book Antiqua" w:cs="Times New Roman"/>
          <w:sz w:val="24"/>
          <w:szCs w:val="24"/>
        </w:rPr>
        <w:t>El memorial enfatiza la importancia de la transparencia gubernamental</w:t>
      </w:r>
      <w:r w:rsidR="00615F8C" w:rsidRPr="0005438A">
        <w:rPr>
          <w:rFonts w:ascii="Book Antiqua" w:eastAsia="Times New Roman" w:hAnsi="Book Antiqua" w:cs="Times New Roman"/>
          <w:sz w:val="24"/>
          <w:szCs w:val="24"/>
        </w:rPr>
        <w:t xml:space="preserve"> en armonía con la</w:t>
      </w:r>
      <w:r w:rsidRPr="00195C80">
        <w:rPr>
          <w:rFonts w:ascii="Book Antiqua" w:eastAsia="Times New Roman" w:hAnsi="Book Antiqua" w:cs="Times New Roman"/>
          <w:sz w:val="24"/>
          <w:szCs w:val="24"/>
        </w:rPr>
        <w:t xml:space="preserve"> Ley 141-2019. Según el proyecto, “todos los organismos gubernamentales enviarán al Instituto, para ser publicados en el portal de internet de este, toda la información relacionada a las finanzas del organismo gubernamental debidamente detallada por los renglones requeridos”</w:t>
      </w:r>
      <w:r w:rsidR="00F8642D">
        <w:rPr>
          <w:rFonts w:ascii="Book Antiqua" w:eastAsia="Times New Roman" w:hAnsi="Book Antiqua" w:cs="Times New Roman"/>
          <w:sz w:val="24"/>
          <w:szCs w:val="24"/>
        </w:rPr>
        <w:t>.</w:t>
      </w:r>
    </w:p>
    <w:p w14:paraId="241B1678" w14:textId="4B1B6F1E" w:rsidR="00195C80" w:rsidRPr="00195C80" w:rsidRDefault="00195C80" w:rsidP="0005438A">
      <w:pPr>
        <w:spacing w:after="0" w:line="240" w:lineRule="auto"/>
        <w:contextualSpacing/>
        <w:jc w:val="both"/>
        <w:rPr>
          <w:rFonts w:ascii="Book Antiqua" w:eastAsia="Times New Roman" w:hAnsi="Book Antiqua" w:cs="Times New Roman"/>
          <w:sz w:val="24"/>
          <w:szCs w:val="24"/>
        </w:rPr>
      </w:pPr>
    </w:p>
    <w:p w14:paraId="6CBEB0AB" w14:textId="5E9AE075" w:rsidR="00195C80" w:rsidRPr="0005438A" w:rsidRDefault="00195C80" w:rsidP="0005438A">
      <w:pPr>
        <w:spacing w:after="0" w:line="240" w:lineRule="auto"/>
        <w:ind w:firstLine="708"/>
        <w:contextualSpacing/>
        <w:jc w:val="both"/>
        <w:rPr>
          <w:rFonts w:ascii="Book Antiqua" w:eastAsia="Times New Roman" w:hAnsi="Book Antiqua" w:cs="Times New Roman"/>
          <w:sz w:val="24"/>
          <w:szCs w:val="24"/>
        </w:rPr>
      </w:pPr>
      <w:r w:rsidRPr="00195C80">
        <w:rPr>
          <w:rFonts w:ascii="Book Antiqua" w:eastAsia="Times New Roman" w:hAnsi="Book Antiqua" w:cs="Times New Roman"/>
          <w:sz w:val="24"/>
          <w:szCs w:val="24"/>
        </w:rPr>
        <w:t>Para la Contralora, estas enmiendas “corrigen y atemperan el marco jurídico que en la actualidad debe regir al Instituto, consolidando su rol como ente independiente encargado de garantizar la confiabilidad, objetividad y utilidad de las estadísticas oficiales”</w:t>
      </w:r>
      <w:r w:rsidR="006B1644">
        <w:rPr>
          <w:rFonts w:ascii="Book Antiqua" w:eastAsia="Times New Roman" w:hAnsi="Book Antiqua" w:cs="Times New Roman"/>
          <w:sz w:val="24"/>
          <w:szCs w:val="24"/>
        </w:rPr>
        <w:t>.</w:t>
      </w:r>
    </w:p>
    <w:p w14:paraId="0DF63B79" w14:textId="77777777" w:rsidR="0095458A" w:rsidRPr="0005438A" w:rsidRDefault="0095458A" w:rsidP="0005438A">
      <w:pPr>
        <w:spacing w:after="0" w:line="240" w:lineRule="auto"/>
        <w:ind w:firstLine="708"/>
        <w:contextualSpacing/>
        <w:jc w:val="both"/>
        <w:rPr>
          <w:rFonts w:ascii="Book Antiqua" w:eastAsia="Times New Roman" w:hAnsi="Book Antiqua" w:cs="Times New Roman"/>
          <w:sz w:val="24"/>
          <w:szCs w:val="24"/>
        </w:rPr>
      </w:pPr>
    </w:p>
    <w:p w14:paraId="03198396" w14:textId="669352A3" w:rsidR="00195C80" w:rsidRPr="00195C80" w:rsidRDefault="00195C80" w:rsidP="0005438A">
      <w:pPr>
        <w:spacing w:after="0" w:line="240" w:lineRule="auto"/>
        <w:ind w:firstLine="708"/>
        <w:contextualSpacing/>
        <w:jc w:val="both"/>
        <w:rPr>
          <w:rFonts w:ascii="Book Antiqua" w:eastAsia="Times New Roman" w:hAnsi="Book Antiqua" w:cs="Times New Roman"/>
          <w:sz w:val="24"/>
          <w:szCs w:val="24"/>
        </w:rPr>
      </w:pPr>
      <w:r w:rsidRPr="00195C80">
        <w:rPr>
          <w:rFonts w:ascii="Book Antiqua" w:eastAsia="Times New Roman" w:hAnsi="Book Antiqua" w:cs="Times New Roman"/>
          <w:sz w:val="24"/>
          <w:szCs w:val="24"/>
        </w:rPr>
        <w:t xml:space="preserve">No obstante, el </w:t>
      </w:r>
      <w:r w:rsidR="00615F8C" w:rsidRPr="0005438A">
        <w:rPr>
          <w:rFonts w:ascii="Book Antiqua" w:eastAsia="Times New Roman" w:hAnsi="Book Antiqua" w:cs="Times New Roman"/>
          <w:sz w:val="24"/>
          <w:szCs w:val="24"/>
        </w:rPr>
        <w:t>memorial señala</w:t>
      </w:r>
      <w:r w:rsidRPr="00195C80">
        <w:rPr>
          <w:rFonts w:ascii="Book Antiqua" w:eastAsia="Times New Roman" w:hAnsi="Book Antiqua" w:cs="Times New Roman"/>
          <w:sz w:val="24"/>
          <w:szCs w:val="24"/>
        </w:rPr>
        <w:t xml:space="preserve"> que una medida idéntica (P. de la C. 1448) fue previamente aprobada por Cámara y Senado, pero vetada por el Ejecutivo. El veto se debió a dos señalamientos: primero, “dice el título que se pretende disponer que el Gobernador incluirá en el presupuesto modelo los cálculos para los gastos corrientes de dicho Instituto, sin revisarlos</w:t>
      </w:r>
      <w:r w:rsidR="00BD538B">
        <w:rPr>
          <w:rFonts w:ascii="Book Antiqua" w:eastAsia="Times New Roman" w:hAnsi="Book Antiqua" w:cs="Times New Roman"/>
          <w:sz w:val="24"/>
          <w:szCs w:val="24"/>
        </w:rPr>
        <w:t xml:space="preserve">. Lo anterior no es posible </w:t>
      </w:r>
      <w:r w:rsidR="00A63B6A">
        <w:rPr>
          <w:rFonts w:ascii="Book Antiqua" w:eastAsia="Times New Roman" w:hAnsi="Book Antiqua" w:cs="Times New Roman"/>
          <w:sz w:val="24"/>
          <w:szCs w:val="24"/>
        </w:rPr>
        <w:t xml:space="preserve">ya </w:t>
      </w:r>
      <w:r w:rsidR="00BD538B">
        <w:rPr>
          <w:rFonts w:ascii="Book Antiqua" w:eastAsia="Times New Roman" w:hAnsi="Book Antiqua" w:cs="Times New Roman"/>
          <w:sz w:val="24"/>
          <w:szCs w:val="24"/>
        </w:rPr>
        <w:t>que implicaría que el</w:t>
      </w:r>
      <w:r w:rsidRPr="00195C80">
        <w:rPr>
          <w:rFonts w:ascii="Book Antiqua" w:eastAsia="Times New Roman" w:hAnsi="Book Antiqua" w:cs="Times New Roman"/>
          <w:sz w:val="24"/>
          <w:szCs w:val="24"/>
        </w:rPr>
        <w:t xml:space="preserve"> Ejecutivo renuncie a su facultad constitucional de revisar los datos presupuestarios</w:t>
      </w:r>
      <w:r w:rsidR="00BD538B">
        <w:rPr>
          <w:rFonts w:ascii="Book Antiqua" w:eastAsia="Times New Roman" w:hAnsi="Book Antiqua" w:cs="Times New Roman"/>
          <w:sz w:val="24"/>
          <w:szCs w:val="24"/>
        </w:rPr>
        <w:t>.</w:t>
      </w:r>
    </w:p>
    <w:p w14:paraId="04D9BCBB" w14:textId="3FBA0979" w:rsidR="00195C80" w:rsidRPr="00195C80" w:rsidRDefault="00195C80" w:rsidP="0005438A">
      <w:pPr>
        <w:spacing w:after="0" w:line="240" w:lineRule="auto"/>
        <w:ind w:firstLine="708"/>
        <w:contextualSpacing/>
        <w:jc w:val="both"/>
        <w:rPr>
          <w:rFonts w:ascii="Book Antiqua" w:eastAsia="Times New Roman" w:hAnsi="Book Antiqua" w:cs="Times New Roman"/>
          <w:sz w:val="24"/>
          <w:szCs w:val="24"/>
        </w:rPr>
      </w:pPr>
    </w:p>
    <w:p w14:paraId="3029FDFF" w14:textId="7EFF04EA" w:rsidR="00195C80" w:rsidRPr="0005438A" w:rsidRDefault="00195C80" w:rsidP="0005438A">
      <w:pPr>
        <w:spacing w:after="0" w:line="240" w:lineRule="auto"/>
        <w:ind w:firstLine="708"/>
        <w:contextualSpacing/>
        <w:jc w:val="both"/>
        <w:rPr>
          <w:rFonts w:ascii="Book Antiqua" w:eastAsia="Times New Roman" w:hAnsi="Book Antiqua" w:cs="Times New Roman"/>
          <w:sz w:val="24"/>
          <w:szCs w:val="24"/>
        </w:rPr>
      </w:pPr>
      <w:r w:rsidRPr="00195C80">
        <w:rPr>
          <w:rFonts w:ascii="Book Antiqua" w:eastAsia="Times New Roman" w:hAnsi="Book Antiqua" w:cs="Times New Roman"/>
          <w:sz w:val="24"/>
          <w:szCs w:val="24"/>
        </w:rPr>
        <w:t>Segundo, se advirtió “el riesgo de crear una duplicidad de funciones gubernamentales con respecto a los servicios que actualmente ofrecen la Oficina de Gerencia y Presupuesto y la Oficina de Ética Gubernamental”</w:t>
      </w:r>
      <w:r w:rsidR="00BD538B">
        <w:rPr>
          <w:rFonts w:ascii="Book Antiqua" w:eastAsia="Times New Roman" w:hAnsi="Book Antiqua" w:cs="Times New Roman"/>
          <w:sz w:val="24"/>
          <w:szCs w:val="24"/>
        </w:rPr>
        <w:t>.</w:t>
      </w:r>
    </w:p>
    <w:p w14:paraId="0EDC2274" w14:textId="77777777" w:rsidR="00615F8C" w:rsidRPr="0005438A" w:rsidRDefault="00615F8C" w:rsidP="0005438A">
      <w:pPr>
        <w:spacing w:after="0" w:line="240" w:lineRule="auto"/>
        <w:ind w:firstLine="708"/>
        <w:contextualSpacing/>
        <w:jc w:val="both"/>
        <w:rPr>
          <w:rFonts w:ascii="Book Antiqua" w:eastAsia="Times New Roman" w:hAnsi="Book Antiqua" w:cs="Times New Roman"/>
          <w:sz w:val="24"/>
          <w:szCs w:val="24"/>
        </w:rPr>
      </w:pPr>
    </w:p>
    <w:p w14:paraId="5C335622" w14:textId="3DCCB309" w:rsidR="00003D5A" w:rsidRPr="0005438A" w:rsidRDefault="00003D5A" w:rsidP="0005438A">
      <w:pPr>
        <w:spacing w:after="0" w:line="240" w:lineRule="auto"/>
        <w:ind w:firstLine="708"/>
        <w:contextualSpacing/>
        <w:jc w:val="both"/>
        <w:rPr>
          <w:rFonts w:ascii="Book Antiqua" w:eastAsia="Times New Roman" w:hAnsi="Book Antiqua" w:cs="Times New Roman"/>
          <w:sz w:val="24"/>
          <w:szCs w:val="24"/>
        </w:rPr>
      </w:pPr>
      <w:r w:rsidRPr="00003D5A">
        <w:rPr>
          <w:rFonts w:ascii="Book Antiqua" w:eastAsia="Times New Roman" w:hAnsi="Book Antiqua" w:cs="Times New Roman"/>
          <w:sz w:val="24"/>
          <w:szCs w:val="24"/>
        </w:rPr>
        <w:t>Por ello, la OCPR recomienda e</w:t>
      </w:r>
      <w:r w:rsidR="00615F8C" w:rsidRPr="0005438A">
        <w:rPr>
          <w:rFonts w:ascii="Book Antiqua" w:eastAsia="Times New Roman" w:hAnsi="Book Antiqua" w:cs="Times New Roman"/>
          <w:sz w:val="24"/>
          <w:szCs w:val="24"/>
        </w:rPr>
        <w:t>nmiendas y</w:t>
      </w:r>
      <w:r w:rsidRPr="0005438A">
        <w:rPr>
          <w:rFonts w:ascii="Book Antiqua" w:eastAsia="Times New Roman" w:hAnsi="Book Antiqua" w:cs="Times New Roman"/>
          <w:sz w:val="24"/>
          <w:szCs w:val="24"/>
        </w:rPr>
        <w:t xml:space="preserve"> sugiere que se consideren las opiniones de otras agencias clave, incluyendo el propio Instituto de Estadísticas, la OGP, la Oficina de Ética Gubernamental y la OATRH</w:t>
      </w:r>
      <w:r w:rsidR="00615F8C" w:rsidRPr="0005438A">
        <w:rPr>
          <w:rFonts w:ascii="Book Antiqua" w:eastAsia="Times New Roman" w:hAnsi="Book Antiqua" w:cs="Times New Roman"/>
          <w:sz w:val="24"/>
          <w:szCs w:val="24"/>
        </w:rPr>
        <w:t xml:space="preserve"> para la evaluación de la medida. </w:t>
      </w:r>
    </w:p>
    <w:p w14:paraId="79E3004C" w14:textId="77777777" w:rsidR="00003D5A" w:rsidRPr="0005438A" w:rsidRDefault="00003D5A" w:rsidP="0005438A">
      <w:pPr>
        <w:spacing w:after="0" w:line="240" w:lineRule="auto"/>
        <w:ind w:firstLine="708"/>
        <w:contextualSpacing/>
        <w:jc w:val="both"/>
        <w:rPr>
          <w:rFonts w:ascii="Book Antiqua" w:eastAsia="Times New Roman" w:hAnsi="Book Antiqua" w:cs="Times New Roman"/>
          <w:sz w:val="24"/>
          <w:szCs w:val="24"/>
        </w:rPr>
      </w:pPr>
    </w:p>
    <w:p w14:paraId="47049D10" w14:textId="6F6F660B" w:rsidR="00FF66DB" w:rsidRPr="0005438A" w:rsidRDefault="00003D5A" w:rsidP="0005438A">
      <w:pPr>
        <w:pStyle w:val="ListParagraph"/>
        <w:numPr>
          <w:ilvl w:val="0"/>
          <w:numId w:val="8"/>
        </w:numPr>
        <w:spacing w:after="0" w:line="240" w:lineRule="auto"/>
        <w:jc w:val="both"/>
        <w:rPr>
          <w:rFonts w:ascii="Book Antiqua" w:eastAsia="Times New Roman" w:hAnsi="Book Antiqua" w:cs="Times New Roman"/>
          <w:sz w:val="24"/>
          <w:szCs w:val="24"/>
        </w:rPr>
      </w:pPr>
      <w:r w:rsidRPr="0005438A">
        <w:rPr>
          <w:rFonts w:ascii="Book Antiqua" w:eastAsia="Times New Roman" w:hAnsi="Book Antiqua" w:cs="Times New Roman"/>
          <w:b/>
          <w:bCs/>
          <w:sz w:val="24"/>
          <w:szCs w:val="24"/>
        </w:rPr>
        <w:t>Instituto de Estadísticas de Puerto Rico (IEPR)</w:t>
      </w:r>
    </w:p>
    <w:p w14:paraId="011DC7FE" w14:textId="77777777" w:rsidR="00003D5A" w:rsidRPr="0005438A" w:rsidRDefault="00003D5A" w:rsidP="0005438A">
      <w:pPr>
        <w:pStyle w:val="ListParagraph"/>
        <w:spacing w:after="0" w:line="240" w:lineRule="auto"/>
        <w:ind w:left="1428"/>
        <w:jc w:val="both"/>
        <w:rPr>
          <w:rFonts w:ascii="Book Antiqua" w:eastAsia="Times New Roman" w:hAnsi="Book Antiqua" w:cs="Times New Roman"/>
          <w:sz w:val="24"/>
          <w:szCs w:val="24"/>
        </w:rPr>
      </w:pPr>
    </w:p>
    <w:p w14:paraId="24E79ECF" w14:textId="153C8602" w:rsidR="00003D5A" w:rsidRPr="00003D5A" w:rsidRDefault="00003D5A" w:rsidP="0005438A">
      <w:pPr>
        <w:spacing w:after="0" w:line="240" w:lineRule="auto"/>
        <w:ind w:firstLine="708"/>
        <w:contextualSpacing/>
        <w:jc w:val="both"/>
        <w:rPr>
          <w:rFonts w:ascii="Book Antiqua" w:eastAsia="Times New Roman" w:hAnsi="Book Antiqua" w:cs="Times New Roman"/>
          <w:sz w:val="24"/>
          <w:szCs w:val="24"/>
        </w:rPr>
      </w:pPr>
      <w:r w:rsidRPr="00003D5A">
        <w:rPr>
          <w:rFonts w:ascii="Book Antiqua" w:eastAsia="Times New Roman" w:hAnsi="Book Antiqua" w:cs="Times New Roman"/>
          <w:sz w:val="24"/>
          <w:szCs w:val="24"/>
        </w:rPr>
        <w:t>El Instituto señala que el propósito central de la medida es “fortalecer la autonomía administrativa y fiscal del Instituto de Estadísticas de Puerto Rico, clarificando y actualizando las exclusiones legales que garantizan su independencia operativa”</w:t>
      </w:r>
      <w:r w:rsidR="00BD538B">
        <w:rPr>
          <w:rFonts w:ascii="Book Antiqua" w:eastAsia="Times New Roman" w:hAnsi="Book Antiqua" w:cs="Times New Roman"/>
          <w:sz w:val="24"/>
          <w:szCs w:val="24"/>
        </w:rPr>
        <w:t>.</w:t>
      </w:r>
      <w:r w:rsidRPr="00003D5A">
        <w:rPr>
          <w:rFonts w:ascii="Book Antiqua" w:eastAsia="Times New Roman" w:hAnsi="Book Antiqua" w:cs="Times New Roman"/>
          <w:sz w:val="24"/>
          <w:szCs w:val="24"/>
        </w:rPr>
        <w:t xml:space="preserve"> Según el memorial, estas enmiendas consolidan su rol como ente independiente y lo alinean con “estándares internacionales de gobernanza estadística, lo que contribuye a una producción de datos más robusta, transparente y orientada a la toma de decisiones basada en evidencia”</w:t>
      </w:r>
      <w:r w:rsidR="00BD538B">
        <w:rPr>
          <w:rFonts w:ascii="Book Antiqua" w:eastAsia="Times New Roman" w:hAnsi="Book Antiqua" w:cs="Times New Roman"/>
          <w:sz w:val="24"/>
          <w:szCs w:val="24"/>
        </w:rPr>
        <w:t>.</w:t>
      </w:r>
    </w:p>
    <w:p w14:paraId="0A1E892F" w14:textId="2912AF7C" w:rsidR="005D75ED" w:rsidRPr="0005438A" w:rsidRDefault="005D75ED" w:rsidP="0005438A">
      <w:pPr>
        <w:spacing w:after="0" w:line="240" w:lineRule="auto"/>
        <w:ind w:firstLine="708"/>
        <w:contextualSpacing/>
        <w:jc w:val="both"/>
        <w:rPr>
          <w:rFonts w:ascii="Book Antiqua" w:eastAsia="Times New Roman" w:hAnsi="Book Antiqua" w:cs="Times New Roman"/>
          <w:sz w:val="24"/>
          <w:szCs w:val="24"/>
        </w:rPr>
      </w:pPr>
    </w:p>
    <w:p w14:paraId="19D421F3" w14:textId="0E1A9DD6" w:rsidR="00003D5A" w:rsidRPr="00003D5A" w:rsidRDefault="000A15FC" w:rsidP="0005438A">
      <w:pPr>
        <w:spacing w:after="0" w:line="240" w:lineRule="auto"/>
        <w:ind w:firstLine="708"/>
        <w:contextualSpacing/>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t>A</w:t>
      </w:r>
      <w:r>
        <w:rPr>
          <w:rFonts w:ascii="Book Antiqua" w:eastAsia="Times New Roman" w:hAnsi="Book Antiqua" w:cs="Times New Roman"/>
          <w:sz w:val="24"/>
          <w:szCs w:val="24"/>
        </w:rPr>
        <w:t>ñaden en su memorial</w:t>
      </w:r>
      <w:r w:rsidR="00003D5A" w:rsidRPr="00003D5A">
        <w:rPr>
          <w:rFonts w:ascii="Book Antiqua" w:eastAsia="Times New Roman" w:hAnsi="Book Antiqua" w:cs="Times New Roman"/>
          <w:sz w:val="24"/>
          <w:szCs w:val="24"/>
        </w:rPr>
        <w:t xml:space="preserve"> que la medida moderniza el marco legal y elimina trabas burocráticas, al actualizar referencias legales y excluir al Instituto de leyes que podrían afectar su independencia. </w:t>
      </w:r>
    </w:p>
    <w:p w14:paraId="3BEBD1B7" w14:textId="77777777" w:rsidR="00003D5A" w:rsidRPr="0005438A" w:rsidRDefault="00003D5A" w:rsidP="0005438A">
      <w:pPr>
        <w:spacing w:after="0" w:line="240" w:lineRule="auto"/>
        <w:ind w:firstLine="708"/>
        <w:contextualSpacing/>
        <w:jc w:val="both"/>
        <w:rPr>
          <w:rFonts w:ascii="Book Antiqua" w:eastAsia="Times New Roman" w:hAnsi="Book Antiqua" w:cs="Times New Roman"/>
          <w:sz w:val="24"/>
          <w:szCs w:val="24"/>
        </w:rPr>
      </w:pPr>
    </w:p>
    <w:p w14:paraId="3CEB3E63" w14:textId="2356B1B9" w:rsidR="00003D5A" w:rsidRPr="00003D5A" w:rsidRDefault="00003D5A" w:rsidP="0005438A">
      <w:pPr>
        <w:spacing w:after="0" w:line="240" w:lineRule="auto"/>
        <w:ind w:firstLine="708"/>
        <w:contextualSpacing/>
        <w:jc w:val="both"/>
        <w:rPr>
          <w:rFonts w:ascii="Book Antiqua" w:eastAsia="Times New Roman" w:hAnsi="Book Antiqua" w:cs="Times New Roman"/>
          <w:sz w:val="24"/>
          <w:szCs w:val="24"/>
        </w:rPr>
      </w:pPr>
      <w:r w:rsidRPr="00003D5A">
        <w:rPr>
          <w:rFonts w:ascii="Book Antiqua" w:eastAsia="Times New Roman" w:hAnsi="Book Antiqua" w:cs="Times New Roman"/>
          <w:sz w:val="24"/>
          <w:szCs w:val="24"/>
        </w:rPr>
        <w:t>Otro aspecto importante es la facultad de allegar recursos adicionales. El memorial explica que el proyecto “propone enmendar el Artículo 6 de la Ley 209-2003 para que se permita al Instituto solicitar, aceptar y recibir donativos y fijar y cobrar derechos razonables… para sufragar los gastos operacionales y funcionamiento del Instituto y las actividades estadísticas que el Instituto determine”</w:t>
      </w:r>
      <w:r w:rsidR="0013334C">
        <w:rPr>
          <w:rFonts w:ascii="Book Antiqua" w:eastAsia="Times New Roman" w:hAnsi="Book Antiqua" w:cs="Times New Roman"/>
          <w:sz w:val="24"/>
          <w:szCs w:val="24"/>
        </w:rPr>
        <w:t>.</w:t>
      </w:r>
    </w:p>
    <w:p w14:paraId="52391C07" w14:textId="77777777" w:rsidR="00003D5A" w:rsidRPr="0005438A" w:rsidRDefault="00003D5A" w:rsidP="0005438A">
      <w:pPr>
        <w:spacing w:after="0" w:line="240" w:lineRule="auto"/>
        <w:ind w:firstLine="708"/>
        <w:contextualSpacing/>
        <w:jc w:val="both"/>
        <w:rPr>
          <w:rFonts w:ascii="Book Antiqua" w:eastAsia="Times New Roman" w:hAnsi="Book Antiqua" w:cs="Times New Roman"/>
          <w:sz w:val="24"/>
          <w:szCs w:val="24"/>
        </w:rPr>
      </w:pPr>
    </w:p>
    <w:p w14:paraId="634AC99C" w14:textId="49A488D6" w:rsidR="00003D5A" w:rsidRPr="0005438A" w:rsidRDefault="00003D5A" w:rsidP="0005438A">
      <w:pPr>
        <w:spacing w:after="0" w:line="240" w:lineRule="auto"/>
        <w:ind w:firstLine="708"/>
        <w:contextualSpacing/>
        <w:jc w:val="both"/>
        <w:rPr>
          <w:rFonts w:ascii="Book Antiqua" w:eastAsia="Times New Roman" w:hAnsi="Book Antiqua" w:cs="Times New Roman"/>
          <w:sz w:val="24"/>
          <w:szCs w:val="24"/>
        </w:rPr>
      </w:pPr>
      <w:r w:rsidRPr="00003D5A">
        <w:rPr>
          <w:rFonts w:ascii="Book Antiqua" w:eastAsia="Times New Roman" w:hAnsi="Book Antiqua" w:cs="Times New Roman"/>
          <w:sz w:val="24"/>
          <w:szCs w:val="24"/>
        </w:rPr>
        <w:t>Respecto al manejo administrativo, el IEPR apoya el aumento del umbral para adquisiciones, afirmando que “elevar el límite de $36,000 a $100,000 es necesario para agilizar los procesos administrativos y operacionales del Instituto, en consonancia con la inflación y la realidad del mercado actual”</w:t>
      </w:r>
      <w:r w:rsidR="0013334C">
        <w:rPr>
          <w:rFonts w:ascii="Book Antiqua" w:eastAsia="Times New Roman" w:hAnsi="Book Antiqua" w:cs="Times New Roman"/>
          <w:sz w:val="24"/>
          <w:szCs w:val="24"/>
        </w:rPr>
        <w:t>.</w:t>
      </w:r>
      <w:r w:rsidRPr="00003D5A">
        <w:rPr>
          <w:rFonts w:ascii="Book Antiqua" w:eastAsia="Times New Roman" w:hAnsi="Book Antiqua" w:cs="Times New Roman"/>
          <w:sz w:val="24"/>
          <w:szCs w:val="24"/>
        </w:rPr>
        <w:t xml:space="preserve"> Asimismo, el Instituto no objeta la inclusión de estándares éticos, destacando que “la confianza pública en las estadísticas oficiales depende, en gran medida, de la conducta ética de quienes las generan y utilizan”</w:t>
      </w:r>
      <w:r w:rsidR="0013334C">
        <w:rPr>
          <w:rFonts w:ascii="Book Antiqua" w:eastAsia="Times New Roman" w:hAnsi="Book Antiqua" w:cs="Times New Roman"/>
          <w:sz w:val="24"/>
          <w:szCs w:val="24"/>
        </w:rPr>
        <w:t>.</w:t>
      </w:r>
    </w:p>
    <w:p w14:paraId="4DEA49ED" w14:textId="77777777" w:rsidR="00615F8C" w:rsidRPr="00003D5A" w:rsidRDefault="00615F8C" w:rsidP="0005438A">
      <w:pPr>
        <w:spacing w:after="0" w:line="240" w:lineRule="auto"/>
        <w:ind w:firstLine="708"/>
        <w:contextualSpacing/>
        <w:jc w:val="both"/>
        <w:rPr>
          <w:rFonts w:ascii="Book Antiqua" w:eastAsia="Times New Roman" w:hAnsi="Book Antiqua" w:cs="Times New Roman"/>
          <w:sz w:val="24"/>
          <w:szCs w:val="24"/>
        </w:rPr>
      </w:pPr>
    </w:p>
    <w:p w14:paraId="3BB5FCCC" w14:textId="2C59712A" w:rsidR="000F35F9" w:rsidRPr="0005438A" w:rsidRDefault="002A13AC" w:rsidP="006B6C71">
      <w:pPr>
        <w:spacing w:after="0" w:line="240" w:lineRule="auto"/>
        <w:ind w:firstLine="708"/>
        <w:contextualSpacing/>
        <w:jc w:val="both"/>
        <w:rPr>
          <w:rFonts w:ascii="Book Antiqua" w:eastAsia="Times New Roman" w:hAnsi="Book Antiqua" w:cs="Times New Roman"/>
          <w:sz w:val="24"/>
          <w:szCs w:val="24"/>
        </w:rPr>
      </w:pPr>
      <w:r w:rsidRPr="002A13AC">
        <w:rPr>
          <w:rFonts w:ascii="Book Antiqua" w:eastAsia="Times New Roman" w:hAnsi="Book Antiqua" w:cs="Times New Roman"/>
          <w:sz w:val="24"/>
          <w:szCs w:val="24"/>
        </w:rPr>
        <w:t>En cuanto a los servicios técnicos, se apoya la creación de una nueva unidad de trabajo, ya que “esta disposición permite atender, de manera estructurad</w:t>
      </w:r>
      <w:r w:rsidR="00615F8C" w:rsidRPr="0005438A">
        <w:rPr>
          <w:rFonts w:ascii="Book Antiqua" w:eastAsia="Times New Roman" w:hAnsi="Book Antiqua" w:cs="Times New Roman"/>
          <w:sz w:val="24"/>
          <w:szCs w:val="24"/>
        </w:rPr>
        <w:t>a</w:t>
      </w:r>
      <w:r w:rsidR="008532F0">
        <w:rPr>
          <w:rFonts w:ascii="Book Antiqua" w:eastAsia="Times New Roman" w:hAnsi="Book Antiqua" w:cs="Times New Roman"/>
          <w:sz w:val="24"/>
          <w:szCs w:val="24"/>
        </w:rPr>
        <w:t>,</w:t>
      </w:r>
      <w:r w:rsidR="00615F8C" w:rsidRPr="0005438A">
        <w:rPr>
          <w:rFonts w:ascii="Book Antiqua" w:eastAsia="Times New Roman" w:hAnsi="Book Antiqua" w:cs="Times New Roman"/>
          <w:sz w:val="24"/>
          <w:szCs w:val="24"/>
        </w:rPr>
        <w:t xml:space="preserve"> </w:t>
      </w:r>
      <w:r w:rsidRPr="002A13AC">
        <w:rPr>
          <w:rFonts w:ascii="Book Antiqua" w:eastAsia="Times New Roman" w:hAnsi="Book Antiqua" w:cs="Times New Roman"/>
          <w:sz w:val="24"/>
          <w:szCs w:val="24"/>
        </w:rPr>
        <w:t>solicitudes de servicios especializados tales como consultas, estudios, adiestramientos, análisis técnicos y peritajes”</w:t>
      </w:r>
      <w:r w:rsidR="00870FD0">
        <w:rPr>
          <w:rFonts w:ascii="Book Antiqua" w:eastAsia="Times New Roman" w:hAnsi="Book Antiqua" w:cs="Times New Roman"/>
          <w:sz w:val="24"/>
          <w:szCs w:val="24"/>
        </w:rPr>
        <w:t>.</w:t>
      </w:r>
      <w:r w:rsidR="006B6C71">
        <w:rPr>
          <w:rFonts w:ascii="Book Antiqua" w:eastAsia="Times New Roman" w:hAnsi="Book Antiqua" w:cs="Times New Roman"/>
          <w:sz w:val="24"/>
          <w:szCs w:val="24"/>
        </w:rPr>
        <w:t xml:space="preserve"> </w:t>
      </w:r>
      <w:r w:rsidR="00760544">
        <w:rPr>
          <w:rFonts w:ascii="Book Antiqua" w:eastAsia="Times New Roman" w:hAnsi="Book Antiqua" w:cs="Times New Roman"/>
          <w:sz w:val="24"/>
          <w:szCs w:val="24"/>
        </w:rPr>
        <w:t xml:space="preserve">Pese a lo anterior, </w:t>
      </w:r>
      <w:r w:rsidRPr="0005438A">
        <w:rPr>
          <w:rFonts w:ascii="Book Antiqua" w:eastAsia="Times New Roman" w:hAnsi="Book Antiqua" w:cs="Times New Roman"/>
          <w:sz w:val="24"/>
          <w:szCs w:val="24"/>
        </w:rPr>
        <w:t>, el Instituto advierte que para cumplir con estas funciones se requieren recursos adicionales de personal y presupuesto.</w:t>
      </w:r>
    </w:p>
    <w:p w14:paraId="58A00BF4" w14:textId="77777777" w:rsidR="002A13AC" w:rsidRPr="0005438A" w:rsidRDefault="002A13AC" w:rsidP="0005438A">
      <w:pPr>
        <w:spacing w:after="0" w:line="240" w:lineRule="auto"/>
        <w:ind w:firstLine="708"/>
        <w:contextualSpacing/>
        <w:jc w:val="both"/>
        <w:rPr>
          <w:rFonts w:ascii="Book Antiqua" w:eastAsia="Times New Roman" w:hAnsi="Book Antiqua" w:cs="Times New Roman"/>
          <w:sz w:val="24"/>
          <w:szCs w:val="24"/>
        </w:rPr>
      </w:pPr>
    </w:p>
    <w:p w14:paraId="2DF4F5ED" w14:textId="734CE96C" w:rsidR="002A13AC" w:rsidRPr="0005438A" w:rsidRDefault="00864657" w:rsidP="0005438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lastRenderedPageBreak/>
        <w:t>E</w:t>
      </w:r>
      <w:r w:rsidR="002A13AC" w:rsidRPr="002A13AC">
        <w:rPr>
          <w:rFonts w:ascii="Book Antiqua" w:eastAsia="Times New Roman" w:hAnsi="Book Antiqua" w:cs="Times New Roman"/>
          <w:sz w:val="24"/>
          <w:szCs w:val="24"/>
        </w:rPr>
        <w:t>l IEPR reconoce la relevancia de que las agencias publiquen su información financiera en la página del Instituto, pero advierte que “la implementación de este sistema en el Instituto podría ser una duplicidad de funciones y no se alinea del todo con las competencias estatutarias conferidas al Instituto”</w:t>
      </w:r>
      <w:r>
        <w:rPr>
          <w:rFonts w:ascii="Book Antiqua" w:eastAsia="Times New Roman" w:hAnsi="Book Antiqua" w:cs="Times New Roman"/>
          <w:sz w:val="24"/>
          <w:szCs w:val="24"/>
        </w:rPr>
        <w:t>.</w:t>
      </w:r>
    </w:p>
    <w:p w14:paraId="3BC3EEC0" w14:textId="77777777" w:rsidR="00615F8C" w:rsidRPr="002A13AC" w:rsidRDefault="00615F8C" w:rsidP="0005438A">
      <w:pPr>
        <w:spacing w:after="0" w:line="240" w:lineRule="auto"/>
        <w:ind w:firstLine="708"/>
        <w:contextualSpacing/>
        <w:jc w:val="both"/>
        <w:rPr>
          <w:rFonts w:ascii="Book Antiqua" w:eastAsia="Times New Roman" w:hAnsi="Book Antiqua" w:cs="Times New Roman"/>
          <w:sz w:val="24"/>
          <w:szCs w:val="24"/>
        </w:rPr>
      </w:pPr>
    </w:p>
    <w:p w14:paraId="5B19EC0B" w14:textId="6B91158F" w:rsidR="002A13AC" w:rsidRPr="0005438A" w:rsidRDefault="00615F8C" w:rsidP="0005438A">
      <w:pPr>
        <w:spacing w:after="0" w:line="240" w:lineRule="auto"/>
        <w:ind w:firstLine="708"/>
        <w:contextualSpacing/>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t>Relacionada al</w:t>
      </w:r>
      <w:r w:rsidR="002A13AC" w:rsidRPr="002A13AC">
        <w:rPr>
          <w:rFonts w:ascii="Book Antiqua" w:eastAsia="Times New Roman" w:hAnsi="Book Antiqua" w:cs="Times New Roman"/>
          <w:sz w:val="24"/>
          <w:szCs w:val="24"/>
        </w:rPr>
        <w:t xml:space="preserve"> análisis fiscal</w:t>
      </w:r>
      <w:r w:rsidR="006B6C71">
        <w:rPr>
          <w:rFonts w:ascii="Book Antiqua" w:eastAsia="Times New Roman" w:hAnsi="Book Antiqua" w:cs="Times New Roman"/>
          <w:sz w:val="24"/>
          <w:szCs w:val="24"/>
        </w:rPr>
        <w:t>,</w:t>
      </w:r>
      <w:r w:rsidR="002A13AC" w:rsidRPr="002A13AC">
        <w:rPr>
          <w:rFonts w:ascii="Book Antiqua" w:eastAsia="Times New Roman" w:hAnsi="Book Antiqua" w:cs="Times New Roman"/>
          <w:sz w:val="24"/>
          <w:szCs w:val="24"/>
        </w:rPr>
        <w:t xml:space="preserve"> </w:t>
      </w:r>
      <w:r w:rsidRPr="0005438A">
        <w:rPr>
          <w:rFonts w:ascii="Book Antiqua" w:eastAsia="Times New Roman" w:hAnsi="Book Antiqua" w:cs="Times New Roman"/>
          <w:sz w:val="24"/>
          <w:szCs w:val="24"/>
        </w:rPr>
        <w:t>el Instituto es</w:t>
      </w:r>
      <w:r w:rsidR="002A13AC" w:rsidRPr="002A13AC">
        <w:rPr>
          <w:rFonts w:ascii="Book Antiqua" w:eastAsia="Times New Roman" w:hAnsi="Book Antiqua" w:cs="Times New Roman"/>
          <w:sz w:val="24"/>
          <w:szCs w:val="24"/>
        </w:rPr>
        <w:t xml:space="preserve">tima que los cambios propuestos costarían alrededor de “$1.4 millones </w:t>
      </w:r>
      <w:r w:rsidRPr="0005438A">
        <w:rPr>
          <w:rFonts w:ascii="Book Antiqua" w:eastAsia="Times New Roman" w:hAnsi="Book Antiqua" w:cs="Times New Roman"/>
          <w:sz w:val="24"/>
          <w:szCs w:val="24"/>
        </w:rPr>
        <w:t>anualmente</w:t>
      </w:r>
      <w:r w:rsidR="00B220DC">
        <w:rPr>
          <w:rFonts w:ascii="Book Antiqua" w:eastAsia="Times New Roman" w:hAnsi="Book Antiqua" w:cs="Times New Roman"/>
          <w:sz w:val="24"/>
          <w:szCs w:val="24"/>
        </w:rPr>
        <w:t>”</w:t>
      </w:r>
      <w:r w:rsidRPr="0005438A">
        <w:rPr>
          <w:rFonts w:ascii="Book Antiqua" w:eastAsia="Times New Roman" w:hAnsi="Book Antiqua" w:cs="Times New Roman"/>
          <w:sz w:val="24"/>
          <w:szCs w:val="24"/>
        </w:rPr>
        <w:t>. Por lo anterior, e</w:t>
      </w:r>
      <w:r w:rsidR="002A13AC" w:rsidRPr="002A13AC">
        <w:rPr>
          <w:rFonts w:ascii="Book Antiqua" w:eastAsia="Times New Roman" w:hAnsi="Book Antiqua" w:cs="Times New Roman"/>
          <w:sz w:val="24"/>
          <w:szCs w:val="24"/>
        </w:rPr>
        <w:t xml:space="preserve">l Instituto de Estadísticas de Puerto Rico apoya, con recomendaciones </w:t>
      </w:r>
      <w:r w:rsidR="002A13AC" w:rsidRPr="0071146C">
        <w:rPr>
          <w:rFonts w:ascii="Book Antiqua" w:eastAsia="Times New Roman" w:hAnsi="Book Antiqua" w:cs="Times New Roman"/>
          <w:b/>
          <w:bCs/>
          <w:sz w:val="24"/>
          <w:szCs w:val="24"/>
        </w:rPr>
        <w:t>y sujeto a la otorgación del presupuesto</w:t>
      </w:r>
      <w:r w:rsidR="002A13AC" w:rsidRPr="002A13AC">
        <w:rPr>
          <w:rFonts w:ascii="Book Antiqua" w:eastAsia="Times New Roman" w:hAnsi="Book Antiqua" w:cs="Times New Roman"/>
          <w:sz w:val="24"/>
          <w:szCs w:val="24"/>
        </w:rPr>
        <w:t xml:space="preserve"> necesario, el P. de la C. 73, convencido de que sus disposiciones son imprescindibles para viabilizar el cumplimiento efectivo de su misión”</w:t>
      </w:r>
      <w:r w:rsidR="0071146C">
        <w:rPr>
          <w:rFonts w:ascii="Book Antiqua" w:eastAsia="Times New Roman" w:hAnsi="Book Antiqua" w:cs="Times New Roman"/>
          <w:sz w:val="24"/>
          <w:szCs w:val="24"/>
        </w:rPr>
        <w:t>.</w:t>
      </w:r>
    </w:p>
    <w:p w14:paraId="784FDEDE" w14:textId="77777777" w:rsidR="00615F8C" w:rsidRPr="002A13AC" w:rsidRDefault="00615F8C" w:rsidP="0005438A">
      <w:pPr>
        <w:spacing w:after="0" w:line="240" w:lineRule="auto"/>
        <w:ind w:firstLine="708"/>
        <w:contextualSpacing/>
        <w:jc w:val="both"/>
        <w:rPr>
          <w:rFonts w:ascii="Book Antiqua" w:eastAsia="Times New Roman" w:hAnsi="Book Antiqua" w:cs="Times New Roman"/>
          <w:sz w:val="24"/>
          <w:szCs w:val="24"/>
        </w:rPr>
      </w:pPr>
    </w:p>
    <w:p w14:paraId="48C6951E" w14:textId="580274AC" w:rsidR="002A13AC" w:rsidRPr="006B6C71" w:rsidRDefault="009341FA" w:rsidP="0005438A">
      <w:pPr>
        <w:pStyle w:val="ListParagraph"/>
        <w:numPr>
          <w:ilvl w:val="0"/>
          <w:numId w:val="8"/>
        </w:numPr>
        <w:spacing w:after="0" w:line="240" w:lineRule="auto"/>
        <w:jc w:val="both"/>
        <w:rPr>
          <w:rFonts w:ascii="Book Antiqua" w:eastAsia="Times New Roman" w:hAnsi="Book Antiqua" w:cs="Times New Roman"/>
          <w:b/>
          <w:bCs/>
          <w:sz w:val="24"/>
          <w:szCs w:val="24"/>
        </w:rPr>
      </w:pPr>
      <w:r w:rsidRPr="006B6C71">
        <w:rPr>
          <w:rFonts w:ascii="Book Antiqua" w:eastAsia="Times New Roman" w:hAnsi="Book Antiqua" w:cs="Times New Roman"/>
          <w:b/>
          <w:bCs/>
          <w:sz w:val="24"/>
          <w:szCs w:val="24"/>
        </w:rPr>
        <w:t>Oficina del Inspector General (OIG)</w:t>
      </w:r>
    </w:p>
    <w:p w14:paraId="1734BAB4" w14:textId="77777777" w:rsidR="00615F8C" w:rsidRPr="0005438A" w:rsidRDefault="00615F8C" w:rsidP="0005438A">
      <w:pPr>
        <w:pStyle w:val="ListParagraph"/>
        <w:spacing w:after="0" w:line="240" w:lineRule="auto"/>
        <w:ind w:left="1428"/>
        <w:jc w:val="both"/>
        <w:rPr>
          <w:rFonts w:ascii="Book Antiqua" w:eastAsia="Times New Roman" w:hAnsi="Book Antiqua" w:cs="Times New Roman"/>
          <w:sz w:val="24"/>
          <w:szCs w:val="24"/>
        </w:rPr>
      </w:pPr>
    </w:p>
    <w:p w14:paraId="6A9A3A7D" w14:textId="4C38BE7D" w:rsidR="009341FA" w:rsidRPr="009341FA" w:rsidRDefault="009341FA" w:rsidP="0071146C">
      <w:pPr>
        <w:spacing w:after="0" w:line="240" w:lineRule="auto"/>
        <w:ind w:firstLine="708"/>
        <w:jc w:val="both"/>
        <w:rPr>
          <w:rFonts w:ascii="Book Antiqua" w:eastAsia="Times New Roman" w:hAnsi="Book Antiqua" w:cs="Times New Roman"/>
          <w:sz w:val="24"/>
          <w:szCs w:val="24"/>
          <w:lang w:eastAsia="es-PR"/>
        </w:rPr>
      </w:pPr>
      <w:r w:rsidRPr="009341FA">
        <w:rPr>
          <w:rFonts w:ascii="Book Antiqua" w:eastAsia="Times New Roman" w:hAnsi="Book Antiqua" w:cs="Times New Roman"/>
          <w:sz w:val="24"/>
          <w:szCs w:val="24"/>
          <w:lang w:eastAsia="es-PR"/>
        </w:rPr>
        <w:t>La OIG comienza resaltando que “las estadísticas constituyen una herramienta fundamental para lograr un gobierno eficiente, con una sana administración y con un uso inteligente tanto de sus recursos humanos como presupuestarios”</w:t>
      </w:r>
      <w:r w:rsidR="0071146C">
        <w:rPr>
          <w:rFonts w:ascii="Book Antiqua" w:eastAsia="Times New Roman" w:hAnsi="Book Antiqua" w:cs="Times New Roman"/>
          <w:sz w:val="24"/>
          <w:szCs w:val="24"/>
          <w:lang w:eastAsia="es-PR"/>
        </w:rPr>
        <w:t>.</w:t>
      </w:r>
      <w:r w:rsidRPr="0005438A">
        <w:rPr>
          <w:rFonts w:ascii="Book Antiqua" w:eastAsia="Times New Roman" w:hAnsi="Book Antiqua" w:cs="Times New Roman"/>
          <w:sz w:val="24"/>
          <w:szCs w:val="24"/>
          <w:lang w:eastAsia="es-PR"/>
        </w:rPr>
        <w:t xml:space="preserve"> </w:t>
      </w:r>
      <w:r w:rsidRPr="009341FA">
        <w:rPr>
          <w:rFonts w:ascii="Book Antiqua" w:eastAsia="Times New Roman" w:hAnsi="Book Antiqua" w:cs="Times New Roman"/>
          <w:sz w:val="24"/>
          <w:szCs w:val="24"/>
          <w:lang w:eastAsia="es-PR"/>
        </w:rPr>
        <w:t>Desde esa perspectiva, entiende que las enmiendas propuestas en el proyecto son “altamente favorables” para el fortalecimiento de la gestión pública y la confiabilidad de los datos</w:t>
      </w:r>
      <w:r w:rsidR="0095458A" w:rsidRPr="0005438A">
        <w:rPr>
          <w:rFonts w:ascii="Book Antiqua" w:eastAsia="Times New Roman" w:hAnsi="Book Antiqua" w:cs="Times New Roman"/>
          <w:sz w:val="24"/>
          <w:szCs w:val="24"/>
          <w:lang w:eastAsia="es-PR"/>
        </w:rPr>
        <w:t>.</w:t>
      </w:r>
    </w:p>
    <w:p w14:paraId="0C6E27C1" w14:textId="7ACA385F" w:rsidR="009341FA" w:rsidRPr="0005438A" w:rsidRDefault="009341FA" w:rsidP="0071146C">
      <w:pPr>
        <w:spacing w:after="0" w:line="240" w:lineRule="auto"/>
        <w:jc w:val="both"/>
        <w:rPr>
          <w:rFonts w:ascii="Book Antiqua" w:eastAsia="Times New Roman" w:hAnsi="Book Antiqua" w:cs="Times New Roman"/>
          <w:sz w:val="24"/>
          <w:szCs w:val="24"/>
        </w:rPr>
      </w:pPr>
    </w:p>
    <w:p w14:paraId="48428F10" w14:textId="37F09FE5" w:rsidR="009341FA" w:rsidRPr="009341FA" w:rsidRDefault="009341FA" w:rsidP="0071146C">
      <w:pPr>
        <w:spacing w:after="0" w:line="240" w:lineRule="auto"/>
        <w:ind w:firstLine="708"/>
        <w:jc w:val="both"/>
        <w:rPr>
          <w:rFonts w:ascii="Book Antiqua" w:eastAsia="Times New Roman" w:hAnsi="Book Antiqua" w:cs="Times New Roman"/>
          <w:sz w:val="24"/>
          <w:szCs w:val="24"/>
          <w:lang w:eastAsia="es-PR"/>
        </w:rPr>
      </w:pPr>
      <w:r w:rsidRPr="009341FA">
        <w:rPr>
          <w:rFonts w:ascii="Book Antiqua" w:eastAsia="Times New Roman" w:hAnsi="Book Antiqua" w:cs="Times New Roman"/>
          <w:sz w:val="24"/>
          <w:szCs w:val="24"/>
          <w:lang w:eastAsia="es-PR"/>
        </w:rPr>
        <w:t>Uno de los aspectos centrales que apoya la OIG es la inclusión de estándares éticos en el Artículo 8 de la Ley 209-2003. El memorial señala que esta disposición “busca establecer los estándares éticos aplicables a toda persona que labore en las unidades estadísticas o que asesore, intervenga o colabore con el Servicio de Producción Estadística del Estado Libre Asociado de Puerto Rico”, lo que fortalece “la integridad y confiabilidad de los datos producidos”</w:t>
      </w:r>
      <w:r w:rsidR="0071146C">
        <w:rPr>
          <w:rFonts w:ascii="Book Antiqua" w:eastAsia="Times New Roman" w:hAnsi="Book Antiqua" w:cs="Times New Roman"/>
          <w:sz w:val="24"/>
          <w:szCs w:val="24"/>
          <w:lang w:eastAsia="es-PR"/>
        </w:rPr>
        <w:t>.</w:t>
      </w:r>
    </w:p>
    <w:p w14:paraId="7CE7FAC6" w14:textId="77777777" w:rsidR="009341FA" w:rsidRPr="0005438A" w:rsidRDefault="009341FA" w:rsidP="0071146C">
      <w:pPr>
        <w:spacing w:after="0" w:line="240" w:lineRule="auto"/>
        <w:jc w:val="both"/>
        <w:rPr>
          <w:rFonts w:ascii="Book Antiqua" w:eastAsia="Times New Roman" w:hAnsi="Book Antiqua" w:cs="Times New Roman"/>
          <w:sz w:val="24"/>
          <w:szCs w:val="24"/>
        </w:rPr>
      </w:pPr>
    </w:p>
    <w:p w14:paraId="2969314E" w14:textId="48D927F7" w:rsidR="009341FA" w:rsidRPr="0005438A" w:rsidRDefault="009341FA" w:rsidP="0071146C">
      <w:pPr>
        <w:spacing w:after="0" w:line="240" w:lineRule="auto"/>
        <w:ind w:firstLine="708"/>
        <w:jc w:val="both"/>
        <w:rPr>
          <w:rFonts w:ascii="Book Antiqua" w:eastAsia="Times New Roman" w:hAnsi="Book Antiqua" w:cs="Times New Roman"/>
          <w:sz w:val="24"/>
          <w:szCs w:val="24"/>
        </w:rPr>
      </w:pPr>
      <w:r w:rsidRPr="009341FA">
        <w:rPr>
          <w:rFonts w:ascii="Book Antiqua" w:eastAsia="Times New Roman" w:hAnsi="Book Antiqua" w:cs="Times New Roman"/>
          <w:sz w:val="24"/>
          <w:szCs w:val="24"/>
        </w:rPr>
        <w:t xml:space="preserve">En relación con </w:t>
      </w:r>
      <w:r w:rsidR="00BE1318">
        <w:rPr>
          <w:rFonts w:ascii="Book Antiqua" w:eastAsia="Times New Roman" w:hAnsi="Book Antiqua" w:cs="Times New Roman"/>
          <w:sz w:val="24"/>
          <w:szCs w:val="24"/>
        </w:rPr>
        <w:t xml:space="preserve">la enmienda propuesta al </w:t>
      </w:r>
      <w:r w:rsidRPr="009341FA">
        <w:rPr>
          <w:rFonts w:ascii="Book Antiqua" w:eastAsia="Times New Roman" w:hAnsi="Book Antiqua" w:cs="Times New Roman"/>
          <w:sz w:val="24"/>
          <w:szCs w:val="24"/>
        </w:rPr>
        <w:t>Artículo 13, el memorial</w:t>
      </w:r>
      <w:r w:rsidR="00BE1318">
        <w:rPr>
          <w:rFonts w:ascii="Book Antiqua" w:eastAsia="Times New Roman" w:hAnsi="Book Antiqua" w:cs="Times New Roman"/>
          <w:sz w:val="24"/>
          <w:szCs w:val="24"/>
        </w:rPr>
        <w:t xml:space="preserve"> de la OIG</w:t>
      </w:r>
      <w:r w:rsidRPr="009341FA">
        <w:rPr>
          <w:rFonts w:ascii="Book Antiqua" w:eastAsia="Times New Roman" w:hAnsi="Book Antiqua" w:cs="Times New Roman"/>
          <w:sz w:val="24"/>
          <w:szCs w:val="24"/>
        </w:rPr>
        <w:t xml:space="preserve"> destaca la importancia de la transparencia. La</w:t>
      </w:r>
      <w:r w:rsidR="00BE1318">
        <w:rPr>
          <w:rFonts w:ascii="Book Antiqua" w:eastAsia="Times New Roman" w:hAnsi="Book Antiqua" w:cs="Times New Roman"/>
          <w:sz w:val="24"/>
          <w:szCs w:val="24"/>
        </w:rPr>
        <w:t xml:space="preserve"> agencia</w:t>
      </w:r>
      <w:r w:rsidRPr="009341FA">
        <w:rPr>
          <w:rFonts w:ascii="Book Antiqua" w:eastAsia="Times New Roman" w:hAnsi="Book Antiqua" w:cs="Times New Roman"/>
          <w:sz w:val="24"/>
          <w:szCs w:val="24"/>
        </w:rPr>
        <w:t xml:space="preserve"> indica que “favorece que sea el personal experto del Instituto quien asuma la responsabilidad de la publicación de la información contable gubernamental, asegurando así la generación de una base histórica de datos”</w:t>
      </w:r>
      <w:r w:rsidR="00BE1318">
        <w:rPr>
          <w:rFonts w:ascii="Book Antiqua" w:eastAsia="Times New Roman" w:hAnsi="Book Antiqua" w:cs="Times New Roman"/>
          <w:sz w:val="24"/>
          <w:szCs w:val="24"/>
        </w:rPr>
        <w:t>.</w:t>
      </w:r>
      <w:r w:rsidRPr="0005438A">
        <w:rPr>
          <w:rFonts w:ascii="Book Antiqua" w:eastAsia="Times New Roman" w:hAnsi="Book Antiqua" w:cs="Times New Roman"/>
          <w:sz w:val="24"/>
          <w:szCs w:val="24"/>
        </w:rPr>
        <w:t xml:space="preserve"> Esto se vincula con el cumplimiento de la Ley 141-2019 sobre transparencia y acceso a la información pública.</w:t>
      </w:r>
    </w:p>
    <w:p w14:paraId="371353CE" w14:textId="77777777" w:rsidR="009341FA" w:rsidRPr="0005438A" w:rsidRDefault="009341FA" w:rsidP="0071146C">
      <w:pPr>
        <w:spacing w:after="0" w:line="240" w:lineRule="auto"/>
        <w:jc w:val="both"/>
        <w:rPr>
          <w:rFonts w:ascii="Book Antiqua" w:eastAsia="Times New Roman" w:hAnsi="Book Antiqua" w:cs="Times New Roman"/>
          <w:sz w:val="24"/>
          <w:szCs w:val="24"/>
        </w:rPr>
      </w:pPr>
    </w:p>
    <w:p w14:paraId="316E37FE" w14:textId="5F12A062" w:rsidR="009341FA" w:rsidRPr="009341FA" w:rsidRDefault="009341FA" w:rsidP="0071146C">
      <w:pPr>
        <w:spacing w:after="0" w:line="240" w:lineRule="auto"/>
        <w:ind w:firstLine="708"/>
        <w:jc w:val="both"/>
        <w:rPr>
          <w:rFonts w:ascii="Book Antiqua" w:eastAsia="Times New Roman" w:hAnsi="Book Antiqua" w:cs="Times New Roman"/>
          <w:sz w:val="24"/>
          <w:szCs w:val="24"/>
        </w:rPr>
      </w:pPr>
      <w:r w:rsidRPr="009341FA">
        <w:rPr>
          <w:rFonts w:ascii="Book Antiqua" w:eastAsia="Times New Roman" w:hAnsi="Book Antiqua" w:cs="Times New Roman"/>
          <w:sz w:val="24"/>
          <w:szCs w:val="24"/>
        </w:rPr>
        <w:t>De igual modo, la OIG valora la creación del Programa de Academias y Talleres, contemplado en el nuevo Artículo 22. Afirma que esta iniciativa “representa un componente clave para garantizar un trabajo exitoso… la capacitación continua de estos profesionales es fundamental para un gobierno saludable”</w:t>
      </w:r>
      <w:r w:rsidR="0086631B">
        <w:rPr>
          <w:rFonts w:ascii="Book Antiqua" w:eastAsia="Times New Roman" w:hAnsi="Book Antiqua" w:cs="Times New Roman"/>
          <w:sz w:val="24"/>
          <w:szCs w:val="24"/>
        </w:rPr>
        <w:t>.</w:t>
      </w:r>
    </w:p>
    <w:p w14:paraId="4137094E" w14:textId="125A0C34" w:rsidR="009341FA" w:rsidRPr="009341FA" w:rsidRDefault="009341FA" w:rsidP="0071146C">
      <w:pPr>
        <w:spacing w:after="0" w:line="240" w:lineRule="auto"/>
        <w:jc w:val="both"/>
        <w:rPr>
          <w:rFonts w:ascii="Book Antiqua" w:eastAsia="Times New Roman" w:hAnsi="Book Antiqua" w:cs="Times New Roman"/>
          <w:sz w:val="24"/>
          <w:szCs w:val="24"/>
        </w:rPr>
      </w:pPr>
    </w:p>
    <w:p w14:paraId="776CC3A2" w14:textId="77777777" w:rsidR="009341FA" w:rsidRPr="009341FA" w:rsidRDefault="009341FA" w:rsidP="0071146C">
      <w:pPr>
        <w:spacing w:after="0" w:line="240" w:lineRule="auto"/>
        <w:ind w:firstLine="708"/>
        <w:jc w:val="both"/>
        <w:rPr>
          <w:rFonts w:ascii="Book Antiqua" w:eastAsia="Times New Roman" w:hAnsi="Book Antiqua" w:cs="Times New Roman"/>
          <w:sz w:val="24"/>
          <w:szCs w:val="24"/>
        </w:rPr>
      </w:pPr>
      <w:r w:rsidRPr="009341FA">
        <w:rPr>
          <w:rFonts w:ascii="Book Antiqua" w:eastAsia="Times New Roman" w:hAnsi="Book Antiqua" w:cs="Times New Roman"/>
          <w:sz w:val="24"/>
          <w:szCs w:val="24"/>
        </w:rPr>
        <w:t>Finalmente, la OIG concluye que “esta medida legislativa será de gran utilidad para fortalecer y mejorar la calidad de los servicios que ofrece el Instituto… Por estas razones, la OIG favorece el texto legislativo propuesto en el P. de la C. 73”</w:t>
      </w:r>
    </w:p>
    <w:p w14:paraId="0C6EBD0C" w14:textId="08F5872B" w:rsidR="009341FA" w:rsidRPr="009341FA" w:rsidRDefault="009341FA" w:rsidP="0005438A">
      <w:pPr>
        <w:spacing w:after="0" w:line="240" w:lineRule="auto"/>
        <w:jc w:val="both"/>
        <w:rPr>
          <w:rFonts w:ascii="Book Antiqua" w:eastAsia="Times New Roman" w:hAnsi="Book Antiqua" w:cs="Times New Roman"/>
          <w:sz w:val="24"/>
          <w:szCs w:val="24"/>
        </w:rPr>
      </w:pPr>
    </w:p>
    <w:p w14:paraId="64985ADE" w14:textId="6EFF2549" w:rsidR="009341FA" w:rsidRPr="006B6C71" w:rsidRDefault="00600DD8" w:rsidP="0005438A">
      <w:pPr>
        <w:pStyle w:val="ListParagraph"/>
        <w:numPr>
          <w:ilvl w:val="0"/>
          <w:numId w:val="8"/>
        </w:numPr>
        <w:spacing w:after="0" w:line="240" w:lineRule="auto"/>
        <w:jc w:val="both"/>
        <w:rPr>
          <w:rFonts w:ascii="Book Antiqua" w:eastAsia="Times New Roman" w:hAnsi="Book Antiqua" w:cs="Times New Roman"/>
          <w:b/>
          <w:bCs/>
          <w:sz w:val="24"/>
          <w:szCs w:val="24"/>
        </w:rPr>
      </w:pPr>
      <w:r w:rsidRPr="006B6C71">
        <w:rPr>
          <w:rFonts w:ascii="Book Antiqua" w:eastAsia="Times New Roman" w:hAnsi="Book Antiqua" w:cs="Times New Roman"/>
          <w:b/>
          <w:bCs/>
          <w:sz w:val="24"/>
          <w:szCs w:val="24"/>
        </w:rPr>
        <w:lastRenderedPageBreak/>
        <w:t>Asociacion de Alcaldes de Puerto Rico</w:t>
      </w:r>
    </w:p>
    <w:p w14:paraId="4E4B6862" w14:textId="77777777" w:rsidR="002B2A72" w:rsidRPr="0005438A" w:rsidRDefault="002B2A72" w:rsidP="0005438A">
      <w:pPr>
        <w:pStyle w:val="ListParagraph"/>
        <w:spacing w:after="0" w:line="240" w:lineRule="auto"/>
        <w:ind w:left="1428"/>
        <w:jc w:val="both"/>
        <w:rPr>
          <w:rFonts w:ascii="Book Antiqua" w:eastAsia="Times New Roman" w:hAnsi="Book Antiqua" w:cs="Times New Roman"/>
          <w:sz w:val="24"/>
          <w:szCs w:val="24"/>
        </w:rPr>
      </w:pPr>
    </w:p>
    <w:p w14:paraId="1075B729" w14:textId="4AB5B1FE" w:rsidR="005A4B59" w:rsidRPr="0005438A" w:rsidRDefault="005A4B59" w:rsidP="0005438A">
      <w:pPr>
        <w:spacing w:after="0" w:line="240" w:lineRule="auto"/>
        <w:ind w:firstLine="708"/>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t xml:space="preserve">La </w:t>
      </w:r>
      <w:r w:rsidR="00B220DC">
        <w:rPr>
          <w:rFonts w:ascii="Book Antiqua" w:eastAsia="Times New Roman" w:hAnsi="Book Antiqua" w:cs="Times New Roman"/>
          <w:sz w:val="24"/>
          <w:szCs w:val="24"/>
        </w:rPr>
        <w:t>Asociación</w:t>
      </w:r>
      <w:r w:rsidRPr="0005438A">
        <w:rPr>
          <w:rFonts w:ascii="Book Antiqua" w:eastAsia="Times New Roman" w:hAnsi="Book Antiqua" w:cs="Times New Roman"/>
          <w:sz w:val="24"/>
          <w:szCs w:val="24"/>
        </w:rPr>
        <w:t xml:space="preserve"> en sus comentarios hace un resumen de las enmiendas que busca incorporar el P. de la C. 73.</w:t>
      </w:r>
      <w:r w:rsidR="002B2A72" w:rsidRPr="0005438A">
        <w:rPr>
          <w:rFonts w:ascii="Book Antiqua" w:eastAsia="Times New Roman" w:hAnsi="Book Antiqua" w:cs="Times New Roman"/>
          <w:sz w:val="24"/>
          <w:szCs w:val="24"/>
        </w:rPr>
        <w:t xml:space="preserve"> C</w:t>
      </w:r>
      <w:r w:rsidRPr="0005438A">
        <w:rPr>
          <w:rFonts w:ascii="Book Antiqua" w:eastAsia="Times New Roman" w:hAnsi="Book Antiqua" w:cs="Times New Roman"/>
          <w:sz w:val="24"/>
          <w:szCs w:val="24"/>
        </w:rPr>
        <w:t>oncluye que no tienen objeción a que el Instituto de Estadísticas adopte estándares éticos a los servidores públicos que laboran en unidades de estadísticas de los organismos gubernamentales.</w:t>
      </w:r>
    </w:p>
    <w:p w14:paraId="4E4A1710" w14:textId="77777777" w:rsidR="005A4B59" w:rsidRPr="0005438A" w:rsidRDefault="005A4B59" w:rsidP="0005438A">
      <w:pPr>
        <w:spacing w:after="0" w:line="240" w:lineRule="auto"/>
        <w:ind w:left="708"/>
        <w:jc w:val="both"/>
        <w:rPr>
          <w:rFonts w:ascii="Book Antiqua" w:eastAsia="Times New Roman" w:hAnsi="Book Antiqua" w:cs="Times New Roman"/>
          <w:sz w:val="24"/>
          <w:szCs w:val="24"/>
        </w:rPr>
      </w:pPr>
    </w:p>
    <w:p w14:paraId="12563AE7" w14:textId="3ECE943F" w:rsidR="0067067D" w:rsidRPr="006B6C71" w:rsidRDefault="002B2A72" w:rsidP="0005438A">
      <w:pPr>
        <w:pStyle w:val="ListParagraph"/>
        <w:numPr>
          <w:ilvl w:val="0"/>
          <w:numId w:val="8"/>
        </w:numPr>
        <w:spacing w:after="0" w:line="240" w:lineRule="auto"/>
        <w:jc w:val="both"/>
        <w:rPr>
          <w:rFonts w:ascii="Book Antiqua" w:eastAsia="Times New Roman" w:hAnsi="Book Antiqua" w:cs="Times New Roman"/>
          <w:b/>
          <w:bCs/>
          <w:sz w:val="24"/>
          <w:szCs w:val="24"/>
        </w:rPr>
      </w:pPr>
      <w:r w:rsidRPr="006B6C71">
        <w:rPr>
          <w:rFonts w:ascii="Book Antiqua" w:eastAsia="Times New Roman" w:hAnsi="Book Antiqua" w:cs="Times New Roman"/>
          <w:b/>
          <w:bCs/>
          <w:sz w:val="24"/>
          <w:szCs w:val="24"/>
        </w:rPr>
        <w:t>Federación</w:t>
      </w:r>
      <w:r w:rsidR="001E2B23" w:rsidRPr="006B6C71">
        <w:rPr>
          <w:rFonts w:ascii="Book Antiqua" w:eastAsia="Times New Roman" w:hAnsi="Book Antiqua" w:cs="Times New Roman"/>
          <w:b/>
          <w:bCs/>
          <w:sz w:val="24"/>
          <w:szCs w:val="24"/>
        </w:rPr>
        <w:t xml:space="preserve"> de Alcaldes de Puerto Rico</w:t>
      </w:r>
    </w:p>
    <w:p w14:paraId="608288D5" w14:textId="77777777" w:rsidR="002B2A72" w:rsidRPr="0005438A" w:rsidRDefault="002B2A72" w:rsidP="0005438A">
      <w:pPr>
        <w:pStyle w:val="ListParagraph"/>
        <w:spacing w:after="0" w:line="240" w:lineRule="auto"/>
        <w:ind w:left="1428"/>
        <w:jc w:val="both"/>
        <w:rPr>
          <w:rFonts w:ascii="Book Antiqua" w:eastAsia="Times New Roman" w:hAnsi="Book Antiqua" w:cs="Times New Roman"/>
          <w:sz w:val="24"/>
          <w:szCs w:val="24"/>
        </w:rPr>
      </w:pPr>
    </w:p>
    <w:p w14:paraId="454DAD46" w14:textId="3201E82E" w:rsidR="001E2B23" w:rsidRPr="0005438A" w:rsidRDefault="001E2B23" w:rsidP="0005438A">
      <w:pPr>
        <w:spacing w:after="0" w:line="240" w:lineRule="auto"/>
        <w:ind w:firstLine="708"/>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t xml:space="preserve">La </w:t>
      </w:r>
      <w:r w:rsidR="002B2A72" w:rsidRPr="0005438A">
        <w:rPr>
          <w:rFonts w:ascii="Book Antiqua" w:eastAsia="Times New Roman" w:hAnsi="Book Antiqua" w:cs="Times New Roman"/>
          <w:sz w:val="24"/>
          <w:szCs w:val="24"/>
        </w:rPr>
        <w:t>Federación</w:t>
      </w:r>
      <w:r w:rsidRPr="0005438A">
        <w:rPr>
          <w:rFonts w:ascii="Book Antiqua" w:eastAsia="Times New Roman" w:hAnsi="Book Antiqua" w:cs="Times New Roman"/>
          <w:sz w:val="24"/>
          <w:szCs w:val="24"/>
        </w:rPr>
        <w:t xml:space="preserve"> </w:t>
      </w:r>
      <w:r w:rsidR="00B220DC">
        <w:rPr>
          <w:rFonts w:ascii="Book Antiqua" w:eastAsia="Times New Roman" w:hAnsi="Book Antiqua" w:cs="Times New Roman"/>
          <w:sz w:val="24"/>
          <w:szCs w:val="24"/>
        </w:rPr>
        <w:t>de</w:t>
      </w:r>
      <w:r w:rsidRPr="0005438A">
        <w:rPr>
          <w:rFonts w:ascii="Book Antiqua" w:eastAsia="Times New Roman" w:hAnsi="Book Antiqua" w:cs="Times New Roman"/>
          <w:sz w:val="24"/>
          <w:szCs w:val="24"/>
        </w:rPr>
        <w:t xml:space="preserve"> </w:t>
      </w:r>
      <w:r w:rsidR="002B2A72" w:rsidRPr="0005438A">
        <w:rPr>
          <w:rFonts w:ascii="Book Antiqua" w:eastAsia="Times New Roman" w:hAnsi="Book Antiqua" w:cs="Times New Roman"/>
          <w:sz w:val="24"/>
          <w:szCs w:val="24"/>
        </w:rPr>
        <w:t>A</w:t>
      </w:r>
      <w:r w:rsidRPr="0005438A">
        <w:rPr>
          <w:rFonts w:ascii="Book Antiqua" w:eastAsia="Times New Roman" w:hAnsi="Book Antiqua" w:cs="Times New Roman"/>
          <w:sz w:val="24"/>
          <w:szCs w:val="24"/>
        </w:rPr>
        <w:t xml:space="preserve">lcaldes presenta un </w:t>
      </w:r>
      <w:r w:rsidRPr="0005438A">
        <w:rPr>
          <w:rFonts w:ascii="Book Antiqua" w:eastAsia="Times New Roman" w:hAnsi="Book Antiqua" w:cs="Times New Roman"/>
          <w:b/>
          <w:bCs/>
          <w:sz w:val="24"/>
          <w:szCs w:val="24"/>
        </w:rPr>
        <w:t>respaldo condicionado</w:t>
      </w:r>
      <w:r w:rsidRPr="0005438A">
        <w:rPr>
          <w:rFonts w:ascii="Book Antiqua" w:eastAsia="Times New Roman" w:hAnsi="Book Antiqua" w:cs="Times New Roman"/>
          <w:sz w:val="24"/>
          <w:szCs w:val="24"/>
        </w:rPr>
        <w:t xml:space="preserve"> al proyecto, reconociendo su valor como instrumento para “fortalecer la función estadística del Estado, mejorar la transparencia gubernamental y ampliar la autonomía administrativa del Instituto de Estadísticas de Puerto Rico”</w:t>
      </w:r>
      <w:r w:rsidR="0086631B">
        <w:rPr>
          <w:rFonts w:ascii="Book Antiqua" w:eastAsia="Times New Roman" w:hAnsi="Book Antiqua" w:cs="Times New Roman"/>
          <w:sz w:val="24"/>
          <w:szCs w:val="24"/>
        </w:rPr>
        <w:t>.</w:t>
      </w:r>
      <w:r w:rsidRPr="0005438A">
        <w:rPr>
          <w:rFonts w:ascii="Book Antiqua" w:eastAsia="Times New Roman" w:hAnsi="Book Antiqua" w:cs="Times New Roman"/>
          <w:sz w:val="24"/>
          <w:szCs w:val="24"/>
        </w:rPr>
        <w:t xml:space="preserve"> No obstante, aclara que este apoyo depende de que se incorporen ciertos ajustes que garanticen un balance adecuado entre autonomía, objetividad, ética y rendición de cuentas.</w:t>
      </w:r>
    </w:p>
    <w:p w14:paraId="6B2F5D71" w14:textId="77777777" w:rsidR="001E2B23" w:rsidRPr="0005438A" w:rsidRDefault="001E2B23" w:rsidP="0005438A">
      <w:pPr>
        <w:spacing w:after="0" w:line="240" w:lineRule="auto"/>
        <w:ind w:firstLine="708"/>
        <w:jc w:val="both"/>
        <w:rPr>
          <w:rFonts w:ascii="Book Antiqua" w:eastAsia="Times New Roman" w:hAnsi="Book Antiqua" w:cs="Times New Roman"/>
          <w:sz w:val="24"/>
          <w:szCs w:val="24"/>
        </w:rPr>
      </w:pPr>
    </w:p>
    <w:p w14:paraId="652D56B1" w14:textId="379E593C" w:rsidR="001E2B23" w:rsidRPr="0005438A" w:rsidRDefault="001E2B23" w:rsidP="0005438A">
      <w:pPr>
        <w:spacing w:after="0" w:line="240" w:lineRule="auto"/>
        <w:ind w:firstLine="708"/>
        <w:jc w:val="both"/>
        <w:rPr>
          <w:rFonts w:ascii="Book Antiqua" w:eastAsia="Times New Roman" w:hAnsi="Book Antiqua" w:cs="Times New Roman"/>
          <w:sz w:val="24"/>
          <w:szCs w:val="24"/>
        </w:rPr>
      </w:pPr>
      <w:r w:rsidRPr="001E2B23">
        <w:rPr>
          <w:rFonts w:ascii="Book Antiqua" w:eastAsia="Times New Roman" w:hAnsi="Book Antiqua" w:cs="Times New Roman"/>
          <w:sz w:val="24"/>
          <w:szCs w:val="24"/>
        </w:rPr>
        <w:t xml:space="preserve">Uno de los principales reparos </w:t>
      </w:r>
      <w:r w:rsidR="00A53C0E">
        <w:rPr>
          <w:rFonts w:ascii="Book Antiqua" w:eastAsia="Times New Roman" w:hAnsi="Book Antiqua" w:cs="Times New Roman"/>
          <w:sz w:val="24"/>
          <w:szCs w:val="24"/>
        </w:rPr>
        <w:t xml:space="preserve">de la Federación </w:t>
      </w:r>
      <w:r w:rsidRPr="001E2B23">
        <w:rPr>
          <w:rFonts w:ascii="Book Antiqua" w:eastAsia="Times New Roman" w:hAnsi="Book Antiqua" w:cs="Times New Roman"/>
          <w:sz w:val="24"/>
          <w:szCs w:val="24"/>
        </w:rPr>
        <w:t>se relaciona con la facultad del Instituto para recibir donativos. El memorial advierte que “podría afectar la percepción de objetividad e independencia, especialmente si provienen de entidades privadas con intereses específicos”</w:t>
      </w:r>
      <w:r w:rsidR="00A53C0E">
        <w:rPr>
          <w:rFonts w:ascii="Book Antiqua" w:eastAsia="Times New Roman" w:hAnsi="Book Antiqua" w:cs="Times New Roman"/>
          <w:sz w:val="24"/>
          <w:szCs w:val="24"/>
        </w:rPr>
        <w:t>.</w:t>
      </w:r>
      <w:r w:rsidRPr="0005438A">
        <w:rPr>
          <w:rFonts w:ascii="Book Antiqua" w:eastAsia="Times New Roman" w:hAnsi="Book Antiqua" w:cs="Times New Roman"/>
          <w:sz w:val="24"/>
          <w:szCs w:val="24"/>
        </w:rPr>
        <w:t xml:space="preserve"> Por ello, propone incluir reglas claras de divulgación pública, criterios de elegibilidad para donantes y auditorías independientes sobre el uso de los fondos.</w:t>
      </w:r>
    </w:p>
    <w:p w14:paraId="6F29EAC3" w14:textId="77777777" w:rsidR="001E2B23" w:rsidRPr="0005438A" w:rsidRDefault="001E2B23" w:rsidP="0005438A">
      <w:pPr>
        <w:spacing w:after="0" w:line="240" w:lineRule="auto"/>
        <w:ind w:firstLine="708"/>
        <w:jc w:val="both"/>
        <w:rPr>
          <w:rFonts w:ascii="Book Antiqua" w:eastAsia="Times New Roman" w:hAnsi="Book Antiqua" w:cs="Times New Roman"/>
          <w:sz w:val="24"/>
          <w:szCs w:val="24"/>
        </w:rPr>
      </w:pPr>
    </w:p>
    <w:p w14:paraId="091C39A6" w14:textId="534863A6" w:rsidR="001E2B23" w:rsidRPr="0005438A" w:rsidRDefault="001E2B23" w:rsidP="0005438A">
      <w:pPr>
        <w:spacing w:after="0" w:line="240" w:lineRule="auto"/>
        <w:ind w:firstLine="708"/>
        <w:jc w:val="both"/>
        <w:rPr>
          <w:rFonts w:ascii="Book Antiqua" w:eastAsia="Times New Roman" w:hAnsi="Book Antiqua" w:cs="Times New Roman"/>
          <w:sz w:val="24"/>
          <w:szCs w:val="24"/>
        </w:rPr>
      </w:pPr>
      <w:r w:rsidRPr="001E2B23">
        <w:rPr>
          <w:rFonts w:ascii="Book Antiqua" w:eastAsia="Times New Roman" w:hAnsi="Book Antiqua" w:cs="Times New Roman"/>
          <w:sz w:val="24"/>
          <w:szCs w:val="24"/>
        </w:rPr>
        <w:t>En cuanto a los estándares éticos, la Federación señala un posible conflicto con la Ley de Ética Gubernamental. Según el texto, “podría haber conflictos o duplicidad normativa contrario a la Ley 1-2012”</w:t>
      </w:r>
      <w:r w:rsidR="00926029">
        <w:rPr>
          <w:rFonts w:ascii="Book Antiqua" w:eastAsia="Times New Roman" w:hAnsi="Book Antiqua" w:cs="Times New Roman"/>
          <w:sz w:val="24"/>
          <w:szCs w:val="24"/>
        </w:rPr>
        <w:t>.</w:t>
      </w:r>
      <w:r w:rsidRPr="0005438A">
        <w:rPr>
          <w:rFonts w:ascii="Book Antiqua" w:eastAsia="Times New Roman" w:hAnsi="Book Antiqua" w:cs="Times New Roman"/>
          <w:sz w:val="24"/>
          <w:szCs w:val="24"/>
        </w:rPr>
        <w:t xml:space="preserve"> Recomiendan que cualquier estándar adoptado por la Junta de Directores sea complementario y que previamente se consulte a la Oficina de Ética Gubernamental.</w:t>
      </w:r>
    </w:p>
    <w:p w14:paraId="1A5DCB47" w14:textId="77777777" w:rsidR="001E2B23" w:rsidRPr="0005438A" w:rsidRDefault="001E2B23" w:rsidP="0005438A">
      <w:pPr>
        <w:spacing w:after="0" w:line="240" w:lineRule="auto"/>
        <w:ind w:firstLine="708"/>
        <w:jc w:val="both"/>
        <w:rPr>
          <w:rFonts w:ascii="Book Antiqua" w:eastAsia="Times New Roman" w:hAnsi="Book Antiqua" w:cs="Times New Roman"/>
          <w:sz w:val="24"/>
          <w:szCs w:val="24"/>
        </w:rPr>
      </w:pPr>
    </w:p>
    <w:p w14:paraId="54633FAE" w14:textId="67677085" w:rsidR="001E2B23" w:rsidRPr="0005438A" w:rsidRDefault="001E2B23" w:rsidP="0005438A">
      <w:pPr>
        <w:spacing w:after="0" w:line="240" w:lineRule="auto"/>
        <w:ind w:firstLine="708"/>
        <w:jc w:val="both"/>
        <w:rPr>
          <w:rFonts w:ascii="Book Antiqua" w:eastAsia="Times New Roman" w:hAnsi="Book Antiqua" w:cs="Times New Roman"/>
          <w:sz w:val="24"/>
          <w:szCs w:val="24"/>
        </w:rPr>
      </w:pPr>
      <w:r w:rsidRPr="001E2B23">
        <w:rPr>
          <w:rFonts w:ascii="Book Antiqua" w:eastAsia="Times New Roman" w:hAnsi="Book Antiqua" w:cs="Times New Roman"/>
          <w:sz w:val="24"/>
          <w:szCs w:val="24"/>
        </w:rPr>
        <w:t xml:space="preserve">Sobre la publicación obligatoria de información financiera, se advierte que “puede imponer una carga </w:t>
      </w:r>
      <w:r w:rsidRPr="00926029">
        <w:rPr>
          <w:rFonts w:ascii="Book Antiqua" w:eastAsia="Times New Roman" w:hAnsi="Book Antiqua" w:cs="Times New Roman"/>
          <w:b/>
          <w:bCs/>
          <w:sz w:val="24"/>
          <w:szCs w:val="24"/>
        </w:rPr>
        <w:t>desproporcionada</w:t>
      </w:r>
      <w:r w:rsidRPr="001E2B23">
        <w:rPr>
          <w:rFonts w:ascii="Book Antiqua" w:eastAsia="Times New Roman" w:hAnsi="Book Antiqua" w:cs="Times New Roman"/>
          <w:sz w:val="24"/>
          <w:szCs w:val="24"/>
        </w:rPr>
        <w:t xml:space="preserve"> sobre </w:t>
      </w:r>
      <w:r w:rsidRPr="00926029">
        <w:rPr>
          <w:rFonts w:ascii="Book Antiqua" w:eastAsia="Times New Roman" w:hAnsi="Book Antiqua" w:cs="Times New Roman"/>
          <w:b/>
          <w:bCs/>
          <w:sz w:val="24"/>
          <w:szCs w:val="24"/>
        </w:rPr>
        <w:t>municipios y entidades con limitaciones técnicas o de personal”</w:t>
      </w:r>
      <w:r w:rsidR="00EE7AD1">
        <w:rPr>
          <w:rFonts w:ascii="Book Antiqua" w:eastAsia="Times New Roman" w:hAnsi="Book Antiqua" w:cs="Times New Roman"/>
          <w:sz w:val="24"/>
          <w:szCs w:val="24"/>
        </w:rPr>
        <w:t>.</w:t>
      </w:r>
      <w:r w:rsidRPr="00926029">
        <w:rPr>
          <w:rFonts w:ascii="Book Antiqua" w:eastAsia="Times New Roman" w:hAnsi="Book Antiqua" w:cs="Times New Roman"/>
          <w:sz w:val="24"/>
          <w:szCs w:val="24"/>
        </w:rPr>
        <w:t xml:space="preserve"> </w:t>
      </w:r>
      <w:r w:rsidRPr="0005438A">
        <w:rPr>
          <w:rFonts w:ascii="Book Antiqua" w:eastAsia="Times New Roman" w:hAnsi="Book Antiqua" w:cs="Times New Roman"/>
          <w:sz w:val="24"/>
          <w:szCs w:val="24"/>
        </w:rPr>
        <w:t>Para mitigar esto, se sugiere un calendario de implementación progresivo con asistencia técnica del Instituto y ajustes razonables para los casos justificados.</w:t>
      </w:r>
    </w:p>
    <w:p w14:paraId="0DCE7AAA" w14:textId="77777777" w:rsidR="001E2B23" w:rsidRPr="0005438A" w:rsidRDefault="001E2B23" w:rsidP="0005438A">
      <w:pPr>
        <w:spacing w:after="0" w:line="240" w:lineRule="auto"/>
        <w:ind w:firstLine="708"/>
        <w:jc w:val="both"/>
        <w:rPr>
          <w:rFonts w:ascii="Book Antiqua" w:eastAsia="Times New Roman" w:hAnsi="Book Antiqua" w:cs="Times New Roman"/>
          <w:sz w:val="24"/>
          <w:szCs w:val="24"/>
        </w:rPr>
      </w:pPr>
    </w:p>
    <w:p w14:paraId="725E751C" w14:textId="06548772" w:rsidR="001E2B23" w:rsidRPr="0005438A" w:rsidRDefault="001E2B23" w:rsidP="0005438A">
      <w:pPr>
        <w:spacing w:after="0" w:line="240" w:lineRule="auto"/>
        <w:ind w:firstLine="708"/>
        <w:jc w:val="both"/>
        <w:rPr>
          <w:rFonts w:ascii="Book Antiqua" w:eastAsia="Times New Roman" w:hAnsi="Book Antiqua" w:cs="Times New Roman"/>
          <w:sz w:val="24"/>
          <w:szCs w:val="24"/>
        </w:rPr>
      </w:pPr>
      <w:r w:rsidRPr="001E2B23">
        <w:rPr>
          <w:rFonts w:ascii="Book Antiqua" w:eastAsia="Times New Roman" w:hAnsi="Book Antiqua" w:cs="Times New Roman"/>
          <w:sz w:val="24"/>
          <w:szCs w:val="24"/>
        </w:rPr>
        <w:t>En relación con la certificación obligatoria para ocupar o continuar en funciones estadísticas, la Federación plantea que esta podría “generar barreras para empleados con experiencia práctica o conflictos laborales si no se implementa con flexibilidad”</w:t>
      </w:r>
      <w:r w:rsidR="00EE7AD1">
        <w:rPr>
          <w:rFonts w:ascii="Book Antiqua" w:eastAsia="Times New Roman" w:hAnsi="Book Antiqua" w:cs="Times New Roman"/>
          <w:sz w:val="24"/>
          <w:szCs w:val="24"/>
        </w:rPr>
        <w:t>.</w:t>
      </w:r>
      <w:r w:rsidRPr="0005438A">
        <w:rPr>
          <w:rFonts w:ascii="Book Antiqua" w:eastAsia="Times New Roman" w:hAnsi="Book Antiqua" w:cs="Times New Roman"/>
          <w:sz w:val="24"/>
          <w:szCs w:val="24"/>
        </w:rPr>
        <w:t xml:space="preserve"> Por ello, propone un período de transición razonable y el reconocimiento de equivalencias por experiencia o formación previa.</w:t>
      </w:r>
    </w:p>
    <w:p w14:paraId="75F108FF" w14:textId="77777777" w:rsidR="001E2B23" w:rsidRPr="0005438A" w:rsidRDefault="001E2B23" w:rsidP="0005438A">
      <w:pPr>
        <w:spacing w:after="0" w:line="240" w:lineRule="auto"/>
        <w:ind w:firstLine="708"/>
        <w:jc w:val="both"/>
        <w:rPr>
          <w:rFonts w:ascii="Book Antiqua" w:eastAsia="Times New Roman" w:hAnsi="Book Antiqua" w:cs="Times New Roman"/>
          <w:sz w:val="24"/>
          <w:szCs w:val="24"/>
        </w:rPr>
      </w:pPr>
    </w:p>
    <w:p w14:paraId="1883576E" w14:textId="28BD484E" w:rsidR="001E2B23" w:rsidRPr="0005438A" w:rsidRDefault="001E2B23" w:rsidP="0005438A">
      <w:pPr>
        <w:spacing w:after="0" w:line="240" w:lineRule="auto"/>
        <w:ind w:firstLine="708"/>
        <w:jc w:val="both"/>
        <w:rPr>
          <w:rFonts w:ascii="Book Antiqua" w:eastAsia="Times New Roman" w:hAnsi="Book Antiqua" w:cs="Times New Roman"/>
          <w:sz w:val="24"/>
          <w:szCs w:val="24"/>
        </w:rPr>
      </w:pPr>
      <w:r w:rsidRPr="001E2B23">
        <w:rPr>
          <w:rFonts w:ascii="Book Antiqua" w:eastAsia="Times New Roman" w:hAnsi="Book Antiqua" w:cs="Times New Roman"/>
          <w:sz w:val="24"/>
          <w:szCs w:val="24"/>
        </w:rPr>
        <w:lastRenderedPageBreak/>
        <w:t>Finalmente, en cuanto a la facultad del Instituto para ofrecer servicios compensados a terceros, se advierte que “existe el riesgo de que los recursos públicos sean utilizados para fines privados, y se comprometa la prioridad institucional del Instituto”</w:t>
      </w:r>
      <w:r w:rsidR="00AF232D">
        <w:rPr>
          <w:rFonts w:ascii="Book Antiqua" w:eastAsia="Times New Roman" w:hAnsi="Book Antiqua" w:cs="Times New Roman"/>
          <w:sz w:val="24"/>
          <w:szCs w:val="24"/>
        </w:rPr>
        <w:t>.</w:t>
      </w:r>
      <w:r w:rsidRPr="0005438A">
        <w:rPr>
          <w:rFonts w:ascii="Book Antiqua" w:eastAsia="Times New Roman" w:hAnsi="Book Antiqua" w:cs="Times New Roman"/>
          <w:sz w:val="24"/>
          <w:szCs w:val="24"/>
        </w:rPr>
        <w:t xml:space="preserve"> Se recomienda condicionar esta función a la certificación de disponibilidad de recursos, la publicación de toda contratación con privados y el manejo de ingresos conforme a principios de transparencia.</w:t>
      </w:r>
    </w:p>
    <w:p w14:paraId="303694DF" w14:textId="77777777" w:rsidR="00AC3853" w:rsidRPr="0005438A" w:rsidRDefault="00AC3853" w:rsidP="0005438A">
      <w:pPr>
        <w:spacing w:after="0" w:line="240" w:lineRule="auto"/>
        <w:ind w:firstLine="708"/>
        <w:jc w:val="both"/>
        <w:rPr>
          <w:rFonts w:ascii="Book Antiqua" w:eastAsia="Times New Roman" w:hAnsi="Book Antiqua" w:cs="Times New Roman"/>
          <w:sz w:val="24"/>
          <w:szCs w:val="24"/>
        </w:rPr>
      </w:pPr>
    </w:p>
    <w:p w14:paraId="688643A5" w14:textId="02B2CFE5" w:rsidR="00AC3853" w:rsidRPr="006B6C71" w:rsidRDefault="00AC3853" w:rsidP="0005438A">
      <w:pPr>
        <w:pStyle w:val="ListParagraph"/>
        <w:numPr>
          <w:ilvl w:val="0"/>
          <w:numId w:val="8"/>
        </w:numPr>
        <w:spacing w:after="0" w:line="240" w:lineRule="auto"/>
        <w:jc w:val="both"/>
        <w:rPr>
          <w:rFonts w:ascii="Book Antiqua" w:eastAsia="Times New Roman" w:hAnsi="Book Antiqua" w:cs="Times New Roman"/>
          <w:b/>
          <w:bCs/>
          <w:sz w:val="24"/>
          <w:szCs w:val="24"/>
        </w:rPr>
      </w:pPr>
      <w:r w:rsidRPr="006B6C71">
        <w:rPr>
          <w:rFonts w:ascii="Book Antiqua" w:eastAsia="Times New Roman" w:hAnsi="Book Antiqua" w:cs="Times New Roman"/>
          <w:b/>
          <w:bCs/>
          <w:sz w:val="24"/>
          <w:szCs w:val="24"/>
        </w:rPr>
        <w:t>Oficina de Presupuesto de la Asamblea Legislativa (OPAL)</w:t>
      </w:r>
    </w:p>
    <w:p w14:paraId="13B4299D" w14:textId="306FEC0A" w:rsidR="00AC3853" w:rsidRPr="00AC3853" w:rsidRDefault="00AC3853" w:rsidP="0005438A">
      <w:pPr>
        <w:spacing w:before="100" w:beforeAutospacing="1" w:after="100" w:afterAutospacing="1" w:line="240" w:lineRule="auto"/>
        <w:ind w:firstLine="708"/>
        <w:jc w:val="both"/>
        <w:rPr>
          <w:rFonts w:ascii="Book Antiqua" w:eastAsia="Times New Roman" w:hAnsi="Book Antiqua" w:cs="Times New Roman"/>
          <w:sz w:val="24"/>
          <w:szCs w:val="24"/>
          <w:lang w:eastAsia="es-PR"/>
        </w:rPr>
      </w:pPr>
      <w:r w:rsidRPr="00AC3853">
        <w:rPr>
          <w:rFonts w:ascii="Book Antiqua" w:eastAsia="Times New Roman" w:hAnsi="Book Antiqua" w:cs="Times New Roman"/>
          <w:sz w:val="24"/>
          <w:szCs w:val="24"/>
          <w:lang w:eastAsia="es-PR"/>
        </w:rPr>
        <w:t>En su análisis fiscal, la O</w:t>
      </w:r>
      <w:r w:rsidR="002B2A72" w:rsidRPr="0005438A">
        <w:rPr>
          <w:rFonts w:ascii="Book Antiqua" w:eastAsia="Times New Roman" w:hAnsi="Book Antiqua" w:cs="Times New Roman"/>
          <w:sz w:val="24"/>
          <w:szCs w:val="24"/>
          <w:lang w:eastAsia="es-PR"/>
        </w:rPr>
        <w:t>PAL</w:t>
      </w:r>
      <w:r w:rsidRPr="00AC3853">
        <w:rPr>
          <w:rFonts w:ascii="Book Antiqua" w:eastAsia="Times New Roman" w:hAnsi="Book Antiqua" w:cs="Times New Roman"/>
          <w:sz w:val="24"/>
          <w:szCs w:val="24"/>
          <w:lang w:eastAsia="es-PR"/>
        </w:rPr>
        <w:t xml:space="preserve"> concluye que “consideramos que la medida no debe tener impacto fiscal perceptible sobre la entidad”</w:t>
      </w:r>
      <w:r w:rsidR="002B2A72" w:rsidRPr="0005438A">
        <w:rPr>
          <w:rFonts w:ascii="Book Antiqua" w:eastAsia="Times New Roman" w:hAnsi="Book Antiqua" w:cs="Times New Roman"/>
          <w:sz w:val="24"/>
          <w:szCs w:val="24"/>
          <w:lang w:eastAsia="es-PR"/>
        </w:rPr>
        <w:t>.</w:t>
      </w:r>
      <w:r w:rsidRPr="00AC3853">
        <w:rPr>
          <w:rFonts w:ascii="Book Antiqua" w:eastAsia="Times New Roman" w:hAnsi="Book Antiqua" w:cs="Times New Roman"/>
          <w:sz w:val="24"/>
          <w:szCs w:val="24"/>
          <w:lang w:eastAsia="es-PR"/>
        </w:rPr>
        <w:t xml:space="preserve"> Señala que las enmiendas son mayormente aclaratorias y no varían la gobernanza diaria de la entidad, aunque reconocen que se eleva la discreción del Director Ejecutivo para adquisiciones y contrataciones hasta $100,000 sin requerir aval de la Junta de Directores.</w:t>
      </w:r>
    </w:p>
    <w:p w14:paraId="01AD1B3E" w14:textId="3F60ECF3" w:rsidR="00AC3853" w:rsidRPr="00AC3853" w:rsidRDefault="00AD7A83" w:rsidP="0005438A">
      <w:pPr>
        <w:spacing w:before="100" w:beforeAutospacing="1" w:after="100" w:afterAutospacing="1" w:line="240" w:lineRule="auto"/>
        <w:ind w:firstLine="708"/>
        <w:jc w:val="both"/>
        <w:rPr>
          <w:rFonts w:ascii="Book Antiqua" w:eastAsia="Times New Roman" w:hAnsi="Book Antiqua" w:cs="Times New Roman"/>
          <w:sz w:val="24"/>
          <w:szCs w:val="24"/>
          <w:lang w:eastAsia="es-PR"/>
        </w:rPr>
      </w:pPr>
      <w:r>
        <w:rPr>
          <w:rFonts w:ascii="Book Antiqua" w:eastAsia="Times New Roman" w:hAnsi="Book Antiqua" w:cs="Times New Roman"/>
          <w:sz w:val="24"/>
          <w:szCs w:val="24"/>
          <w:lang w:eastAsia="es-PR"/>
        </w:rPr>
        <w:t>La OPAL</w:t>
      </w:r>
      <w:r w:rsidR="00DB70CC">
        <w:rPr>
          <w:rFonts w:ascii="Book Antiqua" w:eastAsia="Times New Roman" w:hAnsi="Book Antiqua" w:cs="Times New Roman"/>
          <w:sz w:val="24"/>
          <w:szCs w:val="24"/>
          <w:lang w:eastAsia="es-PR"/>
        </w:rPr>
        <w:t xml:space="preserve"> nos informa</w:t>
      </w:r>
      <w:r w:rsidR="00AC3853" w:rsidRPr="00AC3853">
        <w:rPr>
          <w:rFonts w:ascii="Book Antiqua" w:eastAsia="Times New Roman" w:hAnsi="Book Antiqua" w:cs="Times New Roman"/>
          <w:sz w:val="24"/>
          <w:szCs w:val="24"/>
          <w:lang w:eastAsia="es-PR"/>
        </w:rPr>
        <w:t xml:space="preserve"> que ya existe un Programa de Academias y Talleres en el Instituto, por lo que esta disposición no crea un gasto adicional nuevo. Asimismo, respecto a la transparencia financiera, señala que “el deber de remitir información financiera del estado de las entidades no requiere </w:t>
      </w:r>
      <w:r w:rsidR="00AC3853" w:rsidRPr="00737A4F">
        <w:rPr>
          <w:rFonts w:ascii="Book Antiqua" w:eastAsia="Times New Roman" w:hAnsi="Book Antiqua" w:cs="Times New Roman"/>
          <w:sz w:val="24"/>
          <w:szCs w:val="24"/>
          <w:lang w:eastAsia="es-PR"/>
        </w:rPr>
        <w:t>necesariamente expendio de fondos</w:t>
      </w:r>
      <w:r w:rsidR="00AC3853" w:rsidRPr="00AC3853">
        <w:rPr>
          <w:rFonts w:ascii="Book Antiqua" w:eastAsia="Times New Roman" w:hAnsi="Book Antiqua" w:cs="Times New Roman"/>
          <w:sz w:val="24"/>
          <w:szCs w:val="24"/>
          <w:lang w:eastAsia="es-PR"/>
        </w:rPr>
        <w:t xml:space="preserve"> públicos</w:t>
      </w:r>
      <w:r w:rsidR="002D7380">
        <w:rPr>
          <w:rFonts w:ascii="Book Antiqua" w:eastAsia="Times New Roman" w:hAnsi="Book Antiqua" w:cs="Times New Roman"/>
          <w:sz w:val="24"/>
          <w:szCs w:val="24"/>
          <w:lang w:eastAsia="es-PR"/>
        </w:rPr>
        <w:t>”</w:t>
      </w:r>
      <w:r w:rsidR="002B2A72" w:rsidRPr="0005438A">
        <w:rPr>
          <w:rFonts w:ascii="Book Antiqua" w:eastAsia="Times New Roman" w:hAnsi="Book Antiqua" w:cs="Times New Roman"/>
          <w:sz w:val="24"/>
          <w:szCs w:val="24"/>
          <w:lang w:eastAsia="es-PR"/>
        </w:rPr>
        <w:t>.</w:t>
      </w:r>
    </w:p>
    <w:p w14:paraId="5B822BCA" w14:textId="36FE4519" w:rsidR="00AC3853" w:rsidRPr="00AC3853" w:rsidRDefault="00837B68" w:rsidP="006B6C71">
      <w:pPr>
        <w:spacing w:before="100" w:beforeAutospacing="1" w:after="100" w:afterAutospacing="1" w:line="240" w:lineRule="auto"/>
        <w:ind w:firstLine="708"/>
        <w:jc w:val="both"/>
        <w:rPr>
          <w:rFonts w:ascii="Book Antiqua" w:eastAsia="Times New Roman" w:hAnsi="Book Antiqua" w:cs="Times New Roman"/>
          <w:sz w:val="24"/>
          <w:szCs w:val="24"/>
          <w:lang w:eastAsia="es-PR"/>
        </w:rPr>
      </w:pPr>
      <w:r>
        <w:rPr>
          <w:rFonts w:ascii="Book Antiqua" w:eastAsia="Times New Roman" w:hAnsi="Book Antiqua" w:cs="Times New Roman"/>
          <w:sz w:val="24"/>
          <w:szCs w:val="24"/>
          <w:lang w:eastAsia="es-PR"/>
        </w:rPr>
        <w:t xml:space="preserve">A pesar de lo anterior, </w:t>
      </w:r>
      <w:r w:rsidR="00AC3853" w:rsidRPr="00AC3853">
        <w:rPr>
          <w:rFonts w:ascii="Book Antiqua" w:eastAsia="Times New Roman" w:hAnsi="Book Antiqua" w:cs="Times New Roman"/>
          <w:sz w:val="24"/>
          <w:szCs w:val="24"/>
          <w:lang w:eastAsia="es-PR"/>
        </w:rPr>
        <w:t xml:space="preserve"> advierte sobre la interacción con la Ley PROMESA en cuanto a las disposiciones presupuestarias. Indica que “las disposiciones referentes a incluir sin más, el presupuesto propuesto por la entidad en el borrador del presupuesto del Gobierno Central</w:t>
      </w:r>
      <w:r w:rsidR="00BC2E9E">
        <w:rPr>
          <w:rFonts w:ascii="Book Antiqua" w:eastAsia="Times New Roman" w:hAnsi="Book Antiqua" w:cs="Times New Roman"/>
          <w:sz w:val="24"/>
          <w:szCs w:val="24"/>
          <w:lang w:eastAsia="es-PR"/>
        </w:rPr>
        <w:t>, no se puede considerar de manera</w:t>
      </w:r>
      <w:r w:rsidR="00AC3853" w:rsidRPr="00AC3853">
        <w:rPr>
          <w:rFonts w:ascii="Book Antiqua" w:eastAsia="Times New Roman" w:hAnsi="Book Antiqua" w:cs="Times New Roman"/>
          <w:sz w:val="24"/>
          <w:szCs w:val="24"/>
          <w:lang w:eastAsia="es-PR"/>
        </w:rPr>
        <w:t xml:space="preserve"> aislada del marco legal imperante en Puerto Rico con la Ley PROMESA”</w:t>
      </w:r>
      <w:r w:rsidR="001003F5">
        <w:rPr>
          <w:rFonts w:ascii="Book Antiqua" w:eastAsia="Times New Roman" w:hAnsi="Book Antiqua" w:cs="Times New Roman"/>
          <w:sz w:val="24"/>
          <w:szCs w:val="24"/>
          <w:lang w:eastAsia="es-PR"/>
        </w:rPr>
        <w:t>.</w:t>
      </w:r>
    </w:p>
    <w:p w14:paraId="6DB1536E" w14:textId="3E2EF27D" w:rsidR="00AC3853" w:rsidRPr="006B6C71" w:rsidRDefault="00AC3853" w:rsidP="0005438A">
      <w:pPr>
        <w:pStyle w:val="ListParagraph"/>
        <w:numPr>
          <w:ilvl w:val="0"/>
          <w:numId w:val="8"/>
        </w:numPr>
        <w:spacing w:after="0" w:line="240" w:lineRule="auto"/>
        <w:jc w:val="both"/>
        <w:rPr>
          <w:rFonts w:ascii="Book Antiqua" w:eastAsia="Times New Roman" w:hAnsi="Book Antiqua" w:cs="Times New Roman"/>
          <w:b/>
          <w:bCs/>
          <w:sz w:val="24"/>
          <w:szCs w:val="24"/>
        </w:rPr>
      </w:pPr>
      <w:r w:rsidRPr="006B6C71">
        <w:rPr>
          <w:rFonts w:ascii="Book Antiqua" w:eastAsia="Times New Roman" w:hAnsi="Book Antiqua" w:cs="Times New Roman"/>
          <w:b/>
          <w:bCs/>
          <w:sz w:val="24"/>
          <w:szCs w:val="24"/>
        </w:rPr>
        <w:t>Oficina de Ética Gubernamental (OEG)</w:t>
      </w:r>
    </w:p>
    <w:p w14:paraId="1F3987C9" w14:textId="77777777" w:rsidR="002B2A72" w:rsidRPr="0005438A" w:rsidRDefault="002B2A72" w:rsidP="0005438A">
      <w:pPr>
        <w:pStyle w:val="ListParagraph"/>
        <w:spacing w:after="0" w:line="240" w:lineRule="auto"/>
        <w:ind w:left="1428"/>
        <w:jc w:val="both"/>
        <w:rPr>
          <w:rFonts w:ascii="Book Antiqua" w:eastAsia="Times New Roman" w:hAnsi="Book Antiqua" w:cs="Times New Roman"/>
          <w:sz w:val="24"/>
          <w:szCs w:val="24"/>
        </w:rPr>
      </w:pPr>
    </w:p>
    <w:p w14:paraId="206BC3BA" w14:textId="5C4EB682" w:rsidR="00AC3853" w:rsidRPr="0005438A" w:rsidRDefault="00AC3853" w:rsidP="0005438A">
      <w:pPr>
        <w:spacing w:after="0" w:line="240" w:lineRule="auto"/>
        <w:ind w:firstLine="708"/>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t>La OEG explica que la medida propone enmendar varios artículos de la Ley 209-2003 con el fin de fortalecer al Instituto de Estadísticas de Puerto Rico, reconociendo que su misión es “promover cambios en los sistemas de recopilación de datos y estadísticas para que estos sean completos, confiables y de rápido y universal acceso”</w:t>
      </w:r>
      <w:r w:rsidR="00901BDB">
        <w:rPr>
          <w:rFonts w:ascii="Book Antiqua" w:eastAsia="Times New Roman" w:hAnsi="Book Antiqua" w:cs="Times New Roman"/>
          <w:sz w:val="24"/>
          <w:szCs w:val="24"/>
        </w:rPr>
        <w:t>.</w:t>
      </w:r>
    </w:p>
    <w:p w14:paraId="61407595" w14:textId="77777777" w:rsidR="00AC3853" w:rsidRPr="0005438A" w:rsidRDefault="00AC3853" w:rsidP="0005438A">
      <w:pPr>
        <w:pStyle w:val="ListParagraph"/>
        <w:spacing w:after="0" w:line="240" w:lineRule="auto"/>
        <w:ind w:left="1428"/>
        <w:jc w:val="both"/>
        <w:rPr>
          <w:rFonts w:ascii="Book Antiqua" w:eastAsia="Times New Roman" w:hAnsi="Book Antiqua" w:cs="Times New Roman"/>
          <w:sz w:val="24"/>
          <w:szCs w:val="24"/>
        </w:rPr>
      </w:pPr>
    </w:p>
    <w:p w14:paraId="0314ED11" w14:textId="52BC8D37" w:rsidR="00AC3853" w:rsidRPr="0005438A" w:rsidRDefault="00AC3853" w:rsidP="0005438A">
      <w:pPr>
        <w:spacing w:after="0" w:line="240" w:lineRule="auto"/>
        <w:ind w:firstLine="708"/>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t>Asimismo</w:t>
      </w:r>
      <w:r w:rsidR="002B2A72" w:rsidRPr="0005438A">
        <w:rPr>
          <w:rFonts w:ascii="Book Antiqua" w:eastAsia="Times New Roman" w:hAnsi="Book Antiqua" w:cs="Times New Roman"/>
          <w:sz w:val="24"/>
          <w:szCs w:val="24"/>
        </w:rPr>
        <w:t>, en su memorial resaltan</w:t>
      </w:r>
      <w:r w:rsidRPr="0005438A">
        <w:rPr>
          <w:rFonts w:ascii="Book Antiqua" w:eastAsia="Times New Roman" w:hAnsi="Book Antiqua" w:cs="Times New Roman"/>
          <w:sz w:val="24"/>
          <w:szCs w:val="24"/>
        </w:rPr>
        <w:t xml:space="preserve"> que el Instituto ya cuenta con facultades para allegar recursos, incluyendo “recibir donativos y fijar y cobrar derechos razonables para la obtención de la información y los estudios que origine, analice o divulgue”</w:t>
      </w:r>
      <w:r w:rsidR="00901BDB">
        <w:rPr>
          <w:rFonts w:ascii="Book Antiqua" w:eastAsia="Times New Roman" w:hAnsi="Book Antiqua" w:cs="Times New Roman"/>
          <w:sz w:val="24"/>
          <w:szCs w:val="24"/>
        </w:rPr>
        <w:t>.</w:t>
      </w:r>
    </w:p>
    <w:p w14:paraId="54D750DC" w14:textId="77777777" w:rsidR="00AC3853" w:rsidRPr="0005438A" w:rsidRDefault="00AC3853" w:rsidP="0005438A">
      <w:pPr>
        <w:pStyle w:val="ListParagraph"/>
        <w:spacing w:after="0" w:line="240" w:lineRule="auto"/>
        <w:ind w:left="1428"/>
        <w:jc w:val="both"/>
        <w:rPr>
          <w:rFonts w:ascii="Book Antiqua" w:eastAsia="Times New Roman" w:hAnsi="Book Antiqua" w:cs="Times New Roman"/>
          <w:sz w:val="24"/>
          <w:szCs w:val="24"/>
        </w:rPr>
      </w:pPr>
    </w:p>
    <w:p w14:paraId="797B37D5" w14:textId="16BD42CE" w:rsidR="00AC3853" w:rsidRPr="00AC3853" w:rsidRDefault="00AC3853" w:rsidP="0005438A">
      <w:pPr>
        <w:spacing w:after="0" w:line="240" w:lineRule="auto"/>
        <w:ind w:firstLine="708"/>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t>E</w:t>
      </w:r>
      <w:r w:rsidRPr="00AC3853">
        <w:rPr>
          <w:rFonts w:ascii="Book Antiqua" w:eastAsia="Times New Roman" w:hAnsi="Book Antiqua" w:cs="Times New Roman"/>
          <w:sz w:val="24"/>
          <w:szCs w:val="24"/>
        </w:rPr>
        <w:t>n cuanto a los estándares éticos, la OEG destaca la pertinencia de autorizar a la Junta de Directores del Instituto para establecer normas de conducta, señalando que “puede establecer los estándares éticos que estime pertinentes para regular la conducta de toda persona que labore en las unidades de estadísticas, o que asesore, intervenga o colabore con el Servicio de Producción Estadística”</w:t>
      </w:r>
      <w:r w:rsidR="003779D8">
        <w:rPr>
          <w:rFonts w:ascii="Book Antiqua" w:eastAsia="Times New Roman" w:hAnsi="Book Antiqua" w:cs="Times New Roman"/>
          <w:sz w:val="24"/>
          <w:szCs w:val="24"/>
        </w:rPr>
        <w:t>.</w:t>
      </w:r>
    </w:p>
    <w:p w14:paraId="3F7A257E" w14:textId="1DB4FADE" w:rsidR="00AC3853" w:rsidRPr="0005438A" w:rsidRDefault="00AC3853" w:rsidP="0005438A">
      <w:pPr>
        <w:spacing w:after="0" w:line="240" w:lineRule="auto"/>
        <w:ind w:firstLine="708"/>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lastRenderedPageBreak/>
        <w:t xml:space="preserve">Sin embargo, </w:t>
      </w:r>
      <w:r w:rsidRPr="003779D8">
        <w:rPr>
          <w:rFonts w:ascii="Book Antiqua" w:eastAsia="Times New Roman" w:hAnsi="Book Antiqua" w:cs="Times New Roman"/>
          <w:b/>
          <w:bCs/>
          <w:sz w:val="24"/>
          <w:szCs w:val="24"/>
        </w:rPr>
        <w:t>advierte</w:t>
      </w:r>
      <w:r w:rsidRPr="0005438A">
        <w:rPr>
          <w:rFonts w:ascii="Book Antiqua" w:eastAsia="Times New Roman" w:hAnsi="Book Antiqua" w:cs="Times New Roman"/>
          <w:sz w:val="24"/>
          <w:szCs w:val="24"/>
        </w:rPr>
        <w:t xml:space="preserve"> que dichos estándares no deben contravenir las disposiciones de la Ley Orgánica de la Oficina de Ética Gubernamental ni otras leyes aplicables.</w:t>
      </w:r>
    </w:p>
    <w:p w14:paraId="269C8A2E" w14:textId="77777777" w:rsidR="00AC3853" w:rsidRPr="0005438A" w:rsidRDefault="00AC3853" w:rsidP="0005438A">
      <w:pPr>
        <w:spacing w:after="0" w:line="240" w:lineRule="auto"/>
        <w:jc w:val="both"/>
        <w:rPr>
          <w:rFonts w:ascii="Book Antiqua" w:eastAsia="Times New Roman" w:hAnsi="Book Antiqua" w:cs="Times New Roman"/>
          <w:sz w:val="24"/>
          <w:szCs w:val="24"/>
        </w:rPr>
      </w:pPr>
    </w:p>
    <w:p w14:paraId="1D8A3055" w14:textId="3E99C859" w:rsidR="00AC3853" w:rsidRPr="00AC3853" w:rsidRDefault="00AC3853" w:rsidP="0005438A">
      <w:pPr>
        <w:spacing w:after="0" w:line="240" w:lineRule="auto"/>
        <w:ind w:firstLine="708"/>
        <w:jc w:val="both"/>
        <w:rPr>
          <w:rFonts w:ascii="Book Antiqua" w:eastAsia="Times New Roman" w:hAnsi="Book Antiqua" w:cs="Times New Roman"/>
          <w:sz w:val="24"/>
          <w:szCs w:val="24"/>
        </w:rPr>
      </w:pPr>
      <w:r w:rsidRPr="00AC3853">
        <w:rPr>
          <w:rFonts w:ascii="Book Antiqua" w:eastAsia="Times New Roman" w:hAnsi="Book Antiqua" w:cs="Times New Roman"/>
          <w:sz w:val="24"/>
          <w:szCs w:val="24"/>
        </w:rPr>
        <w:t>La OEG  respalda las disposiciones de transparencia del proyecto, afirmando que “apoyamos toda Medida que tenga como objetivo fomentar la transparencia en la gestión gubernamental, particularmente cuando se trata de las operaciones fiscales de las entidades públicas”</w:t>
      </w:r>
      <w:r w:rsidR="002B2A72" w:rsidRPr="0005438A">
        <w:rPr>
          <w:rFonts w:ascii="Book Antiqua" w:eastAsia="Times New Roman" w:hAnsi="Book Antiqua" w:cs="Times New Roman"/>
          <w:sz w:val="24"/>
          <w:szCs w:val="24"/>
        </w:rPr>
        <w:t>.</w:t>
      </w:r>
    </w:p>
    <w:p w14:paraId="252445DD" w14:textId="77777777" w:rsidR="002B2A72" w:rsidRPr="0005438A" w:rsidRDefault="002B2A72" w:rsidP="0005438A">
      <w:pPr>
        <w:spacing w:after="0" w:line="240" w:lineRule="auto"/>
        <w:jc w:val="both"/>
        <w:rPr>
          <w:rFonts w:ascii="Book Antiqua" w:eastAsia="Times New Roman" w:hAnsi="Book Antiqua" w:cs="Times New Roman"/>
          <w:sz w:val="24"/>
          <w:szCs w:val="24"/>
        </w:rPr>
      </w:pPr>
    </w:p>
    <w:p w14:paraId="241A6741" w14:textId="0D29CD65" w:rsidR="00AC3853" w:rsidRPr="0005438A" w:rsidRDefault="00AC3853" w:rsidP="0005438A">
      <w:pPr>
        <w:spacing w:after="0" w:line="240" w:lineRule="auto"/>
        <w:ind w:firstLine="708"/>
        <w:jc w:val="both"/>
        <w:rPr>
          <w:rFonts w:ascii="Book Antiqua" w:eastAsia="Times New Roman" w:hAnsi="Book Antiqua" w:cs="Times New Roman"/>
          <w:sz w:val="24"/>
          <w:szCs w:val="24"/>
        </w:rPr>
      </w:pPr>
      <w:r w:rsidRPr="00AC3853">
        <w:rPr>
          <w:rFonts w:ascii="Book Antiqua" w:eastAsia="Times New Roman" w:hAnsi="Book Antiqua" w:cs="Times New Roman"/>
          <w:sz w:val="24"/>
          <w:szCs w:val="24"/>
        </w:rPr>
        <w:t>En ese sentido, recuerda que la propia Oficina publica sus informes de auditoría y estados financieros en su portal electrónico.</w:t>
      </w:r>
      <w:r w:rsidR="002B2A72" w:rsidRPr="0005438A">
        <w:rPr>
          <w:rFonts w:ascii="Book Antiqua" w:eastAsia="Times New Roman" w:hAnsi="Book Antiqua" w:cs="Times New Roman"/>
          <w:sz w:val="24"/>
          <w:szCs w:val="24"/>
        </w:rPr>
        <w:t xml:space="preserve"> </w:t>
      </w:r>
      <w:r w:rsidRPr="00AC3853">
        <w:rPr>
          <w:rFonts w:ascii="Book Antiqua" w:eastAsia="Times New Roman" w:hAnsi="Book Antiqua" w:cs="Times New Roman"/>
          <w:sz w:val="24"/>
          <w:szCs w:val="24"/>
        </w:rPr>
        <w:t>Otro aspecto que la OEG respalda es la creación del Programa de Academias y Talleres, al considerar que la educación continua es fundamental. Según el memorial, “favorecemos toda legislación que tenga como fin el educar a las personas que le brindan servicios a Puerto Rico</w:t>
      </w:r>
      <w:r w:rsidR="000106FC">
        <w:rPr>
          <w:rFonts w:ascii="Book Antiqua" w:eastAsia="Times New Roman" w:hAnsi="Book Antiqua" w:cs="Times New Roman"/>
          <w:sz w:val="24"/>
          <w:szCs w:val="24"/>
        </w:rPr>
        <w:t>”</w:t>
      </w:r>
      <w:r w:rsidRPr="00AC3853">
        <w:rPr>
          <w:rFonts w:ascii="Book Antiqua" w:eastAsia="Times New Roman" w:hAnsi="Book Antiqua" w:cs="Times New Roman"/>
          <w:sz w:val="24"/>
          <w:szCs w:val="24"/>
        </w:rPr>
        <w:t>. Incluso, sugiere que los cursos del Instituto puedan ser convalidados como parte de la educación continua en materia de ética para los servidores públicos de la Rama Ejecutiva.</w:t>
      </w:r>
    </w:p>
    <w:p w14:paraId="4C182056" w14:textId="77777777" w:rsidR="002B2A72" w:rsidRPr="00AC3853" w:rsidRDefault="002B2A72" w:rsidP="0005438A">
      <w:pPr>
        <w:spacing w:after="0" w:line="240" w:lineRule="auto"/>
        <w:ind w:firstLine="708"/>
        <w:jc w:val="both"/>
        <w:rPr>
          <w:rFonts w:ascii="Book Antiqua" w:eastAsia="Times New Roman" w:hAnsi="Book Antiqua" w:cs="Times New Roman"/>
          <w:sz w:val="24"/>
          <w:szCs w:val="24"/>
        </w:rPr>
      </w:pPr>
    </w:p>
    <w:p w14:paraId="23F7F771" w14:textId="69ADE8D9" w:rsidR="00AC3853" w:rsidRPr="00AC3853" w:rsidRDefault="00AC3853" w:rsidP="0005438A">
      <w:pPr>
        <w:spacing w:after="0" w:line="240" w:lineRule="auto"/>
        <w:ind w:firstLine="708"/>
        <w:jc w:val="both"/>
        <w:rPr>
          <w:rFonts w:ascii="Book Antiqua" w:eastAsia="Times New Roman" w:hAnsi="Book Antiqua" w:cs="Times New Roman"/>
          <w:sz w:val="24"/>
          <w:szCs w:val="24"/>
        </w:rPr>
      </w:pPr>
      <w:r w:rsidRPr="00AC3853">
        <w:rPr>
          <w:rFonts w:ascii="Book Antiqua" w:eastAsia="Times New Roman" w:hAnsi="Book Antiqua" w:cs="Times New Roman"/>
          <w:sz w:val="24"/>
          <w:szCs w:val="24"/>
        </w:rPr>
        <w:t>Finalmente, la OEG recomienda enmendar algunos detalles técnicos del proyecto, como corregir la cita legal para referirse a la “Ley Orgánica de la Oficina de Ética Gubernamental de Puerto Rico” en lugar de la “Ley de Ética Gubernamental de 2011” y aclarar si las 12 horas de educación continua para contratistas deben cumplirse anualmente o en un término de 15 días</w:t>
      </w:r>
      <w:r w:rsidR="00943402" w:rsidRPr="0005438A">
        <w:rPr>
          <w:rFonts w:ascii="Book Antiqua" w:eastAsia="Times New Roman" w:hAnsi="Book Antiqua" w:cs="Times New Roman"/>
          <w:sz w:val="24"/>
          <w:szCs w:val="24"/>
        </w:rPr>
        <w:t>.</w:t>
      </w:r>
    </w:p>
    <w:p w14:paraId="737B5006" w14:textId="53AD9757" w:rsidR="00AC3853" w:rsidRPr="00AC3853" w:rsidRDefault="00AC3853" w:rsidP="0005438A">
      <w:pPr>
        <w:spacing w:after="0" w:line="240" w:lineRule="auto"/>
        <w:jc w:val="both"/>
        <w:rPr>
          <w:rFonts w:ascii="Book Antiqua" w:eastAsia="Times New Roman" w:hAnsi="Book Antiqua" w:cs="Times New Roman"/>
          <w:sz w:val="24"/>
          <w:szCs w:val="24"/>
        </w:rPr>
      </w:pPr>
    </w:p>
    <w:p w14:paraId="35FF0D68" w14:textId="13F3564E" w:rsidR="00AC3853" w:rsidRPr="006B6C71" w:rsidRDefault="0095458A" w:rsidP="0005438A">
      <w:pPr>
        <w:pStyle w:val="ListParagraph"/>
        <w:numPr>
          <w:ilvl w:val="0"/>
          <w:numId w:val="8"/>
        </w:numPr>
        <w:spacing w:after="0" w:line="240" w:lineRule="auto"/>
        <w:jc w:val="both"/>
        <w:rPr>
          <w:rFonts w:ascii="Book Antiqua" w:eastAsia="Times New Roman" w:hAnsi="Book Antiqua" w:cs="Times New Roman"/>
          <w:b/>
          <w:bCs/>
          <w:sz w:val="24"/>
          <w:szCs w:val="24"/>
        </w:rPr>
      </w:pPr>
      <w:r w:rsidRPr="006B6C71">
        <w:rPr>
          <w:rFonts w:ascii="Book Antiqua" w:eastAsia="Times New Roman" w:hAnsi="Book Antiqua" w:cs="Times New Roman"/>
          <w:b/>
          <w:bCs/>
          <w:sz w:val="24"/>
          <w:szCs w:val="24"/>
        </w:rPr>
        <w:t>Administración de Asuntos Federales de Puerto Rico (PRFAA)</w:t>
      </w:r>
    </w:p>
    <w:p w14:paraId="3128CF74" w14:textId="77777777" w:rsidR="00943402" w:rsidRPr="0005438A" w:rsidRDefault="00943402" w:rsidP="0005438A">
      <w:pPr>
        <w:pStyle w:val="ListParagraph"/>
        <w:spacing w:after="0" w:line="240" w:lineRule="auto"/>
        <w:ind w:left="1428"/>
        <w:jc w:val="both"/>
        <w:rPr>
          <w:rFonts w:ascii="Book Antiqua" w:eastAsia="Times New Roman" w:hAnsi="Book Antiqua" w:cs="Times New Roman"/>
          <w:sz w:val="24"/>
          <w:szCs w:val="24"/>
        </w:rPr>
      </w:pPr>
    </w:p>
    <w:p w14:paraId="651D37A0" w14:textId="34434EDC" w:rsidR="0095458A" w:rsidRPr="0005438A" w:rsidRDefault="0095458A" w:rsidP="006B6C71">
      <w:pPr>
        <w:spacing w:after="0" w:line="240" w:lineRule="auto"/>
        <w:ind w:firstLine="708"/>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t>PRFAA comienza reconociendo que el proyecto busca fortalecer la infraestructura estadística de Puerto Rico, lo cual es vital para la transparencia gubernamental y para la representación del país ante el gobierno federal. Según el memorial, “la medida impulsa la transparencia, mejora la calidad y manejo de los datos oficiales, aspectos clave para la representación de Puerto Rico en procesos federales”</w:t>
      </w:r>
      <w:r w:rsidR="00F06CE4">
        <w:rPr>
          <w:rFonts w:ascii="Book Antiqua" w:eastAsia="Times New Roman" w:hAnsi="Book Antiqua" w:cs="Times New Roman"/>
          <w:sz w:val="24"/>
          <w:szCs w:val="24"/>
        </w:rPr>
        <w:t>.</w:t>
      </w:r>
    </w:p>
    <w:p w14:paraId="2CEBE8BE" w14:textId="77777777" w:rsidR="0095458A" w:rsidRPr="0005438A" w:rsidRDefault="0095458A" w:rsidP="0005438A">
      <w:pPr>
        <w:spacing w:after="0" w:line="240" w:lineRule="auto"/>
        <w:jc w:val="both"/>
        <w:rPr>
          <w:rFonts w:ascii="Book Antiqua" w:eastAsia="Times New Roman" w:hAnsi="Book Antiqua" w:cs="Times New Roman"/>
          <w:sz w:val="24"/>
          <w:szCs w:val="24"/>
        </w:rPr>
      </w:pPr>
    </w:p>
    <w:p w14:paraId="3A3A4561" w14:textId="7639C89E" w:rsidR="0095458A" w:rsidRPr="0005438A" w:rsidRDefault="00D56DD6" w:rsidP="0005438A">
      <w:pPr>
        <w:spacing w:after="0" w:line="240" w:lineRule="auto"/>
        <w:ind w:firstLine="708"/>
        <w:jc w:val="both"/>
        <w:rPr>
          <w:rFonts w:ascii="Book Antiqua" w:eastAsia="Times New Roman" w:hAnsi="Book Antiqua" w:cs="Times New Roman"/>
          <w:sz w:val="24"/>
          <w:szCs w:val="24"/>
        </w:rPr>
      </w:pPr>
      <w:r>
        <w:rPr>
          <w:rFonts w:ascii="Book Antiqua" w:eastAsia="Times New Roman" w:hAnsi="Book Antiqua" w:cs="Times New Roman"/>
          <w:sz w:val="24"/>
          <w:szCs w:val="24"/>
        </w:rPr>
        <w:t>PRFAA menciona</w:t>
      </w:r>
      <w:r w:rsidR="0095458A" w:rsidRPr="0005438A">
        <w:rPr>
          <w:rFonts w:ascii="Book Antiqua" w:eastAsia="Times New Roman" w:hAnsi="Book Antiqua" w:cs="Times New Roman"/>
          <w:sz w:val="24"/>
          <w:szCs w:val="24"/>
        </w:rPr>
        <w:t xml:space="preserve"> que actualmente el Instituto carece de herramientas legales para sostener sus operaciones de forma autónoma, ya que “la ley vigente no le otorga facultades claras para solicitar y recibir donativos, cobrar por servicios especializados ni generar ingresos propios. Como resultado, el Instituto depende casi exclusivamente del Fondo General, una situación insostenible dadas las restricciones fiscales que enfrenta el Gobierno de Puerto Rico”</w:t>
      </w:r>
      <w:r w:rsidR="00C4325E">
        <w:rPr>
          <w:rFonts w:ascii="Book Antiqua" w:eastAsia="Times New Roman" w:hAnsi="Book Antiqua" w:cs="Times New Roman"/>
          <w:sz w:val="24"/>
          <w:szCs w:val="24"/>
        </w:rPr>
        <w:t>.</w:t>
      </w:r>
    </w:p>
    <w:p w14:paraId="688473B3" w14:textId="77777777" w:rsidR="0095458A" w:rsidRPr="0005438A" w:rsidRDefault="0095458A" w:rsidP="0005438A">
      <w:pPr>
        <w:spacing w:after="0" w:line="240" w:lineRule="auto"/>
        <w:jc w:val="both"/>
        <w:rPr>
          <w:rFonts w:ascii="Book Antiqua" w:eastAsia="Times New Roman" w:hAnsi="Book Antiqua" w:cs="Times New Roman"/>
          <w:sz w:val="24"/>
          <w:szCs w:val="24"/>
        </w:rPr>
      </w:pPr>
    </w:p>
    <w:p w14:paraId="5CC42D20" w14:textId="6DC7249B" w:rsidR="008C00AA" w:rsidRPr="008C00AA" w:rsidRDefault="008C00AA" w:rsidP="008C00AA">
      <w:pPr>
        <w:spacing w:after="0" w:line="240" w:lineRule="auto"/>
        <w:ind w:firstLine="708"/>
        <w:jc w:val="both"/>
        <w:rPr>
          <w:rFonts w:ascii="Book Antiqua" w:eastAsia="Times New Roman" w:hAnsi="Book Antiqua" w:cs="Times New Roman"/>
          <w:sz w:val="24"/>
          <w:szCs w:val="24"/>
        </w:rPr>
      </w:pPr>
      <w:r w:rsidRPr="008C00AA">
        <w:rPr>
          <w:rFonts w:ascii="Book Antiqua" w:eastAsia="Times New Roman" w:hAnsi="Book Antiqua" w:cs="Times New Roman"/>
          <w:sz w:val="24"/>
          <w:szCs w:val="24"/>
        </w:rPr>
        <w:t xml:space="preserve">Esa dependencia presupuestaria, advierte la agencia, incide directamente en la calidad de la información pública. El memorial resalta que “esta carencia debilita la calidad y credibilidad de la información oficial, justo en un momento en que el Gobierno de Puerto Rico enfrenta una profunda crisis fiscal y necesita tomar decisiones de política </w:t>
      </w:r>
      <w:r w:rsidRPr="008C00AA">
        <w:rPr>
          <w:rFonts w:ascii="Book Antiqua" w:eastAsia="Times New Roman" w:hAnsi="Book Antiqua" w:cs="Times New Roman"/>
          <w:sz w:val="24"/>
          <w:szCs w:val="24"/>
        </w:rPr>
        <w:lastRenderedPageBreak/>
        <w:t>pública basadas en evidencia confiable”. Por tanto, contar con estadísticas sólidas y profesionales capacitados es visto como un requisito indispensable para la “administración pública transparente ante la ciudadanía y el Gobierno Federal”</w:t>
      </w:r>
      <w:r w:rsidR="00F855E1">
        <w:rPr>
          <w:rFonts w:ascii="Book Antiqua" w:eastAsia="Times New Roman" w:hAnsi="Book Antiqua" w:cs="Times New Roman"/>
          <w:sz w:val="24"/>
          <w:szCs w:val="24"/>
        </w:rPr>
        <w:t>.</w:t>
      </w:r>
    </w:p>
    <w:p w14:paraId="75D01430" w14:textId="5FAA43CA" w:rsidR="0095458A" w:rsidRPr="0005438A" w:rsidRDefault="0095458A" w:rsidP="0005438A">
      <w:pPr>
        <w:spacing w:after="0" w:line="240" w:lineRule="auto"/>
        <w:jc w:val="both"/>
        <w:rPr>
          <w:rFonts w:ascii="Book Antiqua" w:eastAsia="Times New Roman" w:hAnsi="Book Antiqua" w:cs="Times New Roman"/>
          <w:sz w:val="24"/>
          <w:szCs w:val="24"/>
        </w:rPr>
      </w:pPr>
    </w:p>
    <w:p w14:paraId="4AA3690D" w14:textId="21F79731" w:rsidR="0095458A" w:rsidRPr="0005438A" w:rsidRDefault="0095458A" w:rsidP="0005438A">
      <w:pPr>
        <w:spacing w:after="0" w:line="240" w:lineRule="auto"/>
        <w:ind w:firstLine="708"/>
        <w:jc w:val="both"/>
        <w:rPr>
          <w:rFonts w:ascii="Book Antiqua" w:eastAsia="Times New Roman" w:hAnsi="Book Antiqua" w:cs="Times New Roman"/>
          <w:sz w:val="24"/>
          <w:szCs w:val="24"/>
        </w:rPr>
      </w:pPr>
      <w:r w:rsidRPr="0005438A">
        <w:rPr>
          <w:rFonts w:ascii="Book Antiqua" w:eastAsia="Times New Roman" w:hAnsi="Book Antiqua" w:cs="Times New Roman"/>
          <w:sz w:val="24"/>
          <w:szCs w:val="24"/>
        </w:rPr>
        <w:t>En conclusión, la PRFAA expresa su disposición a colaborar en el proceso legislativo, afirmando: “confiamos en que las recomendaciones aquí presentadas sean consideradas durante el proceso legislativo”</w:t>
      </w:r>
      <w:r w:rsidR="00943402" w:rsidRPr="0005438A">
        <w:rPr>
          <w:rFonts w:ascii="Book Antiqua" w:eastAsia="Times New Roman" w:hAnsi="Book Antiqua" w:cs="Times New Roman"/>
          <w:sz w:val="24"/>
          <w:szCs w:val="24"/>
        </w:rPr>
        <w:t>.</w:t>
      </w:r>
    </w:p>
    <w:p w14:paraId="45B0062C" w14:textId="3270017A" w:rsidR="0095458A" w:rsidRDefault="0095458A" w:rsidP="0005438A">
      <w:pPr>
        <w:spacing w:after="0" w:line="240" w:lineRule="auto"/>
        <w:jc w:val="both"/>
        <w:rPr>
          <w:rFonts w:ascii="Book Antiqua" w:eastAsia="Times New Roman" w:hAnsi="Book Antiqua" w:cs="Times New Roman"/>
          <w:sz w:val="24"/>
          <w:szCs w:val="24"/>
        </w:rPr>
      </w:pPr>
    </w:p>
    <w:p w14:paraId="66002EBF" w14:textId="77777777" w:rsidR="00C50279" w:rsidRPr="0005438A" w:rsidRDefault="00C50279" w:rsidP="0005438A">
      <w:pPr>
        <w:spacing w:after="0" w:line="240" w:lineRule="auto"/>
        <w:jc w:val="both"/>
        <w:rPr>
          <w:rFonts w:ascii="Book Antiqua" w:eastAsia="Times New Roman" w:hAnsi="Book Antiqua" w:cs="Times New Roman"/>
          <w:sz w:val="24"/>
          <w:szCs w:val="24"/>
        </w:rPr>
      </w:pPr>
    </w:p>
    <w:p w14:paraId="111E67F8" w14:textId="66FAC0AC" w:rsidR="0067067D" w:rsidRPr="0005438A" w:rsidRDefault="0067067D" w:rsidP="0005438A">
      <w:pPr>
        <w:pStyle w:val="NoSpacing"/>
        <w:contextualSpacing/>
        <w:jc w:val="center"/>
        <w:rPr>
          <w:rFonts w:ascii="Book Antiqua" w:hAnsi="Book Antiqua"/>
          <w:b/>
          <w:sz w:val="24"/>
          <w:szCs w:val="24"/>
          <w:lang w:val="es-ES_tradnl"/>
        </w:rPr>
      </w:pPr>
      <w:r w:rsidRPr="0005438A">
        <w:rPr>
          <w:rFonts w:ascii="Book Antiqua" w:hAnsi="Book Antiqua"/>
          <w:b/>
          <w:sz w:val="24"/>
          <w:szCs w:val="24"/>
          <w:lang w:val="es-ES_tradnl"/>
        </w:rPr>
        <w:t>IMPACTO FISCAL</w:t>
      </w:r>
    </w:p>
    <w:p w14:paraId="08FD930A" w14:textId="77777777" w:rsidR="00EE03A9" w:rsidRPr="0005438A" w:rsidRDefault="00EE03A9" w:rsidP="0005438A">
      <w:pPr>
        <w:pStyle w:val="NoSpacing"/>
        <w:contextualSpacing/>
        <w:jc w:val="center"/>
        <w:rPr>
          <w:rFonts w:ascii="Book Antiqua" w:hAnsi="Book Antiqua"/>
          <w:b/>
          <w:sz w:val="24"/>
          <w:szCs w:val="24"/>
          <w:lang w:val="es-ES_tradnl"/>
        </w:rPr>
      </w:pPr>
    </w:p>
    <w:p w14:paraId="1C914DAC" w14:textId="6CF6B899" w:rsidR="000F310F" w:rsidRPr="00390736" w:rsidRDefault="00104CFC" w:rsidP="00A966EC">
      <w:pPr>
        <w:pStyle w:val="NoSpacing"/>
        <w:ind w:firstLine="720"/>
        <w:contextualSpacing/>
        <w:jc w:val="both"/>
        <w:rPr>
          <w:rFonts w:ascii="Book Antiqua" w:hAnsi="Book Antiqua"/>
          <w:sz w:val="24"/>
          <w:szCs w:val="24"/>
          <w:lang w:val="es-US"/>
        </w:rPr>
      </w:pPr>
      <w:r w:rsidRPr="00A966EC">
        <w:rPr>
          <w:rFonts w:ascii="Book Antiqua" w:hAnsi="Book Antiqua"/>
          <w:sz w:val="24"/>
          <w:szCs w:val="24"/>
          <w:lang w:val="es-ES_tradnl"/>
        </w:rPr>
        <w:t xml:space="preserve">El Proyecto de la </w:t>
      </w:r>
      <w:r w:rsidR="009C0504" w:rsidRPr="00A966EC">
        <w:rPr>
          <w:rFonts w:ascii="Book Antiqua" w:hAnsi="Book Antiqua"/>
          <w:sz w:val="24"/>
          <w:szCs w:val="24"/>
          <w:lang w:val="es-ES_tradnl"/>
        </w:rPr>
        <w:t>Cámara</w:t>
      </w:r>
      <w:r w:rsidR="00D34737" w:rsidRPr="00A966EC">
        <w:rPr>
          <w:rFonts w:ascii="Book Antiqua" w:hAnsi="Book Antiqua"/>
          <w:sz w:val="24"/>
          <w:szCs w:val="24"/>
          <w:lang w:val="es-ES_tradnl"/>
        </w:rPr>
        <w:t xml:space="preserve"> </w:t>
      </w:r>
      <w:r w:rsidR="007A26E6" w:rsidRPr="00A966EC">
        <w:rPr>
          <w:rFonts w:ascii="Book Antiqua" w:hAnsi="Book Antiqua"/>
          <w:sz w:val="24"/>
          <w:szCs w:val="24"/>
          <w:lang w:val="es-ES_tradnl"/>
        </w:rPr>
        <w:t>73</w:t>
      </w:r>
      <w:r w:rsidR="00B85906" w:rsidRPr="00A966EC">
        <w:rPr>
          <w:rFonts w:ascii="Book Antiqua" w:hAnsi="Book Antiqua"/>
          <w:sz w:val="24"/>
          <w:szCs w:val="24"/>
          <w:lang w:val="es-ES_tradnl"/>
        </w:rPr>
        <w:t xml:space="preserve"> </w:t>
      </w:r>
      <w:r w:rsidR="00003A52" w:rsidRPr="00A966EC">
        <w:rPr>
          <w:rFonts w:ascii="Book Antiqua" w:hAnsi="Book Antiqua"/>
          <w:sz w:val="24"/>
          <w:szCs w:val="24"/>
          <w:lang w:val="es-PR"/>
        </w:rPr>
        <w:t>presenta riesgos fiscales y jurídicos que impiden recomendar su aprobación. El Instituto de Estadísticas estima que la implantación costaría “alrededor de $1.4 millones anualmente”, requiriendo recursos adicionales no identificados</w:t>
      </w:r>
      <w:r w:rsidR="00003A52" w:rsidRPr="00003A52">
        <w:rPr>
          <w:rFonts w:ascii="Book Antiqua" w:hAnsi="Book Antiqua"/>
          <w:sz w:val="24"/>
          <w:szCs w:val="24"/>
          <w:lang w:val="es-PR"/>
        </w:rPr>
        <w:t>. La OPAL, aunque concluye que “la medida no debe tener impacto fiscal perceptible”, reconoce que la disposición de incluir automáticamente el presupuesto del Instituto “no se puede considerar de manera aislada del marco legal imperante en Puerto Rico con la Ley PROMESA”</w:t>
      </w:r>
      <w:r w:rsidR="00003A52" w:rsidRPr="00A966EC">
        <w:rPr>
          <w:rFonts w:ascii="Book Antiqua" w:hAnsi="Book Antiqua"/>
          <w:sz w:val="24"/>
          <w:szCs w:val="24"/>
          <w:lang w:val="es-PR"/>
        </w:rPr>
        <w:t>, lo que anticipa conflictos con la Junta de Supervisión Fiscal.</w:t>
      </w:r>
      <w:r w:rsidR="000F310F" w:rsidRPr="00A966EC">
        <w:rPr>
          <w:rFonts w:ascii="Times New Roman" w:eastAsia="Times New Roman" w:hAnsi="Times New Roman"/>
          <w:sz w:val="24"/>
          <w:szCs w:val="24"/>
          <w:lang w:val="es-PR" w:eastAsia="es-PR"/>
        </w:rPr>
        <w:t xml:space="preserve"> Por su parte,</w:t>
      </w:r>
      <w:r w:rsidR="000F310F" w:rsidRPr="00A966EC">
        <w:rPr>
          <w:rFonts w:ascii="Book Antiqua" w:hAnsi="Book Antiqua"/>
          <w:sz w:val="24"/>
          <w:szCs w:val="24"/>
          <w:lang w:val="es-PR"/>
        </w:rPr>
        <w:t xml:space="preserve"> la Oficina del Contralor recordó que una medida similar fue vetada por el Ejecutivo, señalando que “no es posible que el Ejecutivo renuncie a su facultad constitucional de revisar los datos presupuestarios” y advirtiendo sobre “duplicidad de funciones” con OGP y OEG</w:t>
      </w:r>
      <w:r w:rsidR="000F310F" w:rsidRPr="000F310F">
        <w:rPr>
          <w:rFonts w:ascii="Book Antiqua" w:hAnsi="Book Antiqua"/>
          <w:sz w:val="24"/>
          <w:szCs w:val="24"/>
          <w:lang w:val="es-PR"/>
        </w:rPr>
        <w:t>. Igualmente, la Federación de Alcaldes alertó que la publicación obligatoria de información financiera “puede imponer una carga desproporcionada sobre municipios”</w:t>
      </w:r>
      <w:r w:rsidR="00A966EC" w:rsidRPr="00A966EC">
        <w:rPr>
          <w:rFonts w:ascii="Book Antiqua" w:hAnsi="Book Antiqua"/>
          <w:sz w:val="24"/>
          <w:szCs w:val="24"/>
          <w:lang w:val="es-PR"/>
        </w:rPr>
        <w:t>.</w:t>
      </w:r>
    </w:p>
    <w:p w14:paraId="0710E384" w14:textId="725D4664" w:rsidR="00605FC5" w:rsidRDefault="00605FC5" w:rsidP="006B6C71">
      <w:pPr>
        <w:pStyle w:val="NoSpacing"/>
        <w:ind w:firstLine="720"/>
        <w:contextualSpacing/>
        <w:jc w:val="both"/>
        <w:rPr>
          <w:rFonts w:ascii="Book Antiqua" w:hAnsi="Book Antiqua"/>
          <w:sz w:val="24"/>
          <w:szCs w:val="24"/>
          <w:lang w:val="es-US"/>
        </w:rPr>
      </w:pPr>
    </w:p>
    <w:p w14:paraId="2CB7C46A" w14:textId="77777777" w:rsidR="00C50279" w:rsidRPr="006B6C71" w:rsidRDefault="00C50279" w:rsidP="006B6C71">
      <w:pPr>
        <w:pStyle w:val="NoSpacing"/>
        <w:ind w:firstLine="720"/>
        <w:contextualSpacing/>
        <w:jc w:val="both"/>
        <w:rPr>
          <w:rFonts w:ascii="Book Antiqua" w:hAnsi="Book Antiqua"/>
          <w:sz w:val="24"/>
          <w:szCs w:val="24"/>
          <w:lang w:val="es-US"/>
        </w:rPr>
      </w:pPr>
    </w:p>
    <w:p w14:paraId="18D5007E" w14:textId="77777777" w:rsidR="00943402" w:rsidRPr="0005438A" w:rsidRDefault="00943402" w:rsidP="0005438A">
      <w:pPr>
        <w:spacing w:after="0" w:line="240" w:lineRule="auto"/>
        <w:jc w:val="center"/>
        <w:rPr>
          <w:rFonts w:ascii="Book Antiqua" w:eastAsia="Times New Roman" w:hAnsi="Book Antiqua" w:cs="Times New Roman"/>
          <w:b/>
          <w:sz w:val="24"/>
          <w:szCs w:val="24"/>
          <w:lang w:val="es-ES_tradnl"/>
        </w:rPr>
      </w:pPr>
      <w:r w:rsidRPr="00943402">
        <w:rPr>
          <w:rFonts w:ascii="Book Antiqua" w:eastAsia="Times New Roman" w:hAnsi="Book Antiqua" w:cs="Times New Roman"/>
          <w:b/>
          <w:sz w:val="24"/>
          <w:szCs w:val="24"/>
          <w:lang w:val="es-ES_tradnl"/>
        </w:rPr>
        <w:t>HALLAZGOS Y RECOMENDACIONES</w:t>
      </w:r>
    </w:p>
    <w:p w14:paraId="69984255" w14:textId="77777777" w:rsidR="00943402" w:rsidRPr="00943402" w:rsidRDefault="00943402" w:rsidP="0005438A">
      <w:pPr>
        <w:spacing w:after="0" w:line="240" w:lineRule="auto"/>
        <w:jc w:val="center"/>
        <w:rPr>
          <w:rFonts w:ascii="Book Antiqua" w:eastAsia="Times New Roman" w:hAnsi="Book Antiqua" w:cs="Times New Roman"/>
          <w:b/>
          <w:sz w:val="24"/>
          <w:szCs w:val="24"/>
          <w:lang w:val="es-ES_tradnl"/>
        </w:rPr>
      </w:pPr>
    </w:p>
    <w:p w14:paraId="415DB722" w14:textId="77777777" w:rsidR="00943402" w:rsidRPr="00943402" w:rsidRDefault="00943402" w:rsidP="0005438A">
      <w:pPr>
        <w:pStyle w:val="NoSpacing"/>
        <w:ind w:firstLine="708"/>
        <w:contextualSpacing/>
        <w:jc w:val="both"/>
        <w:rPr>
          <w:rFonts w:ascii="Book Antiqua" w:eastAsia="Times New Roman" w:hAnsi="Book Antiqua"/>
          <w:sz w:val="24"/>
          <w:szCs w:val="24"/>
          <w:lang w:val="es-PR"/>
        </w:rPr>
      </w:pPr>
      <w:r w:rsidRPr="00943402">
        <w:rPr>
          <w:rFonts w:ascii="Book Antiqua" w:eastAsia="Times New Roman" w:hAnsi="Book Antiqua"/>
          <w:sz w:val="24"/>
          <w:szCs w:val="24"/>
          <w:lang w:val="es-PR"/>
        </w:rPr>
        <w:t>Tras evaluar las ponencias sometidas por las agencias y entidades sobre el P. de la C. 73, se advierte un consenso general en cuanto a la importancia del Instituto de Estadísticas para fortalecer la capacidad técnica y la transparencia gubernamental. No obstante, las recomendaciones y reparos planteados revelan deficiencias significativas en el diseño de la medida que impiden recomendar su aprobación en los términos actuales.</w:t>
      </w:r>
    </w:p>
    <w:p w14:paraId="5447979A" w14:textId="77777777" w:rsidR="00943402" w:rsidRPr="00A80790" w:rsidRDefault="00943402" w:rsidP="0005438A">
      <w:pPr>
        <w:pStyle w:val="NoSpacing"/>
        <w:contextualSpacing/>
        <w:jc w:val="both"/>
        <w:rPr>
          <w:rFonts w:ascii="Book Antiqua" w:eastAsia="Times New Roman" w:hAnsi="Book Antiqua"/>
          <w:sz w:val="24"/>
          <w:szCs w:val="24"/>
          <w:lang w:val="es-PR"/>
        </w:rPr>
      </w:pPr>
    </w:p>
    <w:p w14:paraId="43477B21" w14:textId="4003A04D" w:rsidR="00943402" w:rsidRPr="00A80790" w:rsidRDefault="00985744" w:rsidP="0005438A">
      <w:pPr>
        <w:pStyle w:val="NoSpacing"/>
        <w:ind w:firstLine="708"/>
        <w:contextualSpacing/>
        <w:jc w:val="both"/>
        <w:rPr>
          <w:rFonts w:ascii="Book Antiqua" w:eastAsia="Times New Roman" w:hAnsi="Book Antiqua"/>
          <w:sz w:val="24"/>
          <w:szCs w:val="24"/>
          <w:lang w:val="es-PR"/>
        </w:rPr>
      </w:pPr>
      <w:r w:rsidRPr="00943402">
        <w:rPr>
          <w:rFonts w:ascii="Book Antiqua" w:eastAsia="Times New Roman" w:hAnsi="Book Antiqua"/>
          <w:sz w:val="24"/>
          <w:szCs w:val="24"/>
          <w:lang w:val="es-PR"/>
        </w:rPr>
        <w:t>E</w:t>
      </w:r>
      <w:r>
        <w:rPr>
          <w:rFonts w:ascii="Book Antiqua" w:eastAsia="Times New Roman" w:hAnsi="Book Antiqua"/>
          <w:sz w:val="24"/>
          <w:szCs w:val="24"/>
          <w:lang w:val="es-PR"/>
        </w:rPr>
        <w:t>specíficamente</w:t>
      </w:r>
      <w:r w:rsidR="00943402" w:rsidRPr="00943402">
        <w:rPr>
          <w:rFonts w:ascii="Book Antiqua" w:eastAsia="Times New Roman" w:hAnsi="Book Antiqua"/>
          <w:sz w:val="24"/>
          <w:szCs w:val="24"/>
          <w:lang w:val="es-PR"/>
        </w:rPr>
        <w:t xml:space="preserve"> la ASG señala que muchas de las facultades que se proponen ya están contempladas en la Ley 73-2019, advirtiendo que “la aprobación de un nuevo marco legal sin la debida armonización con la Ley 73-2019 pudiera provocar inconsistencias y duplicación de procesos”. Esto plantea un problema de redundancia</w:t>
      </w:r>
      <w:r w:rsidR="0005438A" w:rsidRPr="00A80790">
        <w:rPr>
          <w:rFonts w:ascii="Book Antiqua" w:eastAsia="Times New Roman" w:hAnsi="Book Antiqua"/>
          <w:sz w:val="24"/>
          <w:szCs w:val="24"/>
          <w:lang w:val="es-PR"/>
        </w:rPr>
        <w:t xml:space="preserve"> y conflicto entre leyes.</w:t>
      </w:r>
    </w:p>
    <w:p w14:paraId="70AEE899" w14:textId="77777777" w:rsidR="0005438A" w:rsidRPr="00943402" w:rsidRDefault="0005438A" w:rsidP="0005438A">
      <w:pPr>
        <w:pStyle w:val="NoSpacing"/>
        <w:ind w:firstLine="708"/>
        <w:contextualSpacing/>
        <w:jc w:val="both"/>
        <w:rPr>
          <w:rFonts w:ascii="Book Antiqua" w:eastAsia="Times New Roman" w:hAnsi="Book Antiqua"/>
          <w:sz w:val="24"/>
          <w:szCs w:val="24"/>
          <w:lang w:val="es-PR"/>
        </w:rPr>
      </w:pPr>
    </w:p>
    <w:p w14:paraId="284B6A6B" w14:textId="4F52F987" w:rsidR="00943402" w:rsidRPr="00A80790" w:rsidRDefault="00943402" w:rsidP="0005438A">
      <w:pPr>
        <w:pStyle w:val="NoSpacing"/>
        <w:ind w:firstLine="708"/>
        <w:contextualSpacing/>
        <w:jc w:val="both"/>
        <w:rPr>
          <w:rFonts w:ascii="Book Antiqua" w:eastAsia="Times New Roman" w:hAnsi="Book Antiqua"/>
          <w:sz w:val="24"/>
          <w:szCs w:val="24"/>
          <w:lang w:val="es-PR"/>
        </w:rPr>
      </w:pPr>
      <w:r w:rsidRPr="00943402">
        <w:rPr>
          <w:rFonts w:ascii="Book Antiqua" w:eastAsia="Times New Roman" w:hAnsi="Book Antiqua"/>
          <w:sz w:val="24"/>
          <w:szCs w:val="24"/>
          <w:lang w:val="es-PR"/>
        </w:rPr>
        <w:t xml:space="preserve">El Instituto de Estadísticas (IEPR), aunque apoya la medida, condiciona su aval al otorgamiento de recursos adicionales y advierte que “la implementación de este sistema </w:t>
      </w:r>
      <w:r w:rsidRPr="00943402">
        <w:rPr>
          <w:rFonts w:ascii="Book Antiqua" w:eastAsia="Times New Roman" w:hAnsi="Book Antiqua"/>
          <w:sz w:val="24"/>
          <w:szCs w:val="24"/>
          <w:lang w:val="es-PR"/>
        </w:rPr>
        <w:lastRenderedPageBreak/>
        <w:t xml:space="preserve">en el Instituto </w:t>
      </w:r>
      <w:r w:rsidR="0005438A" w:rsidRPr="00A80790">
        <w:rPr>
          <w:rFonts w:ascii="Book Antiqua" w:eastAsia="Times New Roman" w:hAnsi="Book Antiqua"/>
          <w:sz w:val="24"/>
          <w:szCs w:val="24"/>
          <w:lang w:val="es-PR"/>
        </w:rPr>
        <w:t xml:space="preserve">provocaría </w:t>
      </w:r>
      <w:r w:rsidRPr="00943402">
        <w:rPr>
          <w:rFonts w:ascii="Book Antiqua" w:eastAsia="Times New Roman" w:hAnsi="Book Antiqua"/>
          <w:sz w:val="24"/>
          <w:szCs w:val="24"/>
          <w:lang w:val="es-PR"/>
        </w:rPr>
        <w:t>una duplicidad de funciones… y no se alinea del todo con las competencias estatutarias conferidas al Instituto”. Esto refleja que, sin ajustes sustanciales, la medida puede crear más cargas que soluciones.</w:t>
      </w:r>
    </w:p>
    <w:p w14:paraId="7E585EB2" w14:textId="77777777" w:rsidR="00943402" w:rsidRPr="00943402" w:rsidRDefault="00943402" w:rsidP="0005438A">
      <w:pPr>
        <w:pStyle w:val="NoSpacing"/>
        <w:ind w:firstLine="708"/>
        <w:contextualSpacing/>
        <w:jc w:val="both"/>
        <w:rPr>
          <w:rFonts w:ascii="Book Antiqua" w:eastAsia="Times New Roman" w:hAnsi="Book Antiqua"/>
          <w:sz w:val="24"/>
          <w:szCs w:val="24"/>
          <w:lang w:val="es-PR"/>
        </w:rPr>
      </w:pPr>
    </w:p>
    <w:p w14:paraId="703E6502" w14:textId="24F6D522" w:rsidR="00943402" w:rsidRPr="00A80790" w:rsidRDefault="00943402" w:rsidP="0005438A">
      <w:pPr>
        <w:pStyle w:val="NoSpacing"/>
        <w:ind w:firstLine="708"/>
        <w:contextualSpacing/>
        <w:jc w:val="both"/>
        <w:rPr>
          <w:rFonts w:ascii="Book Antiqua" w:eastAsia="Times New Roman" w:hAnsi="Book Antiqua"/>
          <w:sz w:val="24"/>
          <w:szCs w:val="24"/>
          <w:lang w:val="es-PR"/>
        </w:rPr>
      </w:pPr>
      <w:r w:rsidRPr="00943402">
        <w:rPr>
          <w:rFonts w:ascii="Book Antiqua" w:eastAsia="Times New Roman" w:hAnsi="Book Antiqua"/>
          <w:sz w:val="24"/>
          <w:szCs w:val="24"/>
          <w:lang w:val="es-PR"/>
        </w:rPr>
        <w:t>La OIG favorece el proyecto, pero</w:t>
      </w:r>
      <w:r w:rsidR="00362A3D">
        <w:rPr>
          <w:rFonts w:ascii="Book Antiqua" w:eastAsia="Times New Roman" w:hAnsi="Book Antiqua"/>
          <w:sz w:val="24"/>
          <w:szCs w:val="24"/>
          <w:lang w:val="es-PR"/>
        </w:rPr>
        <w:t xml:space="preserve"> no entra a</w:t>
      </w:r>
      <w:r w:rsidR="00153D80">
        <w:rPr>
          <w:rFonts w:ascii="Book Antiqua" w:eastAsia="Times New Roman" w:hAnsi="Book Antiqua"/>
          <w:sz w:val="24"/>
          <w:szCs w:val="24"/>
          <w:lang w:val="es-PR"/>
        </w:rPr>
        <w:t xml:space="preserve"> considerar</w:t>
      </w:r>
      <w:r w:rsidRPr="00943402">
        <w:rPr>
          <w:rFonts w:ascii="Book Antiqua" w:eastAsia="Times New Roman" w:hAnsi="Book Antiqua"/>
          <w:sz w:val="24"/>
          <w:szCs w:val="24"/>
          <w:lang w:val="es-PR"/>
        </w:rPr>
        <w:t xml:space="preserve"> los retos operacionales y fiscales que otras entidades han identificado, lo que deja claro que el apoyo no es absoluto ni suficiente para justificar su aprobación inmediata.</w:t>
      </w:r>
    </w:p>
    <w:p w14:paraId="3EA9F973" w14:textId="77777777" w:rsidR="00A80790" w:rsidRPr="00943402" w:rsidRDefault="00A80790" w:rsidP="0005438A">
      <w:pPr>
        <w:pStyle w:val="NoSpacing"/>
        <w:ind w:firstLine="708"/>
        <w:contextualSpacing/>
        <w:jc w:val="both"/>
        <w:rPr>
          <w:rFonts w:ascii="Book Antiqua" w:eastAsia="Times New Roman" w:hAnsi="Book Antiqua"/>
          <w:sz w:val="24"/>
          <w:szCs w:val="24"/>
          <w:lang w:val="es-PR"/>
        </w:rPr>
      </w:pPr>
    </w:p>
    <w:p w14:paraId="24B5EB46" w14:textId="77777777" w:rsidR="00943402" w:rsidRPr="00A80790" w:rsidRDefault="00943402" w:rsidP="00A80790">
      <w:pPr>
        <w:pStyle w:val="NoSpacing"/>
        <w:ind w:firstLine="708"/>
        <w:contextualSpacing/>
        <w:jc w:val="both"/>
        <w:rPr>
          <w:rFonts w:ascii="Book Antiqua" w:eastAsia="Times New Roman" w:hAnsi="Book Antiqua"/>
          <w:sz w:val="24"/>
          <w:szCs w:val="24"/>
          <w:lang w:val="es-PR"/>
        </w:rPr>
      </w:pPr>
      <w:r w:rsidRPr="00943402">
        <w:rPr>
          <w:rFonts w:ascii="Book Antiqua" w:eastAsia="Times New Roman" w:hAnsi="Book Antiqua"/>
          <w:sz w:val="24"/>
          <w:szCs w:val="24"/>
          <w:lang w:val="es-PR"/>
        </w:rPr>
        <w:t>La OPAL concluye que “la medida no conlleva impacto fiscal adicional”, pero al mismo tiempo reconoce que la disposición de incluir automáticamente el presupuesto del Instituto en el modelo del Ejecutivo “no la podemos considerar aislada del marco legal imperante en Puerto Rico con la Ley PROMESA”. Esto anticipa un potencial choque jurídico con la Junta de Supervisión Fiscal.</w:t>
      </w:r>
    </w:p>
    <w:p w14:paraId="6B6F286E" w14:textId="77777777" w:rsidR="00943402" w:rsidRPr="00943402" w:rsidRDefault="00943402" w:rsidP="0005438A">
      <w:pPr>
        <w:pStyle w:val="NoSpacing"/>
        <w:contextualSpacing/>
        <w:jc w:val="both"/>
        <w:rPr>
          <w:rFonts w:ascii="Book Antiqua" w:eastAsia="Times New Roman" w:hAnsi="Book Antiqua"/>
          <w:sz w:val="24"/>
          <w:szCs w:val="24"/>
          <w:lang w:val="es-PR"/>
        </w:rPr>
      </w:pPr>
    </w:p>
    <w:p w14:paraId="720FA57B" w14:textId="77777777" w:rsidR="00943402" w:rsidRPr="00A80790" w:rsidRDefault="00943402" w:rsidP="0005438A">
      <w:pPr>
        <w:pStyle w:val="NoSpacing"/>
        <w:ind w:firstLine="708"/>
        <w:contextualSpacing/>
        <w:jc w:val="both"/>
        <w:rPr>
          <w:rFonts w:ascii="Book Antiqua" w:eastAsia="Times New Roman" w:hAnsi="Book Antiqua"/>
          <w:sz w:val="24"/>
          <w:szCs w:val="24"/>
          <w:lang w:val="es-PR"/>
        </w:rPr>
      </w:pPr>
      <w:r w:rsidRPr="00943402">
        <w:rPr>
          <w:rFonts w:ascii="Book Antiqua" w:eastAsia="Times New Roman" w:hAnsi="Book Antiqua"/>
          <w:sz w:val="24"/>
          <w:szCs w:val="24"/>
          <w:lang w:val="es-PR"/>
        </w:rPr>
        <w:t>La Oficina del Contralor (OCPR) advierte sobre los mismos riesgos que motivaron un veto ejecutivo previo, señalando que “no es posible que el Ejecutivo renuncie a su facultad constitucional de revisar los datos presupuestarios” y que la medida puede provocar “una duplicidad de funciones gubernamentales con respecto a la OGP y la Oficina de Ética Gubernamental”.</w:t>
      </w:r>
    </w:p>
    <w:p w14:paraId="1561CF37" w14:textId="77777777" w:rsidR="00943402" w:rsidRPr="00943402" w:rsidRDefault="00943402" w:rsidP="0005438A">
      <w:pPr>
        <w:pStyle w:val="NoSpacing"/>
        <w:ind w:firstLine="708"/>
        <w:contextualSpacing/>
        <w:jc w:val="both"/>
        <w:rPr>
          <w:rFonts w:ascii="Book Antiqua" w:eastAsia="Times New Roman" w:hAnsi="Book Antiqua"/>
          <w:sz w:val="24"/>
          <w:szCs w:val="24"/>
          <w:lang w:val="es-PR"/>
        </w:rPr>
      </w:pPr>
    </w:p>
    <w:p w14:paraId="5D4C63B5" w14:textId="3675D64A" w:rsidR="00943402" w:rsidRPr="00A80790" w:rsidRDefault="00943402" w:rsidP="0005438A">
      <w:pPr>
        <w:pStyle w:val="NoSpacing"/>
        <w:ind w:firstLine="708"/>
        <w:contextualSpacing/>
        <w:jc w:val="both"/>
        <w:rPr>
          <w:rFonts w:ascii="Book Antiqua" w:eastAsia="Times New Roman" w:hAnsi="Book Antiqua"/>
          <w:sz w:val="24"/>
          <w:szCs w:val="24"/>
          <w:lang w:val="es-PR"/>
        </w:rPr>
      </w:pPr>
      <w:r w:rsidRPr="00943402">
        <w:rPr>
          <w:rFonts w:ascii="Book Antiqua" w:eastAsia="Times New Roman" w:hAnsi="Book Antiqua"/>
          <w:sz w:val="24"/>
          <w:szCs w:val="24"/>
          <w:lang w:val="es-PR"/>
        </w:rPr>
        <w:t xml:space="preserve">Por su parte, la Federación de Alcaldes condiciona su apoyo a múltiples enmiendas, destacando riesgos de conflictos éticos, cargas desproporcionadas para los municipios y posibles </w:t>
      </w:r>
      <w:r w:rsidR="00EA57D4">
        <w:rPr>
          <w:rFonts w:ascii="Book Antiqua" w:eastAsia="Times New Roman" w:hAnsi="Book Antiqua"/>
          <w:sz w:val="24"/>
          <w:szCs w:val="24"/>
          <w:lang w:val="es-PR"/>
        </w:rPr>
        <w:t xml:space="preserve">daños </w:t>
      </w:r>
      <w:r w:rsidRPr="00943402">
        <w:rPr>
          <w:rFonts w:ascii="Book Antiqua" w:eastAsia="Times New Roman" w:hAnsi="Book Antiqua"/>
          <w:sz w:val="24"/>
          <w:szCs w:val="24"/>
          <w:lang w:val="es-PR"/>
        </w:rPr>
        <w:t>a la percepción de independencia estadística.</w:t>
      </w:r>
    </w:p>
    <w:p w14:paraId="63150598" w14:textId="77777777" w:rsidR="00A80790" w:rsidRPr="00943402" w:rsidRDefault="00A80790" w:rsidP="0005438A">
      <w:pPr>
        <w:pStyle w:val="NoSpacing"/>
        <w:ind w:firstLine="708"/>
        <w:contextualSpacing/>
        <w:jc w:val="both"/>
        <w:rPr>
          <w:rFonts w:ascii="Book Antiqua" w:eastAsia="Times New Roman" w:hAnsi="Book Antiqua"/>
          <w:sz w:val="24"/>
          <w:szCs w:val="24"/>
          <w:lang w:val="es-PR"/>
        </w:rPr>
      </w:pPr>
    </w:p>
    <w:p w14:paraId="5699F2B1" w14:textId="6B7C66B2" w:rsidR="00943402" w:rsidRPr="00A80790" w:rsidRDefault="00943402" w:rsidP="00A80790">
      <w:pPr>
        <w:pStyle w:val="NoSpacing"/>
        <w:ind w:firstLine="708"/>
        <w:contextualSpacing/>
        <w:jc w:val="both"/>
        <w:rPr>
          <w:rFonts w:ascii="Book Antiqua" w:eastAsia="Times New Roman" w:hAnsi="Book Antiqua"/>
          <w:sz w:val="24"/>
          <w:szCs w:val="24"/>
          <w:lang w:val="es-PR"/>
        </w:rPr>
      </w:pPr>
      <w:r w:rsidRPr="00943402">
        <w:rPr>
          <w:rFonts w:ascii="Book Antiqua" w:eastAsia="Times New Roman" w:hAnsi="Book Antiqua"/>
          <w:sz w:val="24"/>
          <w:szCs w:val="24"/>
          <w:lang w:val="es-PR"/>
        </w:rPr>
        <w:t>Finalmente,  PRFAA resalta que el Instituto carece de recursos, pero recomienda cambios de gran alcance, como definir el concepto de “profesional de estadísticas”, establecer procesos de apelación de multas y validar externamente el currículo de las academias. Estas propuestas implican que el proyecto, tal como está, resulta incompleto e insuficiente.</w:t>
      </w:r>
    </w:p>
    <w:p w14:paraId="004EF4F6" w14:textId="77777777" w:rsidR="00943402" w:rsidRPr="00943402" w:rsidRDefault="00943402" w:rsidP="0005438A">
      <w:pPr>
        <w:pStyle w:val="NoSpacing"/>
        <w:contextualSpacing/>
        <w:jc w:val="both"/>
        <w:rPr>
          <w:rFonts w:ascii="Book Antiqua" w:eastAsia="Times New Roman" w:hAnsi="Book Antiqua"/>
          <w:sz w:val="24"/>
          <w:szCs w:val="24"/>
          <w:lang w:val="es-PR"/>
        </w:rPr>
      </w:pPr>
    </w:p>
    <w:p w14:paraId="6B004544" w14:textId="5D9099C6" w:rsidR="00943402" w:rsidRPr="00943402" w:rsidRDefault="00943402" w:rsidP="0005438A">
      <w:pPr>
        <w:pStyle w:val="NoSpacing"/>
        <w:ind w:firstLine="708"/>
        <w:contextualSpacing/>
        <w:jc w:val="both"/>
        <w:rPr>
          <w:rFonts w:ascii="Book Antiqua" w:eastAsia="Times New Roman" w:hAnsi="Book Antiqua"/>
          <w:sz w:val="24"/>
          <w:szCs w:val="24"/>
          <w:lang w:val="es-PR"/>
        </w:rPr>
      </w:pPr>
      <w:r w:rsidRPr="00943402">
        <w:rPr>
          <w:rFonts w:ascii="Book Antiqua" w:eastAsia="Times New Roman" w:hAnsi="Book Antiqua"/>
          <w:sz w:val="24"/>
          <w:szCs w:val="24"/>
          <w:lang w:val="es-PR"/>
        </w:rPr>
        <w:t>En síntesis, las ponencias coinciden en que, aunque la medida persigue un fin loable, adolece de vacíos legales, riesgos de duplicidad, choques con la Ley PROMESA, conflictos éticos y cargas operacionales no resueltas. Por estas razones, no se recomienda la aprobación del P. de la C. 73</w:t>
      </w:r>
      <w:r w:rsidR="00A80790" w:rsidRPr="00A80790">
        <w:rPr>
          <w:rFonts w:ascii="Book Antiqua" w:eastAsia="Times New Roman" w:hAnsi="Book Antiqua"/>
          <w:sz w:val="24"/>
          <w:szCs w:val="24"/>
          <w:lang w:val="es-PR"/>
        </w:rPr>
        <w:t xml:space="preserve">. </w:t>
      </w:r>
      <w:r w:rsidRPr="00943402">
        <w:rPr>
          <w:rFonts w:ascii="Book Antiqua" w:eastAsia="Times New Roman" w:hAnsi="Book Antiqua"/>
          <w:sz w:val="24"/>
          <w:szCs w:val="24"/>
          <w:lang w:val="es-PR"/>
        </w:rPr>
        <w:t xml:space="preserve"> </w:t>
      </w:r>
    </w:p>
    <w:p w14:paraId="579DD402" w14:textId="77777777" w:rsidR="00C50279" w:rsidRDefault="00C50279" w:rsidP="0005438A">
      <w:pPr>
        <w:pStyle w:val="NoSpacing"/>
        <w:contextualSpacing/>
        <w:jc w:val="both"/>
        <w:rPr>
          <w:rFonts w:ascii="Book Antiqua" w:eastAsia="Times New Roman" w:hAnsi="Book Antiqua"/>
          <w:sz w:val="24"/>
          <w:szCs w:val="24"/>
          <w:lang w:val="es-ES_tradnl"/>
        </w:rPr>
      </w:pPr>
    </w:p>
    <w:p w14:paraId="3A1972E8" w14:textId="77777777" w:rsidR="00C50279" w:rsidRPr="0005438A" w:rsidRDefault="00C50279" w:rsidP="0005438A">
      <w:pPr>
        <w:pStyle w:val="NoSpacing"/>
        <w:contextualSpacing/>
        <w:jc w:val="both"/>
        <w:rPr>
          <w:rFonts w:ascii="Book Antiqua" w:eastAsia="Times New Roman" w:hAnsi="Book Antiqua"/>
          <w:sz w:val="24"/>
          <w:szCs w:val="24"/>
          <w:lang w:val="es-ES_tradnl"/>
        </w:rPr>
      </w:pPr>
    </w:p>
    <w:p w14:paraId="5ADA30F1" w14:textId="77777777" w:rsidR="002C42AD" w:rsidRPr="0005438A" w:rsidRDefault="002573CC" w:rsidP="0005438A">
      <w:pPr>
        <w:spacing w:after="0" w:line="240" w:lineRule="auto"/>
        <w:contextualSpacing/>
        <w:jc w:val="center"/>
        <w:rPr>
          <w:rFonts w:ascii="Book Antiqua" w:eastAsia="Times New Roman" w:hAnsi="Book Antiqua" w:cs="Times New Roman"/>
          <w:b/>
          <w:sz w:val="24"/>
          <w:szCs w:val="24"/>
          <w:lang w:val="es-ES_tradnl"/>
        </w:rPr>
      </w:pPr>
      <w:r w:rsidRPr="0005438A">
        <w:rPr>
          <w:rFonts w:ascii="Book Antiqua" w:eastAsia="Times New Roman" w:hAnsi="Book Antiqua" w:cs="Times New Roman"/>
          <w:b/>
          <w:sz w:val="24"/>
          <w:szCs w:val="24"/>
          <w:lang w:val="es-ES_tradnl"/>
        </w:rPr>
        <w:t>CONCLUSIÓN</w:t>
      </w:r>
    </w:p>
    <w:p w14:paraId="7F9468A9" w14:textId="77777777" w:rsidR="006471A0" w:rsidRPr="0005438A" w:rsidRDefault="006471A0" w:rsidP="0005438A">
      <w:pPr>
        <w:spacing w:after="0" w:line="240" w:lineRule="auto"/>
        <w:contextualSpacing/>
        <w:jc w:val="center"/>
        <w:rPr>
          <w:rFonts w:ascii="Book Antiqua" w:eastAsia="Times New Roman" w:hAnsi="Book Antiqua" w:cs="Times New Roman"/>
          <w:b/>
          <w:sz w:val="24"/>
          <w:szCs w:val="24"/>
          <w:lang w:val="es-ES_tradnl"/>
        </w:rPr>
      </w:pPr>
    </w:p>
    <w:p w14:paraId="5889EE25" w14:textId="2B09FA20" w:rsidR="00943402" w:rsidRPr="0005438A" w:rsidRDefault="008A2F81" w:rsidP="00C50279">
      <w:pPr>
        <w:pStyle w:val="NoSpacing"/>
        <w:ind w:firstLine="708"/>
        <w:jc w:val="both"/>
        <w:rPr>
          <w:rFonts w:ascii="Book Antiqua" w:eastAsia="Times New Roman" w:hAnsi="Book Antiqua"/>
          <w:sz w:val="24"/>
          <w:szCs w:val="24"/>
          <w:lang w:val="es-ES_tradnl"/>
        </w:rPr>
      </w:pPr>
      <w:r w:rsidRPr="00390736">
        <w:rPr>
          <w:rFonts w:ascii="Book Antiqua" w:eastAsia="Times New Roman" w:hAnsi="Book Antiqua"/>
          <w:b/>
          <w:sz w:val="24"/>
          <w:szCs w:val="24"/>
          <w:lang w:val="es-US"/>
        </w:rPr>
        <w:t>POR TODO LO ANTES EXPUESTO</w:t>
      </w:r>
      <w:r w:rsidRPr="00390736">
        <w:rPr>
          <w:rFonts w:ascii="Book Antiqua" w:eastAsia="Times New Roman" w:hAnsi="Book Antiqua"/>
          <w:sz w:val="24"/>
          <w:szCs w:val="24"/>
          <w:lang w:val="es-US"/>
        </w:rPr>
        <w:t xml:space="preserve">, </w:t>
      </w:r>
      <w:r w:rsidR="00DA5A44" w:rsidRPr="007F6E04">
        <w:rPr>
          <w:rFonts w:ascii="Book Antiqua" w:eastAsia="Times New Roman" w:hAnsi="Book Antiqua"/>
          <w:sz w:val="24"/>
          <w:szCs w:val="24"/>
          <w:lang w:val="es-PR"/>
        </w:rPr>
        <w:t>esta</w:t>
      </w:r>
      <w:r w:rsidR="00DA5A44" w:rsidRPr="00390736">
        <w:rPr>
          <w:rFonts w:ascii="Book Antiqua" w:eastAsia="Times New Roman" w:hAnsi="Book Antiqua"/>
          <w:sz w:val="24"/>
          <w:szCs w:val="24"/>
          <w:lang w:val="es-US"/>
        </w:rPr>
        <w:t xml:space="preserve"> Comisión </w:t>
      </w:r>
      <w:r w:rsidR="00943402" w:rsidRPr="0005438A">
        <w:rPr>
          <w:rFonts w:ascii="Book Antiqua" w:eastAsia="Times New Roman" w:hAnsi="Book Antiqua"/>
          <w:sz w:val="24"/>
          <w:szCs w:val="24"/>
          <w:lang w:val="es-PR"/>
        </w:rPr>
        <w:t xml:space="preserve">luego de la consideración correspondiente, somete a este Alto Cuerpo su </w:t>
      </w:r>
      <w:r w:rsidR="00943402" w:rsidRPr="0005438A">
        <w:rPr>
          <w:rFonts w:ascii="Book Antiqua" w:eastAsia="Times New Roman" w:hAnsi="Book Antiqua"/>
          <w:b/>
          <w:bCs/>
          <w:sz w:val="24"/>
          <w:szCs w:val="24"/>
          <w:lang w:val="es-PR"/>
        </w:rPr>
        <w:t xml:space="preserve">Informe Negativo </w:t>
      </w:r>
      <w:r w:rsidR="00943402" w:rsidRPr="0005438A">
        <w:rPr>
          <w:rFonts w:ascii="Book Antiqua" w:eastAsia="Times New Roman" w:hAnsi="Book Antiqua"/>
          <w:sz w:val="24"/>
          <w:szCs w:val="24"/>
          <w:lang w:val="es-PR"/>
        </w:rPr>
        <w:t xml:space="preserve">sobre el </w:t>
      </w:r>
      <w:r w:rsidR="00943402" w:rsidRPr="0005438A">
        <w:rPr>
          <w:rFonts w:ascii="Book Antiqua" w:eastAsia="Times New Roman" w:hAnsi="Book Antiqua"/>
          <w:b/>
          <w:bCs/>
          <w:sz w:val="24"/>
          <w:szCs w:val="24"/>
          <w:lang w:val="es-PR"/>
        </w:rPr>
        <w:t>P. de la C. 73</w:t>
      </w:r>
      <w:r w:rsidR="00943402" w:rsidRPr="0005438A">
        <w:rPr>
          <w:rFonts w:ascii="Book Antiqua" w:eastAsia="Times New Roman" w:hAnsi="Book Antiqua"/>
          <w:sz w:val="24"/>
          <w:szCs w:val="24"/>
          <w:lang w:val="es-PR"/>
        </w:rPr>
        <w:t>, No Recomendando su aprobación</w:t>
      </w:r>
      <w:r w:rsidR="00943402" w:rsidRPr="0005438A">
        <w:rPr>
          <w:rFonts w:ascii="Book Antiqua" w:eastAsia="Times New Roman" w:hAnsi="Book Antiqua"/>
          <w:b/>
          <w:sz w:val="24"/>
          <w:szCs w:val="24"/>
          <w:lang w:val="es-PR"/>
        </w:rPr>
        <w:t xml:space="preserve">. </w:t>
      </w:r>
    </w:p>
    <w:p w14:paraId="1218D99C" w14:textId="77777777" w:rsidR="00953BE6" w:rsidRDefault="00953BE6" w:rsidP="00C50279">
      <w:pPr>
        <w:spacing w:after="0" w:line="240" w:lineRule="auto"/>
        <w:contextualSpacing/>
        <w:jc w:val="both"/>
        <w:rPr>
          <w:rFonts w:ascii="Book Antiqua" w:eastAsia="Times New Roman" w:hAnsi="Book Antiqua" w:cs="Times New Roman"/>
          <w:sz w:val="24"/>
          <w:szCs w:val="24"/>
        </w:rPr>
      </w:pPr>
    </w:p>
    <w:p w14:paraId="57A7474F" w14:textId="6A67258F" w:rsidR="00472407" w:rsidRPr="0005438A" w:rsidRDefault="002573CC" w:rsidP="00C50279">
      <w:pPr>
        <w:spacing w:after="0" w:line="240" w:lineRule="auto"/>
        <w:contextualSpacing/>
        <w:jc w:val="both"/>
        <w:rPr>
          <w:rFonts w:ascii="Book Antiqua" w:eastAsia="Times New Roman" w:hAnsi="Book Antiqua" w:cs="Times New Roman"/>
          <w:sz w:val="24"/>
          <w:szCs w:val="24"/>
          <w:lang w:val="es-ES_tradnl"/>
        </w:rPr>
      </w:pPr>
      <w:r w:rsidRPr="0005438A">
        <w:rPr>
          <w:rFonts w:ascii="Book Antiqua" w:eastAsia="Times New Roman" w:hAnsi="Book Antiqua" w:cs="Times New Roman"/>
          <w:b/>
          <w:bCs/>
          <w:sz w:val="24"/>
          <w:szCs w:val="24"/>
          <w:lang w:val="es-ES_tradnl"/>
        </w:rPr>
        <w:lastRenderedPageBreak/>
        <w:t>Respetuosamente sometido,</w:t>
      </w:r>
    </w:p>
    <w:p w14:paraId="6EA08191" w14:textId="77777777" w:rsidR="00D07F57" w:rsidRDefault="00D07F57" w:rsidP="0005438A">
      <w:pPr>
        <w:tabs>
          <w:tab w:val="left" w:pos="567"/>
        </w:tabs>
        <w:spacing w:after="0" w:line="240" w:lineRule="auto"/>
        <w:contextualSpacing/>
        <w:jc w:val="both"/>
        <w:rPr>
          <w:rFonts w:ascii="Book Antiqua" w:eastAsia="Times New Roman" w:hAnsi="Book Antiqua" w:cs="Times New Roman"/>
          <w:sz w:val="24"/>
          <w:szCs w:val="24"/>
          <w:lang w:val="es-ES_tradnl"/>
        </w:rPr>
      </w:pPr>
    </w:p>
    <w:p w14:paraId="48D9F196" w14:textId="77777777" w:rsidR="00953BE6" w:rsidRPr="0005438A" w:rsidRDefault="00953BE6" w:rsidP="0005438A">
      <w:pPr>
        <w:tabs>
          <w:tab w:val="left" w:pos="567"/>
        </w:tabs>
        <w:spacing w:after="0" w:line="240" w:lineRule="auto"/>
        <w:contextualSpacing/>
        <w:jc w:val="both"/>
        <w:rPr>
          <w:rFonts w:ascii="Book Antiqua" w:eastAsia="Times New Roman" w:hAnsi="Book Antiqua" w:cs="Times New Roman"/>
          <w:sz w:val="24"/>
          <w:szCs w:val="24"/>
          <w:lang w:val="es-ES_tradnl"/>
        </w:rPr>
      </w:pPr>
    </w:p>
    <w:p w14:paraId="6EE9669A" w14:textId="77777777" w:rsidR="00502B33" w:rsidRPr="0005438A" w:rsidRDefault="00502B33" w:rsidP="0005438A">
      <w:pPr>
        <w:tabs>
          <w:tab w:val="left" w:pos="567"/>
        </w:tabs>
        <w:spacing w:after="0" w:line="240" w:lineRule="auto"/>
        <w:contextualSpacing/>
        <w:jc w:val="both"/>
        <w:rPr>
          <w:rFonts w:ascii="Book Antiqua" w:eastAsia="Times New Roman" w:hAnsi="Book Antiqua" w:cs="Times New Roman"/>
          <w:sz w:val="24"/>
          <w:szCs w:val="24"/>
          <w:lang w:val="es-ES_tradnl"/>
        </w:rPr>
      </w:pPr>
    </w:p>
    <w:p w14:paraId="47677492" w14:textId="77777777" w:rsidR="002573CC" w:rsidRPr="0005438A" w:rsidRDefault="002573CC" w:rsidP="0005438A">
      <w:pPr>
        <w:tabs>
          <w:tab w:val="left" w:pos="567"/>
        </w:tabs>
        <w:spacing w:after="0" w:line="240" w:lineRule="auto"/>
        <w:contextualSpacing/>
        <w:jc w:val="both"/>
        <w:rPr>
          <w:rFonts w:ascii="Book Antiqua" w:eastAsia="Times New Roman" w:hAnsi="Book Antiqua" w:cs="Times New Roman"/>
          <w:sz w:val="24"/>
          <w:szCs w:val="24"/>
          <w:lang w:val="es-ES_tradnl"/>
        </w:rPr>
      </w:pPr>
    </w:p>
    <w:p w14:paraId="66EFDAD4" w14:textId="21674598" w:rsidR="002573CC" w:rsidRPr="0005438A" w:rsidRDefault="00CE2F7D" w:rsidP="0005438A">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05438A">
        <w:rPr>
          <w:rFonts w:ascii="Book Antiqua" w:eastAsia="Times New Roman" w:hAnsi="Book Antiqua" w:cs="Times New Roman"/>
          <w:b/>
          <w:bCs/>
          <w:sz w:val="24"/>
          <w:szCs w:val="24"/>
          <w:lang w:val="es-ES_tradnl"/>
        </w:rPr>
        <w:t>H</w:t>
      </w:r>
      <w:r w:rsidR="00C50279">
        <w:rPr>
          <w:rFonts w:ascii="Book Antiqua" w:eastAsia="Times New Roman" w:hAnsi="Book Antiqua" w:cs="Times New Roman"/>
          <w:b/>
          <w:bCs/>
          <w:sz w:val="24"/>
          <w:szCs w:val="24"/>
          <w:lang w:val="es-ES_tradnl"/>
        </w:rPr>
        <w:t>on</w:t>
      </w:r>
      <w:r w:rsidRPr="0005438A">
        <w:rPr>
          <w:rFonts w:ascii="Book Antiqua" w:eastAsia="Times New Roman" w:hAnsi="Book Antiqua" w:cs="Times New Roman"/>
          <w:b/>
          <w:bCs/>
          <w:sz w:val="24"/>
          <w:szCs w:val="24"/>
          <w:lang w:val="es-ES_tradnl"/>
        </w:rPr>
        <w:t xml:space="preserve">. </w:t>
      </w:r>
      <w:r w:rsidR="00D205C8" w:rsidRPr="0005438A">
        <w:rPr>
          <w:rFonts w:ascii="Book Antiqua" w:eastAsia="Times New Roman" w:hAnsi="Book Antiqua" w:cs="Times New Roman"/>
          <w:b/>
          <w:bCs/>
          <w:sz w:val="24"/>
          <w:szCs w:val="24"/>
          <w:lang w:val="es-ES_tradnl"/>
        </w:rPr>
        <w:t>Víctor L. Parés Otero</w:t>
      </w:r>
    </w:p>
    <w:p w14:paraId="1AAAF665" w14:textId="1431CD06" w:rsidR="002573CC" w:rsidRPr="0005438A" w:rsidRDefault="002573CC" w:rsidP="0005438A">
      <w:pPr>
        <w:tabs>
          <w:tab w:val="left" w:pos="567"/>
        </w:tabs>
        <w:spacing w:after="0" w:line="240" w:lineRule="auto"/>
        <w:contextualSpacing/>
        <w:jc w:val="both"/>
        <w:rPr>
          <w:rFonts w:ascii="Book Antiqua" w:eastAsia="Times New Roman" w:hAnsi="Book Antiqua" w:cs="Times New Roman"/>
          <w:sz w:val="24"/>
          <w:szCs w:val="24"/>
          <w:lang w:val="es-ES_tradnl"/>
        </w:rPr>
      </w:pPr>
      <w:r w:rsidRPr="0005438A">
        <w:rPr>
          <w:rFonts w:ascii="Book Antiqua" w:eastAsia="Times New Roman" w:hAnsi="Book Antiqua" w:cs="Times New Roman"/>
          <w:sz w:val="24"/>
          <w:szCs w:val="24"/>
          <w:lang w:val="es-ES_tradnl"/>
        </w:rPr>
        <w:t>President</w:t>
      </w:r>
      <w:r w:rsidR="0034480B" w:rsidRPr="0005438A">
        <w:rPr>
          <w:rFonts w:ascii="Book Antiqua" w:eastAsia="Times New Roman" w:hAnsi="Book Antiqua" w:cs="Times New Roman"/>
          <w:sz w:val="24"/>
          <w:szCs w:val="24"/>
          <w:lang w:val="es-ES_tradnl"/>
        </w:rPr>
        <w:t>e</w:t>
      </w:r>
    </w:p>
    <w:p w14:paraId="2BBB5271" w14:textId="124A8B26" w:rsidR="00B87D26" w:rsidRPr="0005438A" w:rsidRDefault="0034480B" w:rsidP="0005438A">
      <w:pPr>
        <w:tabs>
          <w:tab w:val="left" w:pos="567"/>
        </w:tabs>
        <w:spacing w:after="0" w:line="240" w:lineRule="auto"/>
        <w:contextualSpacing/>
        <w:jc w:val="both"/>
        <w:rPr>
          <w:rFonts w:ascii="Book Antiqua" w:hAnsi="Book Antiqua"/>
          <w:sz w:val="24"/>
          <w:szCs w:val="24"/>
        </w:rPr>
      </w:pPr>
      <w:r w:rsidRPr="0005438A">
        <w:rPr>
          <w:rFonts w:ascii="Book Antiqua" w:eastAsia="Times New Roman" w:hAnsi="Book Antiqua" w:cs="Times New Roman"/>
          <w:sz w:val="24"/>
          <w:szCs w:val="24"/>
          <w:lang w:val="es-ES_tradnl"/>
        </w:rPr>
        <w:t xml:space="preserve">Comisión </w:t>
      </w:r>
      <w:r w:rsidR="00106C0D" w:rsidRPr="0005438A">
        <w:rPr>
          <w:rFonts w:ascii="Book Antiqua" w:eastAsia="Times New Roman" w:hAnsi="Book Antiqua" w:cs="Times New Roman"/>
          <w:sz w:val="24"/>
          <w:szCs w:val="24"/>
          <w:lang w:val="es-ES_tradnl"/>
        </w:rPr>
        <w:t>de Gobierno</w:t>
      </w:r>
    </w:p>
    <w:sectPr w:rsidR="00B87D26" w:rsidRPr="0005438A"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F6FBD" w14:textId="77777777" w:rsidR="00A55EFA" w:rsidRDefault="00A55EFA">
      <w:pPr>
        <w:spacing w:after="0" w:line="240" w:lineRule="auto"/>
      </w:pPr>
      <w:r>
        <w:separator/>
      </w:r>
    </w:p>
  </w:endnote>
  <w:endnote w:type="continuationSeparator" w:id="0">
    <w:p w14:paraId="36BACB2D" w14:textId="77777777" w:rsidR="00A55EFA" w:rsidRDefault="00A55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06FF" w14:textId="7A374ED8" w:rsidR="00E312A7" w:rsidRPr="00B90A4F" w:rsidRDefault="00B90A4F" w:rsidP="00B90A4F">
    <w:pPr>
      <w:pStyle w:val="Footer"/>
      <w:jc w:val="center"/>
    </w:pPr>
    <w:r w:rsidRPr="00B90A4F">
      <w:t>Comisi</w:t>
    </w:r>
    <w:r w:rsidR="00096594">
      <w:rPr>
        <w:rFonts w:cs="Calibri"/>
      </w:rPr>
      <w:t>ó</w:t>
    </w:r>
    <w:r w:rsidRPr="00B90A4F">
      <w:t xml:space="preserve">n de </w:t>
    </w:r>
    <w:r w:rsidR="00143F0F">
      <w:t>Gobierno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28CFA" w14:textId="77777777" w:rsidR="00A55EFA" w:rsidRDefault="00A55EFA">
      <w:pPr>
        <w:spacing w:after="0" w:line="240" w:lineRule="auto"/>
      </w:pPr>
      <w:r>
        <w:separator/>
      </w:r>
    </w:p>
  </w:footnote>
  <w:footnote w:type="continuationSeparator" w:id="0">
    <w:p w14:paraId="0C43E209" w14:textId="77777777" w:rsidR="00A55EFA" w:rsidRDefault="00A55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28E0C7D0"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8E68B2">
      <w:rPr>
        <w:rFonts w:ascii="Book Antiqua" w:hAnsi="Book Antiqua"/>
        <w:b/>
        <w:i/>
        <w:color w:val="7F7F7F" w:themeColor="text1" w:themeTint="80"/>
        <w:spacing w:val="60"/>
        <w:lang w:val="es-PR"/>
      </w:rPr>
      <w:t>Negativo</w:t>
    </w:r>
    <w:r w:rsidRPr="00D80F47">
      <w:rPr>
        <w:rFonts w:ascii="Book Antiqua" w:hAnsi="Book Antiqua"/>
        <w:b/>
        <w:i/>
        <w:color w:val="7F7F7F" w:themeColor="text1" w:themeTint="80"/>
        <w:spacing w:val="60"/>
        <w:lang w:val="es-PR"/>
      </w:rPr>
      <w:t xml:space="preserve"> del P. de la C.</w:t>
    </w:r>
    <w:r w:rsidR="008E68B2">
      <w:rPr>
        <w:rFonts w:ascii="Book Antiqua" w:hAnsi="Book Antiqua"/>
        <w:b/>
        <w:i/>
        <w:color w:val="7F7F7F" w:themeColor="text1" w:themeTint="80"/>
        <w:spacing w:val="60"/>
        <w:lang w:val="es-PR"/>
      </w:rPr>
      <w:t>73</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072A9"/>
    <w:multiLevelType w:val="hybridMultilevel"/>
    <w:tmpl w:val="0CE03EF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3" w15:restartNumberingAfterBreak="0">
    <w:nsid w:val="4FBD4352"/>
    <w:multiLevelType w:val="hybridMultilevel"/>
    <w:tmpl w:val="E7B47F9A"/>
    <w:lvl w:ilvl="0" w:tplc="500A0001">
      <w:start w:val="1"/>
      <w:numFmt w:val="bullet"/>
      <w:lvlText w:val=""/>
      <w:lvlJc w:val="left"/>
      <w:pPr>
        <w:ind w:left="1068" w:hanging="360"/>
      </w:pPr>
      <w:rPr>
        <w:rFonts w:ascii="Symbol" w:hAnsi="Symbol" w:hint="default"/>
      </w:rPr>
    </w:lvl>
    <w:lvl w:ilvl="1" w:tplc="500A0003" w:tentative="1">
      <w:start w:val="1"/>
      <w:numFmt w:val="bullet"/>
      <w:lvlText w:val="o"/>
      <w:lvlJc w:val="left"/>
      <w:pPr>
        <w:ind w:left="1788" w:hanging="360"/>
      </w:pPr>
      <w:rPr>
        <w:rFonts w:ascii="Courier New" w:hAnsi="Courier New" w:cs="Courier New" w:hint="default"/>
      </w:rPr>
    </w:lvl>
    <w:lvl w:ilvl="2" w:tplc="500A0005" w:tentative="1">
      <w:start w:val="1"/>
      <w:numFmt w:val="bullet"/>
      <w:lvlText w:val=""/>
      <w:lvlJc w:val="left"/>
      <w:pPr>
        <w:ind w:left="2508" w:hanging="360"/>
      </w:pPr>
      <w:rPr>
        <w:rFonts w:ascii="Wingdings" w:hAnsi="Wingdings" w:hint="default"/>
      </w:rPr>
    </w:lvl>
    <w:lvl w:ilvl="3" w:tplc="500A0001" w:tentative="1">
      <w:start w:val="1"/>
      <w:numFmt w:val="bullet"/>
      <w:lvlText w:val=""/>
      <w:lvlJc w:val="left"/>
      <w:pPr>
        <w:ind w:left="3228" w:hanging="360"/>
      </w:pPr>
      <w:rPr>
        <w:rFonts w:ascii="Symbol" w:hAnsi="Symbol" w:hint="default"/>
      </w:rPr>
    </w:lvl>
    <w:lvl w:ilvl="4" w:tplc="500A0003" w:tentative="1">
      <w:start w:val="1"/>
      <w:numFmt w:val="bullet"/>
      <w:lvlText w:val="o"/>
      <w:lvlJc w:val="left"/>
      <w:pPr>
        <w:ind w:left="3948" w:hanging="360"/>
      </w:pPr>
      <w:rPr>
        <w:rFonts w:ascii="Courier New" w:hAnsi="Courier New" w:cs="Courier New" w:hint="default"/>
      </w:rPr>
    </w:lvl>
    <w:lvl w:ilvl="5" w:tplc="500A0005" w:tentative="1">
      <w:start w:val="1"/>
      <w:numFmt w:val="bullet"/>
      <w:lvlText w:val=""/>
      <w:lvlJc w:val="left"/>
      <w:pPr>
        <w:ind w:left="4668" w:hanging="360"/>
      </w:pPr>
      <w:rPr>
        <w:rFonts w:ascii="Wingdings" w:hAnsi="Wingdings" w:hint="default"/>
      </w:rPr>
    </w:lvl>
    <w:lvl w:ilvl="6" w:tplc="500A0001" w:tentative="1">
      <w:start w:val="1"/>
      <w:numFmt w:val="bullet"/>
      <w:lvlText w:val=""/>
      <w:lvlJc w:val="left"/>
      <w:pPr>
        <w:ind w:left="5388" w:hanging="360"/>
      </w:pPr>
      <w:rPr>
        <w:rFonts w:ascii="Symbol" w:hAnsi="Symbol" w:hint="default"/>
      </w:rPr>
    </w:lvl>
    <w:lvl w:ilvl="7" w:tplc="500A0003" w:tentative="1">
      <w:start w:val="1"/>
      <w:numFmt w:val="bullet"/>
      <w:lvlText w:val="o"/>
      <w:lvlJc w:val="left"/>
      <w:pPr>
        <w:ind w:left="6108" w:hanging="360"/>
      </w:pPr>
      <w:rPr>
        <w:rFonts w:ascii="Courier New" w:hAnsi="Courier New" w:cs="Courier New" w:hint="default"/>
      </w:rPr>
    </w:lvl>
    <w:lvl w:ilvl="8" w:tplc="500A0005" w:tentative="1">
      <w:start w:val="1"/>
      <w:numFmt w:val="bullet"/>
      <w:lvlText w:val=""/>
      <w:lvlJc w:val="left"/>
      <w:pPr>
        <w:ind w:left="6828" w:hanging="360"/>
      </w:pPr>
      <w:rPr>
        <w:rFonts w:ascii="Wingdings" w:hAnsi="Wingdings" w:hint="default"/>
      </w:rPr>
    </w:lvl>
  </w:abstractNum>
  <w:abstractNum w:abstractNumId="4"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491624"/>
    <w:multiLevelType w:val="multilevel"/>
    <w:tmpl w:val="1FD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1156F9"/>
    <w:multiLevelType w:val="hybridMultilevel"/>
    <w:tmpl w:val="C0762130"/>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num w:numId="1" w16cid:durableId="333727895">
    <w:abstractNumId w:val="4"/>
  </w:num>
  <w:num w:numId="2" w16cid:durableId="1720125807">
    <w:abstractNumId w:val="1"/>
  </w:num>
  <w:num w:numId="3" w16cid:durableId="1790273019">
    <w:abstractNumId w:val="0"/>
  </w:num>
  <w:num w:numId="4" w16cid:durableId="1306200604">
    <w:abstractNumId w:val="6"/>
  </w:num>
  <w:num w:numId="5" w16cid:durableId="1245529589">
    <w:abstractNumId w:val="7"/>
  </w:num>
  <w:num w:numId="6" w16cid:durableId="1534997915">
    <w:abstractNumId w:val="2"/>
  </w:num>
  <w:num w:numId="7" w16cid:durableId="2075156884">
    <w:abstractNumId w:val="5"/>
  </w:num>
  <w:num w:numId="8" w16cid:durableId="13427769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581"/>
    <w:rsid w:val="00003A52"/>
    <w:rsid w:val="00003D5A"/>
    <w:rsid w:val="000041D4"/>
    <w:rsid w:val="0000466E"/>
    <w:rsid w:val="000106FC"/>
    <w:rsid w:val="000138A6"/>
    <w:rsid w:val="00015F9B"/>
    <w:rsid w:val="00024810"/>
    <w:rsid w:val="00027265"/>
    <w:rsid w:val="000304B5"/>
    <w:rsid w:val="00030C48"/>
    <w:rsid w:val="00032057"/>
    <w:rsid w:val="00033062"/>
    <w:rsid w:val="00033FC1"/>
    <w:rsid w:val="00043133"/>
    <w:rsid w:val="000440AF"/>
    <w:rsid w:val="00046AD3"/>
    <w:rsid w:val="00047827"/>
    <w:rsid w:val="000501BB"/>
    <w:rsid w:val="00050EA2"/>
    <w:rsid w:val="000528F7"/>
    <w:rsid w:val="0005438A"/>
    <w:rsid w:val="000557CE"/>
    <w:rsid w:val="00061727"/>
    <w:rsid w:val="00070369"/>
    <w:rsid w:val="00072D4D"/>
    <w:rsid w:val="00074744"/>
    <w:rsid w:val="0007625A"/>
    <w:rsid w:val="00077647"/>
    <w:rsid w:val="00077928"/>
    <w:rsid w:val="00077F3C"/>
    <w:rsid w:val="00081C3A"/>
    <w:rsid w:val="0008620F"/>
    <w:rsid w:val="00087891"/>
    <w:rsid w:val="0009177F"/>
    <w:rsid w:val="000951EB"/>
    <w:rsid w:val="00095F53"/>
    <w:rsid w:val="00096594"/>
    <w:rsid w:val="000979F6"/>
    <w:rsid w:val="000A15FC"/>
    <w:rsid w:val="000B1223"/>
    <w:rsid w:val="000B36E9"/>
    <w:rsid w:val="000C1605"/>
    <w:rsid w:val="000C3EA7"/>
    <w:rsid w:val="000C7CE0"/>
    <w:rsid w:val="000D2AC7"/>
    <w:rsid w:val="000D3F03"/>
    <w:rsid w:val="000D545A"/>
    <w:rsid w:val="000E0BD2"/>
    <w:rsid w:val="000E482D"/>
    <w:rsid w:val="000F310F"/>
    <w:rsid w:val="000F35F9"/>
    <w:rsid w:val="000F4458"/>
    <w:rsid w:val="000F4F58"/>
    <w:rsid w:val="001003F5"/>
    <w:rsid w:val="00102AA1"/>
    <w:rsid w:val="00102D6F"/>
    <w:rsid w:val="00103B0F"/>
    <w:rsid w:val="00104CFC"/>
    <w:rsid w:val="001053AD"/>
    <w:rsid w:val="00106C0D"/>
    <w:rsid w:val="001077EE"/>
    <w:rsid w:val="00111ED1"/>
    <w:rsid w:val="001137CE"/>
    <w:rsid w:val="001238A4"/>
    <w:rsid w:val="0012509B"/>
    <w:rsid w:val="00125E9E"/>
    <w:rsid w:val="00126A91"/>
    <w:rsid w:val="001270C2"/>
    <w:rsid w:val="00130254"/>
    <w:rsid w:val="0013334C"/>
    <w:rsid w:val="0013625F"/>
    <w:rsid w:val="001405B2"/>
    <w:rsid w:val="0014330E"/>
    <w:rsid w:val="00143F0F"/>
    <w:rsid w:val="00146D4D"/>
    <w:rsid w:val="00150082"/>
    <w:rsid w:val="001517EC"/>
    <w:rsid w:val="00153D80"/>
    <w:rsid w:val="00155ADA"/>
    <w:rsid w:val="00161BD8"/>
    <w:rsid w:val="00162B7C"/>
    <w:rsid w:val="00162EEE"/>
    <w:rsid w:val="00166898"/>
    <w:rsid w:val="00173786"/>
    <w:rsid w:val="00173789"/>
    <w:rsid w:val="00173C3B"/>
    <w:rsid w:val="0017453A"/>
    <w:rsid w:val="00176029"/>
    <w:rsid w:val="00181CB2"/>
    <w:rsid w:val="0018253F"/>
    <w:rsid w:val="00184CE1"/>
    <w:rsid w:val="00186ECD"/>
    <w:rsid w:val="00190F5A"/>
    <w:rsid w:val="00192CD8"/>
    <w:rsid w:val="00192EC2"/>
    <w:rsid w:val="00193B05"/>
    <w:rsid w:val="00194554"/>
    <w:rsid w:val="00195C80"/>
    <w:rsid w:val="00196783"/>
    <w:rsid w:val="001A16E7"/>
    <w:rsid w:val="001A180C"/>
    <w:rsid w:val="001A4412"/>
    <w:rsid w:val="001A69BF"/>
    <w:rsid w:val="001B3DA8"/>
    <w:rsid w:val="001C545F"/>
    <w:rsid w:val="001D14F7"/>
    <w:rsid w:val="001D2F9B"/>
    <w:rsid w:val="001D389A"/>
    <w:rsid w:val="001D4D02"/>
    <w:rsid w:val="001E0CA1"/>
    <w:rsid w:val="001E2B23"/>
    <w:rsid w:val="001E470C"/>
    <w:rsid w:val="001F2597"/>
    <w:rsid w:val="001F3658"/>
    <w:rsid w:val="001F4FC8"/>
    <w:rsid w:val="001F5D16"/>
    <w:rsid w:val="001F7FF3"/>
    <w:rsid w:val="00202FB4"/>
    <w:rsid w:val="00206E5D"/>
    <w:rsid w:val="0021097F"/>
    <w:rsid w:val="00212E19"/>
    <w:rsid w:val="00212E24"/>
    <w:rsid w:val="00212EA5"/>
    <w:rsid w:val="00213881"/>
    <w:rsid w:val="00214247"/>
    <w:rsid w:val="002145F9"/>
    <w:rsid w:val="00215857"/>
    <w:rsid w:val="00221E9B"/>
    <w:rsid w:val="00224B34"/>
    <w:rsid w:val="002258E0"/>
    <w:rsid w:val="00230B5D"/>
    <w:rsid w:val="00235BAF"/>
    <w:rsid w:val="00235FFD"/>
    <w:rsid w:val="00237525"/>
    <w:rsid w:val="00241400"/>
    <w:rsid w:val="00244846"/>
    <w:rsid w:val="00245DBA"/>
    <w:rsid w:val="002467DA"/>
    <w:rsid w:val="00247116"/>
    <w:rsid w:val="00252895"/>
    <w:rsid w:val="00252EE9"/>
    <w:rsid w:val="00256B0A"/>
    <w:rsid w:val="002573CC"/>
    <w:rsid w:val="0026083D"/>
    <w:rsid w:val="00261797"/>
    <w:rsid w:val="002652AA"/>
    <w:rsid w:val="002678A6"/>
    <w:rsid w:val="00270095"/>
    <w:rsid w:val="002717EB"/>
    <w:rsid w:val="00272578"/>
    <w:rsid w:val="00273929"/>
    <w:rsid w:val="0027486C"/>
    <w:rsid w:val="00274930"/>
    <w:rsid w:val="00282759"/>
    <w:rsid w:val="00283E60"/>
    <w:rsid w:val="002870D2"/>
    <w:rsid w:val="00292014"/>
    <w:rsid w:val="0029577C"/>
    <w:rsid w:val="00295BA6"/>
    <w:rsid w:val="00297EA4"/>
    <w:rsid w:val="002A0DB8"/>
    <w:rsid w:val="002A13AC"/>
    <w:rsid w:val="002A194D"/>
    <w:rsid w:val="002A2950"/>
    <w:rsid w:val="002A3297"/>
    <w:rsid w:val="002A3690"/>
    <w:rsid w:val="002A6306"/>
    <w:rsid w:val="002A6F2C"/>
    <w:rsid w:val="002A78E9"/>
    <w:rsid w:val="002B2A72"/>
    <w:rsid w:val="002B2BE1"/>
    <w:rsid w:val="002C22FF"/>
    <w:rsid w:val="002C3015"/>
    <w:rsid w:val="002C42AD"/>
    <w:rsid w:val="002C6B44"/>
    <w:rsid w:val="002C73CA"/>
    <w:rsid w:val="002D0A0E"/>
    <w:rsid w:val="002D6515"/>
    <w:rsid w:val="002D7380"/>
    <w:rsid w:val="002D7B2D"/>
    <w:rsid w:val="002E62D4"/>
    <w:rsid w:val="002F0927"/>
    <w:rsid w:val="002F157C"/>
    <w:rsid w:val="002F68BB"/>
    <w:rsid w:val="002F6B43"/>
    <w:rsid w:val="00300596"/>
    <w:rsid w:val="00301E80"/>
    <w:rsid w:val="00303634"/>
    <w:rsid w:val="003103B7"/>
    <w:rsid w:val="00310CEA"/>
    <w:rsid w:val="003120C6"/>
    <w:rsid w:val="0031489C"/>
    <w:rsid w:val="003149FF"/>
    <w:rsid w:val="003200E7"/>
    <w:rsid w:val="0032169C"/>
    <w:rsid w:val="00322174"/>
    <w:rsid w:val="003252AF"/>
    <w:rsid w:val="00326917"/>
    <w:rsid w:val="00327B06"/>
    <w:rsid w:val="00337254"/>
    <w:rsid w:val="0034195A"/>
    <w:rsid w:val="003433C6"/>
    <w:rsid w:val="003447F8"/>
    <w:rsid w:val="0034480B"/>
    <w:rsid w:val="00346767"/>
    <w:rsid w:val="003516CE"/>
    <w:rsid w:val="0036067A"/>
    <w:rsid w:val="00362A3D"/>
    <w:rsid w:val="0036432A"/>
    <w:rsid w:val="00371123"/>
    <w:rsid w:val="0037487C"/>
    <w:rsid w:val="003779D8"/>
    <w:rsid w:val="0038019B"/>
    <w:rsid w:val="003812C6"/>
    <w:rsid w:val="00382BAC"/>
    <w:rsid w:val="003838BC"/>
    <w:rsid w:val="00383B9C"/>
    <w:rsid w:val="00384E1F"/>
    <w:rsid w:val="00390736"/>
    <w:rsid w:val="00396185"/>
    <w:rsid w:val="003A097D"/>
    <w:rsid w:val="003A0C4F"/>
    <w:rsid w:val="003A38EE"/>
    <w:rsid w:val="003B23A6"/>
    <w:rsid w:val="003C0DFF"/>
    <w:rsid w:val="003C7251"/>
    <w:rsid w:val="003C7A85"/>
    <w:rsid w:val="003D0317"/>
    <w:rsid w:val="003D073C"/>
    <w:rsid w:val="003D46CA"/>
    <w:rsid w:val="003E12EB"/>
    <w:rsid w:val="003E5E3C"/>
    <w:rsid w:val="003F2FB5"/>
    <w:rsid w:val="003F5D18"/>
    <w:rsid w:val="003F5EC3"/>
    <w:rsid w:val="00402BF3"/>
    <w:rsid w:val="00406510"/>
    <w:rsid w:val="00407430"/>
    <w:rsid w:val="00410E87"/>
    <w:rsid w:val="004113B1"/>
    <w:rsid w:val="00412348"/>
    <w:rsid w:val="00412D4B"/>
    <w:rsid w:val="00416DD1"/>
    <w:rsid w:val="00416F11"/>
    <w:rsid w:val="00420BB6"/>
    <w:rsid w:val="00422688"/>
    <w:rsid w:val="0042540A"/>
    <w:rsid w:val="00426402"/>
    <w:rsid w:val="004273A1"/>
    <w:rsid w:val="00435685"/>
    <w:rsid w:val="0043681A"/>
    <w:rsid w:val="00436EE3"/>
    <w:rsid w:val="004421C7"/>
    <w:rsid w:val="004444E0"/>
    <w:rsid w:val="00447CEA"/>
    <w:rsid w:val="00453020"/>
    <w:rsid w:val="00453C29"/>
    <w:rsid w:val="004620B0"/>
    <w:rsid w:val="004629E3"/>
    <w:rsid w:val="00464C89"/>
    <w:rsid w:val="00465917"/>
    <w:rsid w:val="00470B60"/>
    <w:rsid w:val="004719A0"/>
    <w:rsid w:val="00472407"/>
    <w:rsid w:val="00473301"/>
    <w:rsid w:val="00477BA6"/>
    <w:rsid w:val="00483232"/>
    <w:rsid w:val="00484FDB"/>
    <w:rsid w:val="0048501F"/>
    <w:rsid w:val="004907D6"/>
    <w:rsid w:val="00494793"/>
    <w:rsid w:val="004957A7"/>
    <w:rsid w:val="00495B19"/>
    <w:rsid w:val="004A31A4"/>
    <w:rsid w:val="004A6483"/>
    <w:rsid w:val="004B152F"/>
    <w:rsid w:val="004B1A7A"/>
    <w:rsid w:val="004B3E8B"/>
    <w:rsid w:val="004B6FEF"/>
    <w:rsid w:val="004C4B22"/>
    <w:rsid w:val="004D0416"/>
    <w:rsid w:val="004D3E3D"/>
    <w:rsid w:val="004D3EA0"/>
    <w:rsid w:val="004D4508"/>
    <w:rsid w:val="004D78D7"/>
    <w:rsid w:val="004E11F5"/>
    <w:rsid w:val="004F4F61"/>
    <w:rsid w:val="00501D51"/>
    <w:rsid w:val="005021E4"/>
    <w:rsid w:val="00502B33"/>
    <w:rsid w:val="00503E24"/>
    <w:rsid w:val="005040E5"/>
    <w:rsid w:val="00505FAA"/>
    <w:rsid w:val="00511D07"/>
    <w:rsid w:val="00515D42"/>
    <w:rsid w:val="005175D1"/>
    <w:rsid w:val="00517A21"/>
    <w:rsid w:val="005209A8"/>
    <w:rsid w:val="005213F5"/>
    <w:rsid w:val="00533BD0"/>
    <w:rsid w:val="005355E3"/>
    <w:rsid w:val="005375B1"/>
    <w:rsid w:val="00541BB4"/>
    <w:rsid w:val="00543AB8"/>
    <w:rsid w:val="005456AC"/>
    <w:rsid w:val="00547C7B"/>
    <w:rsid w:val="0055155D"/>
    <w:rsid w:val="0055203D"/>
    <w:rsid w:val="0055318E"/>
    <w:rsid w:val="005531EA"/>
    <w:rsid w:val="005536DA"/>
    <w:rsid w:val="00560A4F"/>
    <w:rsid w:val="005619B6"/>
    <w:rsid w:val="00562611"/>
    <w:rsid w:val="00572714"/>
    <w:rsid w:val="00574113"/>
    <w:rsid w:val="00581B96"/>
    <w:rsid w:val="00582DD2"/>
    <w:rsid w:val="00584073"/>
    <w:rsid w:val="00590739"/>
    <w:rsid w:val="005A274B"/>
    <w:rsid w:val="005A4B59"/>
    <w:rsid w:val="005B1B82"/>
    <w:rsid w:val="005B3191"/>
    <w:rsid w:val="005B5550"/>
    <w:rsid w:val="005C3D8C"/>
    <w:rsid w:val="005C4A27"/>
    <w:rsid w:val="005C6530"/>
    <w:rsid w:val="005C6FCB"/>
    <w:rsid w:val="005D2E15"/>
    <w:rsid w:val="005D5249"/>
    <w:rsid w:val="005D75ED"/>
    <w:rsid w:val="005E0BB6"/>
    <w:rsid w:val="005E3483"/>
    <w:rsid w:val="005E3939"/>
    <w:rsid w:val="005E667D"/>
    <w:rsid w:val="005F3AF8"/>
    <w:rsid w:val="005F7EEF"/>
    <w:rsid w:val="00600DD8"/>
    <w:rsid w:val="006020B9"/>
    <w:rsid w:val="00603D70"/>
    <w:rsid w:val="00604D73"/>
    <w:rsid w:val="00605FC5"/>
    <w:rsid w:val="00606D78"/>
    <w:rsid w:val="00612BDA"/>
    <w:rsid w:val="00615F8C"/>
    <w:rsid w:val="00616830"/>
    <w:rsid w:val="00616A32"/>
    <w:rsid w:val="00620F0B"/>
    <w:rsid w:val="00622332"/>
    <w:rsid w:val="00622E2B"/>
    <w:rsid w:val="00624403"/>
    <w:rsid w:val="006271A3"/>
    <w:rsid w:val="00632461"/>
    <w:rsid w:val="0063442C"/>
    <w:rsid w:val="006351CD"/>
    <w:rsid w:val="0063693D"/>
    <w:rsid w:val="00640E7A"/>
    <w:rsid w:val="006416BA"/>
    <w:rsid w:val="006471A0"/>
    <w:rsid w:val="00651434"/>
    <w:rsid w:val="00651B48"/>
    <w:rsid w:val="006560AF"/>
    <w:rsid w:val="006574EC"/>
    <w:rsid w:val="0066650A"/>
    <w:rsid w:val="0067067D"/>
    <w:rsid w:val="00680109"/>
    <w:rsid w:val="00680204"/>
    <w:rsid w:val="00686711"/>
    <w:rsid w:val="00686D19"/>
    <w:rsid w:val="00686ED6"/>
    <w:rsid w:val="00690604"/>
    <w:rsid w:val="0069209F"/>
    <w:rsid w:val="00695B6A"/>
    <w:rsid w:val="006962FD"/>
    <w:rsid w:val="006A152A"/>
    <w:rsid w:val="006A2D6F"/>
    <w:rsid w:val="006A3ACE"/>
    <w:rsid w:val="006A4930"/>
    <w:rsid w:val="006B1644"/>
    <w:rsid w:val="006B2162"/>
    <w:rsid w:val="006B6C71"/>
    <w:rsid w:val="006C575E"/>
    <w:rsid w:val="006D03E5"/>
    <w:rsid w:val="006D24A9"/>
    <w:rsid w:val="006D3CCC"/>
    <w:rsid w:val="006D4A95"/>
    <w:rsid w:val="006D6CEF"/>
    <w:rsid w:val="006E199B"/>
    <w:rsid w:val="006E2FBD"/>
    <w:rsid w:val="006E7322"/>
    <w:rsid w:val="006F0BC0"/>
    <w:rsid w:val="006F2A2C"/>
    <w:rsid w:val="00700077"/>
    <w:rsid w:val="007017B6"/>
    <w:rsid w:val="00702995"/>
    <w:rsid w:val="007035AF"/>
    <w:rsid w:val="00704DD7"/>
    <w:rsid w:val="0071146C"/>
    <w:rsid w:val="0071579E"/>
    <w:rsid w:val="00722E6B"/>
    <w:rsid w:val="007246DF"/>
    <w:rsid w:val="0072536B"/>
    <w:rsid w:val="00726076"/>
    <w:rsid w:val="007316B7"/>
    <w:rsid w:val="007325BC"/>
    <w:rsid w:val="00732BBF"/>
    <w:rsid w:val="0073449B"/>
    <w:rsid w:val="007367FD"/>
    <w:rsid w:val="00737A4F"/>
    <w:rsid w:val="00744346"/>
    <w:rsid w:val="0075299B"/>
    <w:rsid w:val="00755031"/>
    <w:rsid w:val="00755AF2"/>
    <w:rsid w:val="00756296"/>
    <w:rsid w:val="0075716F"/>
    <w:rsid w:val="0076019E"/>
    <w:rsid w:val="00760544"/>
    <w:rsid w:val="00770FC9"/>
    <w:rsid w:val="00774716"/>
    <w:rsid w:val="00774AC3"/>
    <w:rsid w:val="00781839"/>
    <w:rsid w:val="00783BC9"/>
    <w:rsid w:val="0079267D"/>
    <w:rsid w:val="0079349A"/>
    <w:rsid w:val="007A26E6"/>
    <w:rsid w:val="007A3343"/>
    <w:rsid w:val="007A36A4"/>
    <w:rsid w:val="007B0E5F"/>
    <w:rsid w:val="007B263A"/>
    <w:rsid w:val="007B2CFB"/>
    <w:rsid w:val="007B567E"/>
    <w:rsid w:val="007B6081"/>
    <w:rsid w:val="007C2792"/>
    <w:rsid w:val="007C35EA"/>
    <w:rsid w:val="007C4053"/>
    <w:rsid w:val="007C40A9"/>
    <w:rsid w:val="007E08FD"/>
    <w:rsid w:val="007F2902"/>
    <w:rsid w:val="007F2BD8"/>
    <w:rsid w:val="007F39AD"/>
    <w:rsid w:val="007F6B77"/>
    <w:rsid w:val="007F6B80"/>
    <w:rsid w:val="007F6E04"/>
    <w:rsid w:val="00800B5C"/>
    <w:rsid w:val="00804C1C"/>
    <w:rsid w:val="008105B8"/>
    <w:rsid w:val="00812F18"/>
    <w:rsid w:val="00813E35"/>
    <w:rsid w:val="008178F6"/>
    <w:rsid w:val="00823135"/>
    <w:rsid w:val="00825C96"/>
    <w:rsid w:val="00827E0F"/>
    <w:rsid w:val="00830BEA"/>
    <w:rsid w:val="00832C1E"/>
    <w:rsid w:val="00837B68"/>
    <w:rsid w:val="0084037F"/>
    <w:rsid w:val="00843A6E"/>
    <w:rsid w:val="00846D83"/>
    <w:rsid w:val="0084732F"/>
    <w:rsid w:val="00847FE7"/>
    <w:rsid w:val="00850D8F"/>
    <w:rsid w:val="008532F0"/>
    <w:rsid w:val="008540D8"/>
    <w:rsid w:val="008575A1"/>
    <w:rsid w:val="00857C4D"/>
    <w:rsid w:val="00862984"/>
    <w:rsid w:val="00863F0C"/>
    <w:rsid w:val="00864657"/>
    <w:rsid w:val="00865118"/>
    <w:rsid w:val="0086631B"/>
    <w:rsid w:val="00866507"/>
    <w:rsid w:val="00870FD0"/>
    <w:rsid w:val="0087354E"/>
    <w:rsid w:val="00874C15"/>
    <w:rsid w:val="0087581B"/>
    <w:rsid w:val="008825B4"/>
    <w:rsid w:val="008848BE"/>
    <w:rsid w:val="008903B3"/>
    <w:rsid w:val="00891DA0"/>
    <w:rsid w:val="008972CA"/>
    <w:rsid w:val="008A01D9"/>
    <w:rsid w:val="008A12F4"/>
    <w:rsid w:val="008A2F81"/>
    <w:rsid w:val="008A7491"/>
    <w:rsid w:val="008B1901"/>
    <w:rsid w:val="008B2C77"/>
    <w:rsid w:val="008B3938"/>
    <w:rsid w:val="008B5842"/>
    <w:rsid w:val="008C00AA"/>
    <w:rsid w:val="008C03D0"/>
    <w:rsid w:val="008C65C4"/>
    <w:rsid w:val="008C6BBE"/>
    <w:rsid w:val="008D13A8"/>
    <w:rsid w:val="008D70AE"/>
    <w:rsid w:val="008D728C"/>
    <w:rsid w:val="008E3937"/>
    <w:rsid w:val="008E68B2"/>
    <w:rsid w:val="008F1D17"/>
    <w:rsid w:val="008F2855"/>
    <w:rsid w:val="008F5240"/>
    <w:rsid w:val="008F7D25"/>
    <w:rsid w:val="00901BDB"/>
    <w:rsid w:val="00914610"/>
    <w:rsid w:val="00916139"/>
    <w:rsid w:val="009177D6"/>
    <w:rsid w:val="0092190C"/>
    <w:rsid w:val="0092487C"/>
    <w:rsid w:val="009259CF"/>
    <w:rsid w:val="00926029"/>
    <w:rsid w:val="00926722"/>
    <w:rsid w:val="009276C5"/>
    <w:rsid w:val="0093150A"/>
    <w:rsid w:val="00931A0D"/>
    <w:rsid w:val="00931ACF"/>
    <w:rsid w:val="009340BE"/>
    <w:rsid w:val="009341FA"/>
    <w:rsid w:val="00934450"/>
    <w:rsid w:val="0093574A"/>
    <w:rsid w:val="00936773"/>
    <w:rsid w:val="00943402"/>
    <w:rsid w:val="00945ECA"/>
    <w:rsid w:val="00947318"/>
    <w:rsid w:val="00950C5E"/>
    <w:rsid w:val="00953BE6"/>
    <w:rsid w:val="00953D86"/>
    <w:rsid w:val="0095458A"/>
    <w:rsid w:val="00954A78"/>
    <w:rsid w:val="00954FD4"/>
    <w:rsid w:val="00955060"/>
    <w:rsid w:val="009555D9"/>
    <w:rsid w:val="00957337"/>
    <w:rsid w:val="00960FEB"/>
    <w:rsid w:val="009618DA"/>
    <w:rsid w:val="00963E72"/>
    <w:rsid w:val="00965BF6"/>
    <w:rsid w:val="009670C5"/>
    <w:rsid w:val="009802D0"/>
    <w:rsid w:val="00985744"/>
    <w:rsid w:val="009866E0"/>
    <w:rsid w:val="0099075E"/>
    <w:rsid w:val="009945E1"/>
    <w:rsid w:val="009977DF"/>
    <w:rsid w:val="009A32E0"/>
    <w:rsid w:val="009A7177"/>
    <w:rsid w:val="009B6304"/>
    <w:rsid w:val="009C0504"/>
    <w:rsid w:val="009C0FA2"/>
    <w:rsid w:val="009C1DD7"/>
    <w:rsid w:val="009C4A57"/>
    <w:rsid w:val="009D1631"/>
    <w:rsid w:val="009D2776"/>
    <w:rsid w:val="009D6158"/>
    <w:rsid w:val="009D6C16"/>
    <w:rsid w:val="009D708D"/>
    <w:rsid w:val="009D7A5B"/>
    <w:rsid w:val="009E0F9B"/>
    <w:rsid w:val="009E200E"/>
    <w:rsid w:val="009F416D"/>
    <w:rsid w:val="009F5111"/>
    <w:rsid w:val="009F646A"/>
    <w:rsid w:val="00A075CE"/>
    <w:rsid w:val="00A1077A"/>
    <w:rsid w:val="00A1281C"/>
    <w:rsid w:val="00A17FCA"/>
    <w:rsid w:val="00A23605"/>
    <w:rsid w:val="00A23AB9"/>
    <w:rsid w:val="00A26E6A"/>
    <w:rsid w:val="00A272AE"/>
    <w:rsid w:val="00A30719"/>
    <w:rsid w:val="00A317F9"/>
    <w:rsid w:val="00A3231D"/>
    <w:rsid w:val="00A32EF0"/>
    <w:rsid w:val="00A34F0B"/>
    <w:rsid w:val="00A3514B"/>
    <w:rsid w:val="00A351A4"/>
    <w:rsid w:val="00A35ADF"/>
    <w:rsid w:val="00A40689"/>
    <w:rsid w:val="00A442AC"/>
    <w:rsid w:val="00A4507F"/>
    <w:rsid w:val="00A52B84"/>
    <w:rsid w:val="00A53C0E"/>
    <w:rsid w:val="00A55460"/>
    <w:rsid w:val="00A55B04"/>
    <w:rsid w:val="00A55EFA"/>
    <w:rsid w:val="00A57227"/>
    <w:rsid w:val="00A579F3"/>
    <w:rsid w:val="00A62EBB"/>
    <w:rsid w:val="00A63B6A"/>
    <w:rsid w:val="00A70084"/>
    <w:rsid w:val="00A703C6"/>
    <w:rsid w:val="00A77B02"/>
    <w:rsid w:val="00A800C0"/>
    <w:rsid w:val="00A80790"/>
    <w:rsid w:val="00A80BFE"/>
    <w:rsid w:val="00A81846"/>
    <w:rsid w:val="00A81F9A"/>
    <w:rsid w:val="00A852C2"/>
    <w:rsid w:val="00A90DF0"/>
    <w:rsid w:val="00A9125B"/>
    <w:rsid w:val="00A91BB4"/>
    <w:rsid w:val="00A94DCF"/>
    <w:rsid w:val="00A966EC"/>
    <w:rsid w:val="00AA060B"/>
    <w:rsid w:val="00AA10AB"/>
    <w:rsid w:val="00AA249F"/>
    <w:rsid w:val="00AA3F14"/>
    <w:rsid w:val="00AB2704"/>
    <w:rsid w:val="00AB581F"/>
    <w:rsid w:val="00AB697F"/>
    <w:rsid w:val="00AC0B7C"/>
    <w:rsid w:val="00AC3853"/>
    <w:rsid w:val="00AC5728"/>
    <w:rsid w:val="00AD1973"/>
    <w:rsid w:val="00AD37CB"/>
    <w:rsid w:val="00AD5E81"/>
    <w:rsid w:val="00AD7A83"/>
    <w:rsid w:val="00AE4B96"/>
    <w:rsid w:val="00AE6E12"/>
    <w:rsid w:val="00AE716B"/>
    <w:rsid w:val="00AF174A"/>
    <w:rsid w:val="00AF232D"/>
    <w:rsid w:val="00AF2F53"/>
    <w:rsid w:val="00AF5CBC"/>
    <w:rsid w:val="00B00E90"/>
    <w:rsid w:val="00B0261F"/>
    <w:rsid w:val="00B03008"/>
    <w:rsid w:val="00B03370"/>
    <w:rsid w:val="00B0434D"/>
    <w:rsid w:val="00B11111"/>
    <w:rsid w:val="00B127AE"/>
    <w:rsid w:val="00B133A6"/>
    <w:rsid w:val="00B15C03"/>
    <w:rsid w:val="00B16A33"/>
    <w:rsid w:val="00B220DC"/>
    <w:rsid w:val="00B23660"/>
    <w:rsid w:val="00B25AB5"/>
    <w:rsid w:val="00B2644A"/>
    <w:rsid w:val="00B33B5A"/>
    <w:rsid w:val="00B3738F"/>
    <w:rsid w:val="00B4029A"/>
    <w:rsid w:val="00B4135D"/>
    <w:rsid w:val="00B44D61"/>
    <w:rsid w:val="00B45158"/>
    <w:rsid w:val="00B47E77"/>
    <w:rsid w:val="00B5082F"/>
    <w:rsid w:val="00B50F85"/>
    <w:rsid w:val="00B541DE"/>
    <w:rsid w:val="00B54C95"/>
    <w:rsid w:val="00B61957"/>
    <w:rsid w:val="00B7102C"/>
    <w:rsid w:val="00B74176"/>
    <w:rsid w:val="00B81064"/>
    <w:rsid w:val="00B85906"/>
    <w:rsid w:val="00B878BF"/>
    <w:rsid w:val="00B87D26"/>
    <w:rsid w:val="00B90A4F"/>
    <w:rsid w:val="00B951BC"/>
    <w:rsid w:val="00B955F6"/>
    <w:rsid w:val="00BB3F58"/>
    <w:rsid w:val="00BB6F81"/>
    <w:rsid w:val="00BC2E9E"/>
    <w:rsid w:val="00BC3DEB"/>
    <w:rsid w:val="00BC4F7A"/>
    <w:rsid w:val="00BC7261"/>
    <w:rsid w:val="00BD39A5"/>
    <w:rsid w:val="00BD538B"/>
    <w:rsid w:val="00BE1318"/>
    <w:rsid w:val="00BE52BB"/>
    <w:rsid w:val="00BE5B3F"/>
    <w:rsid w:val="00BF2010"/>
    <w:rsid w:val="00BF6486"/>
    <w:rsid w:val="00C0206C"/>
    <w:rsid w:val="00C04556"/>
    <w:rsid w:val="00C04648"/>
    <w:rsid w:val="00C10EC0"/>
    <w:rsid w:val="00C13963"/>
    <w:rsid w:val="00C24E97"/>
    <w:rsid w:val="00C30536"/>
    <w:rsid w:val="00C3243A"/>
    <w:rsid w:val="00C3367F"/>
    <w:rsid w:val="00C360DA"/>
    <w:rsid w:val="00C4325E"/>
    <w:rsid w:val="00C50279"/>
    <w:rsid w:val="00C5123B"/>
    <w:rsid w:val="00C654CD"/>
    <w:rsid w:val="00C65AF7"/>
    <w:rsid w:val="00C707B3"/>
    <w:rsid w:val="00C709AE"/>
    <w:rsid w:val="00C71143"/>
    <w:rsid w:val="00C72EF4"/>
    <w:rsid w:val="00C75439"/>
    <w:rsid w:val="00C82A0C"/>
    <w:rsid w:val="00C83FDF"/>
    <w:rsid w:val="00C8746E"/>
    <w:rsid w:val="00C9033D"/>
    <w:rsid w:val="00C91732"/>
    <w:rsid w:val="00C91F4E"/>
    <w:rsid w:val="00CA2142"/>
    <w:rsid w:val="00CA4E7D"/>
    <w:rsid w:val="00CA4E93"/>
    <w:rsid w:val="00CA6ED2"/>
    <w:rsid w:val="00CA72E1"/>
    <w:rsid w:val="00CB6912"/>
    <w:rsid w:val="00CC0588"/>
    <w:rsid w:val="00CC092E"/>
    <w:rsid w:val="00CC0DD8"/>
    <w:rsid w:val="00CC16D0"/>
    <w:rsid w:val="00CC1801"/>
    <w:rsid w:val="00CC509E"/>
    <w:rsid w:val="00CC7CF5"/>
    <w:rsid w:val="00CD2C03"/>
    <w:rsid w:val="00CD32F6"/>
    <w:rsid w:val="00CD337C"/>
    <w:rsid w:val="00CD6A7A"/>
    <w:rsid w:val="00CE293D"/>
    <w:rsid w:val="00CE2F7D"/>
    <w:rsid w:val="00CF4AEC"/>
    <w:rsid w:val="00CF56BF"/>
    <w:rsid w:val="00CF760A"/>
    <w:rsid w:val="00D0306F"/>
    <w:rsid w:val="00D04A1C"/>
    <w:rsid w:val="00D07F57"/>
    <w:rsid w:val="00D12404"/>
    <w:rsid w:val="00D179B4"/>
    <w:rsid w:val="00D20329"/>
    <w:rsid w:val="00D205C8"/>
    <w:rsid w:val="00D20C28"/>
    <w:rsid w:val="00D27220"/>
    <w:rsid w:val="00D27A3D"/>
    <w:rsid w:val="00D31668"/>
    <w:rsid w:val="00D3213B"/>
    <w:rsid w:val="00D32D5A"/>
    <w:rsid w:val="00D34737"/>
    <w:rsid w:val="00D3574C"/>
    <w:rsid w:val="00D367FD"/>
    <w:rsid w:val="00D43147"/>
    <w:rsid w:val="00D4406E"/>
    <w:rsid w:val="00D45E10"/>
    <w:rsid w:val="00D47254"/>
    <w:rsid w:val="00D51649"/>
    <w:rsid w:val="00D52394"/>
    <w:rsid w:val="00D5250B"/>
    <w:rsid w:val="00D526C6"/>
    <w:rsid w:val="00D537E1"/>
    <w:rsid w:val="00D54EF8"/>
    <w:rsid w:val="00D5561D"/>
    <w:rsid w:val="00D56DD6"/>
    <w:rsid w:val="00D57894"/>
    <w:rsid w:val="00D61116"/>
    <w:rsid w:val="00D63488"/>
    <w:rsid w:val="00D66AB8"/>
    <w:rsid w:val="00D75143"/>
    <w:rsid w:val="00D77697"/>
    <w:rsid w:val="00D80F47"/>
    <w:rsid w:val="00D83FB9"/>
    <w:rsid w:val="00D840B7"/>
    <w:rsid w:val="00D91262"/>
    <w:rsid w:val="00D92151"/>
    <w:rsid w:val="00D94489"/>
    <w:rsid w:val="00D9630F"/>
    <w:rsid w:val="00D9684F"/>
    <w:rsid w:val="00D96B2E"/>
    <w:rsid w:val="00D97AF4"/>
    <w:rsid w:val="00DA5A44"/>
    <w:rsid w:val="00DB3B94"/>
    <w:rsid w:val="00DB3FCC"/>
    <w:rsid w:val="00DB70CC"/>
    <w:rsid w:val="00DC1A0D"/>
    <w:rsid w:val="00DC2613"/>
    <w:rsid w:val="00DC5E3B"/>
    <w:rsid w:val="00DD07F8"/>
    <w:rsid w:val="00DD22EA"/>
    <w:rsid w:val="00DE1406"/>
    <w:rsid w:val="00DE2E4C"/>
    <w:rsid w:val="00DE453B"/>
    <w:rsid w:val="00E026E3"/>
    <w:rsid w:val="00E0637E"/>
    <w:rsid w:val="00E0723E"/>
    <w:rsid w:val="00E07576"/>
    <w:rsid w:val="00E105E3"/>
    <w:rsid w:val="00E12FA0"/>
    <w:rsid w:val="00E1414C"/>
    <w:rsid w:val="00E16C30"/>
    <w:rsid w:val="00E1745E"/>
    <w:rsid w:val="00E22018"/>
    <w:rsid w:val="00E22074"/>
    <w:rsid w:val="00E26196"/>
    <w:rsid w:val="00E276E6"/>
    <w:rsid w:val="00E30219"/>
    <w:rsid w:val="00E312A7"/>
    <w:rsid w:val="00E347F5"/>
    <w:rsid w:val="00E35576"/>
    <w:rsid w:val="00E36F2C"/>
    <w:rsid w:val="00E4091F"/>
    <w:rsid w:val="00E43951"/>
    <w:rsid w:val="00E43C17"/>
    <w:rsid w:val="00E457D9"/>
    <w:rsid w:val="00E46685"/>
    <w:rsid w:val="00E47D64"/>
    <w:rsid w:val="00E47F88"/>
    <w:rsid w:val="00E52FE7"/>
    <w:rsid w:val="00E55005"/>
    <w:rsid w:val="00E570AA"/>
    <w:rsid w:val="00E57562"/>
    <w:rsid w:val="00E6112E"/>
    <w:rsid w:val="00E6365A"/>
    <w:rsid w:val="00E6382C"/>
    <w:rsid w:val="00E65C8F"/>
    <w:rsid w:val="00E670CB"/>
    <w:rsid w:val="00E733BE"/>
    <w:rsid w:val="00E75AF4"/>
    <w:rsid w:val="00E82D9A"/>
    <w:rsid w:val="00E85494"/>
    <w:rsid w:val="00E861A3"/>
    <w:rsid w:val="00E91313"/>
    <w:rsid w:val="00E9377E"/>
    <w:rsid w:val="00E94965"/>
    <w:rsid w:val="00E95999"/>
    <w:rsid w:val="00EA2B8F"/>
    <w:rsid w:val="00EA506F"/>
    <w:rsid w:val="00EA57D4"/>
    <w:rsid w:val="00EB2903"/>
    <w:rsid w:val="00EB669B"/>
    <w:rsid w:val="00EB6C8F"/>
    <w:rsid w:val="00EC2900"/>
    <w:rsid w:val="00EC659A"/>
    <w:rsid w:val="00ED4AC6"/>
    <w:rsid w:val="00ED4B27"/>
    <w:rsid w:val="00ED6263"/>
    <w:rsid w:val="00EE03A9"/>
    <w:rsid w:val="00EE7AD1"/>
    <w:rsid w:val="00EF46AA"/>
    <w:rsid w:val="00EF5320"/>
    <w:rsid w:val="00EF6BBD"/>
    <w:rsid w:val="00F049A9"/>
    <w:rsid w:val="00F06CE4"/>
    <w:rsid w:val="00F1152E"/>
    <w:rsid w:val="00F13637"/>
    <w:rsid w:val="00F14488"/>
    <w:rsid w:val="00F14BAD"/>
    <w:rsid w:val="00F156FA"/>
    <w:rsid w:val="00F233C4"/>
    <w:rsid w:val="00F330F9"/>
    <w:rsid w:val="00F41A33"/>
    <w:rsid w:val="00F43B57"/>
    <w:rsid w:val="00F44C88"/>
    <w:rsid w:val="00F530A0"/>
    <w:rsid w:val="00F56979"/>
    <w:rsid w:val="00F6149E"/>
    <w:rsid w:val="00F619CF"/>
    <w:rsid w:val="00F61DBC"/>
    <w:rsid w:val="00F63617"/>
    <w:rsid w:val="00F65F7B"/>
    <w:rsid w:val="00F76C18"/>
    <w:rsid w:val="00F82035"/>
    <w:rsid w:val="00F851FA"/>
    <w:rsid w:val="00F855E1"/>
    <w:rsid w:val="00F8642D"/>
    <w:rsid w:val="00F86AF1"/>
    <w:rsid w:val="00F9165C"/>
    <w:rsid w:val="00F928EB"/>
    <w:rsid w:val="00F94168"/>
    <w:rsid w:val="00F970A6"/>
    <w:rsid w:val="00FA028D"/>
    <w:rsid w:val="00FA3562"/>
    <w:rsid w:val="00FA6373"/>
    <w:rsid w:val="00FA79EB"/>
    <w:rsid w:val="00FB4D06"/>
    <w:rsid w:val="00FB5682"/>
    <w:rsid w:val="00FB6D8F"/>
    <w:rsid w:val="00FB79A5"/>
    <w:rsid w:val="00FC565E"/>
    <w:rsid w:val="00FC637F"/>
    <w:rsid w:val="00FD0109"/>
    <w:rsid w:val="00FD56FE"/>
    <w:rsid w:val="00FD6BAA"/>
    <w:rsid w:val="00FD7525"/>
    <w:rsid w:val="00FE220D"/>
    <w:rsid w:val="00FE4C21"/>
    <w:rsid w:val="00FE520F"/>
    <w:rsid w:val="00FE6DD7"/>
    <w:rsid w:val="00FE6F7C"/>
    <w:rsid w:val="00FF231A"/>
    <w:rsid w:val="00FF2A00"/>
    <w:rsid w:val="00FF3202"/>
    <w:rsid w:val="00FF538F"/>
    <w:rsid w:val="00FF54D4"/>
    <w:rsid w:val="00FF5FC1"/>
    <w:rsid w:val="00FF66DB"/>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styleId="Emphasis">
    <w:name w:val="Emphasis"/>
    <w:basedOn w:val="DefaultParagraphFont"/>
    <w:uiPriority w:val="20"/>
    <w:qFormat/>
    <w:rsid w:val="009341FA"/>
    <w:rPr>
      <w:i/>
      <w:iCs/>
    </w:rPr>
  </w:style>
  <w:style w:type="character" w:customStyle="1" w:styleId="relative">
    <w:name w:val="relative"/>
    <w:basedOn w:val="DefaultParagraphFont"/>
    <w:rsid w:val="009341FA"/>
  </w:style>
  <w:style w:type="paragraph" w:customStyle="1" w:styleId="not-prose">
    <w:name w:val="not-prose"/>
    <w:basedOn w:val="Normal"/>
    <w:rsid w:val="009341FA"/>
    <w:pPr>
      <w:spacing w:before="100" w:beforeAutospacing="1" w:after="100" w:afterAutospacing="1" w:line="240" w:lineRule="auto"/>
    </w:pPr>
    <w:rPr>
      <w:rFonts w:ascii="Times New Roman" w:eastAsia="Times New Roman" w:hAnsi="Times New Roman" w:cs="Times New Roman"/>
      <w:sz w:val="24"/>
      <w:szCs w:val="24"/>
      <w:lang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6522">
      <w:bodyDiv w:val="1"/>
      <w:marLeft w:val="0"/>
      <w:marRight w:val="0"/>
      <w:marTop w:val="0"/>
      <w:marBottom w:val="0"/>
      <w:divBdr>
        <w:top w:val="none" w:sz="0" w:space="0" w:color="auto"/>
        <w:left w:val="none" w:sz="0" w:space="0" w:color="auto"/>
        <w:bottom w:val="none" w:sz="0" w:space="0" w:color="auto"/>
        <w:right w:val="none" w:sz="0" w:space="0" w:color="auto"/>
      </w:divBdr>
    </w:div>
    <w:div w:id="147094273">
      <w:bodyDiv w:val="1"/>
      <w:marLeft w:val="0"/>
      <w:marRight w:val="0"/>
      <w:marTop w:val="0"/>
      <w:marBottom w:val="0"/>
      <w:divBdr>
        <w:top w:val="none" w:sz="0" w:space="0" w:color="auto"/>
        <w:left w:val="none" w:sz="0" w:space="0" w:color="auto"/>
        <w:bottom w:val="none" w:sz="0" w:space="0" w:color="auto"/>
        <w:right w:val="none" w:sz="0" w:space="0" w:color="auto"/>
      </w:divBdr>
    </w:div>
    <w:div w:id="219831436">
      <w:bodyDiv w:val="1"/>
      <w:marLeft w:val="0"/>
      <w:marRight w:val="0"/>
      <w:marTop w:val="0"/>
      <w:marBottom w:val="0"/>
      <w:divBdr>
        <w:top w:val="none" w:sz="0" w:space="0" w:color="auto"/>
        <w:left w:val="none" w:sz="0" w:space="0" w:color="auto"/>
        <w:bottom w:val="none" w:sz="0" w:space="0" w:color="auto"/>
        <w:right w:val="none" w:sz="0" w:space="0" w:color="auto"/>
      </w:divBdr>
    </w:div>
    <w:div w:id="259215159">
      <w:bodyDiv w:val="1"/>
      <w:marLeft w:val="0"/>
      <w:marRight w:val="0"/>
      <w:marTop w:val="0"/>
      <w:marBottom w:val="0"/>
      <w:divBdr>
        <w:top w:val="none" w:sz="0" w:space="0" w:color="auto"/>
        <w:left w:val="none" w:sz="0" w:space="0" w:color="auto"/>
        <w:bottom w:val="none" w:sz="0" w:space="0" w:color="auto"/>
        <w:right w:val="none" w:sz="0" w:space="0" w:color="auto"/>
      </w:divBdr>
    </w:div>
    <w:div w:id="259528832">
      <w:bodyDiv w:val="1"/>
      <w:marLeft w:val="0"/>
      <w:marRight w:val="0"/>
      <w:marTop w:val="0"/>
      <w:marBottom w:val="0"/>
      <w:divBdr>
        <w:top w:val="none" w:sz="0" w:space="0" w:color="auto"/>
        <w:left w:val="none" w:sz="0" w:space="0" w:color="auto"/>
        <w:bottom w:val="none" w:sz="0" w:space="0" w:color="auto"/>
        <w:right w:val="none" w:sz="0" w:space="0" w:color="auto"/>
      </w:divBdr>
      <w:divsChild>
        <w:div w:id="2108193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4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8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23052">
      <w:bodyDiv w:val="1"/>
      <w:marLeft w:val="0"/>
      <w:marRight w:val="0"/>
      <w:marTop w:val="0"/>
      <w:marBottom w:val="0"/>
      <w:divBdr>
        <w:top w:val="none" w:sz="0" w:space="0" w:color="auto"/>
        <w:left w:val="none" w:sz="0" w:space="0" w:color="auto"/>
        <w:bottom w:val="none" w:sz="0" w:space="0" w:color="auto"/>
        <w:right w:val="none" w:sz="0" w:space="0" w:color="auto"/>
      </w:divBdr>
    </w:div>
    <w:div w:id="400836736">
      <w:bodyDiv w:val="1"/>
      <w:marLeft w:val="0"/>
      <w:marRight w:val="0"/>
      <w:marTop w:val="0"/>
      <w:marBottom w:val="0"/>
      <w:divBdr>
        <w:top w:val="none" w:sz="0" w:space="0" w:color="auto"/>
        <w:left w:val="none" w:sz="0" w:space="0" w:color="auto"/>
        <w:bottom w:val="none" w:sz="0" w:space="0" w:color="auto"/>
        <w:right w:val="none" w:sz="0" w:space="0" w:color="auto"/>
      </w:divBdr>
    </w:div>
    <w:div w:id="505025013">
      <w:bodyDiv w:val="1"/>
      <w:marLeft w:val="0"/>
      <w:marRight w:val="0"/>
      <w:marTop w:val="0"/>
      <w:marBottom w:val="0"/>
      <w:divBdr>
        <w:top w:val="none" w:sz="0" w:space="0" w:color="auto"/>
        <w:left w:val="none" w:sz="0" w:space="0" w:color="auto"/>
        <w:bottom w:val="none" w:sz="0" w:space="0" w:color="auto"/>
        <w:right w:val="none" w:sz="0" w:space="0" w:color="auto"/>
      </w:divBdr>
    </w:div>
    <w:div w:id="571623596">
      <w:bodyDiv w:val="1"/>
      <w:marLeft w:val="0"/>
      <w:marRight w:val="0"/>
      <w:marTop w:val="0"/>
      <w:marBottom w:val="0"/>
      <w:divBdr>
        <w:top w:val="none" w:sz="0" w:space="0" w:color="auto"/>
        <w:left w:val="none" w:sz="0" w:space="0" w:color="auto"/>
        <w:bottom w:val="none" w:sz="0" w:space="0" w:color="auto"/>
        <w:right w:val="none" w:sz="0" w:space="0" w:color="auto"/>
      </w:divBdr>
    </w:div>
    <w:div w:id="620844872">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48698221">
      <w:bodyDiv w:val="1"/>
      <w:marLeft w:val="0"/>
      <w:marRight w:val="0"/>
      <w:marTop w:val="0"/>
      <w:marBottom w:val="0"/>
      <w:divBdr>
        <w:top w:val="none" w:sz="0" w:space="0" w:color="auto"/>
        <w:left w:val="none" w:sz="0" w:space="0" w:color="auto"/>
        <w:bottom w:val="none" w:sz="0" w:space="0" w:color="auto"/>
        <w:right w:val="none" w:sz="0" w:space="0" w:color="auto"/>
      </w:divBdr>
    </w:div>
    <w:div w:id="771629386">
      <w:bodyDiv w:val="1"/>
      <w:marLeft w:val="0"/>
      <w:marRight w:val="0"/>
      <w:marTop w:val="0"/>
      <w:marBottom w:val="0"/>
      <w:divBdr>
        <w:top w:val="none" w:sz="0" w:space="0" w:color="auto"/>
        <w:left w:val="none" w:sz="0" w:space="0" w:color="auto"/>
        <w:bottom w:val="none" w:sz="0" w:space="0" w:color="auto"/>
        <w:right w:val="none" w:sz="0" w:space="0" w:color="auto"/>
      </w:divBdr>
    </w:div>
    <w:div w:id="911426918">
      <w:bodyDiv w:val="1"/>
      <w:marLeft w:val="0"/>
      <w:marRight w:val="0"/>
      <w:marTop w:val="0"/>
      <w:marBottom w:val="0"/>
      <w:divBdr>
        <w:top w:val="none" w:sz="0" w:space="0" w:color="auto"/>
        <w:left w:val="none" w:sz="0" w:space="0" w:color="auto"/>
        <w:bottom w:val="none" w:sz="0" w:space="0" w:color="auto"/>
        <w:right w:val="none" w:sz="0" w:space="0" w:color="auto"/>
      </w:divBdr>
      <w:divsChild>
        <w:div w:id="9275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1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6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6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10231">
      <w:bodyDiv w:val="1"/>
      <w:marLeft w:val="0"/>
      <w:marRight w:val="0"/>
      <w:marTop w:val="0"/>
      <w:marBottom w:val="0"/>
      <w:divBdr>
        <w:top w:val="none" w:sz="0" w:space="0" w:color="auto"/>
        <w:left w:val="none" w:sz="0" w:space="0" w:color="auto"/>
        <w:bottom w:val="none" w:sz="0" w:space="0" w:color="auto"/>
        <w:right w:val="none" w:sz="0" w:space="0" w:color="auto"/>
      </w:divBdr>
    </w:div>
    <w:div w:id="1269973079">
      <w:bodyDiv w:val="1"/>
      <w:marLeft w:val="0"/>
      <w:marRight w:val="0"/>
      <w:marTop w:val="0"/>
      <w:marBottom w:val="0"/>
      <w:divBdr>
        <w:top w:val="none" w:sz="0" w:space="0" w:color="auto"/>
        <w:left w:val="none" w:sz="0" w:space="0" w:color="auto"/>
        <w:bottom w:val="none" w:sz="0" w:space="0" w:color="auto"/>
        <w:right w:val="none" w:sz="0" w:space="0" w:color="auto"/>
      </w:divBdr>
    </w:div>
    <w:div w:id="1497453442">
      <w:bodyDiv w:val="1"/>
      <w:marLeft w:val="0"/>
      <w:marRight w:val="0"/>
      <w:marTop w:val="0"/>
      <w:marBottom w:val="0"/>
      <w:divBdr>
        <w:top w:val="none" w:sz="0" w:space="0" w:color="auto"/>
        <w:left w:val="none" w:sz="0" w:space="0" w:color="auto"/>
        <w:bottom w:val="none" w:sz="0" w:space="0" w:color="auto"/>
        <w:right w:val="none" w:sz="0" w:space="0" w:color="auto"/>
      </w:divBdr>
    </w:div>
    <w:div w:id="1551840970">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49673997">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881237204">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2.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3.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5.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6.xml><?xml version="1.0" encoding="utf-8"?>
<ds:datastoreItem xmlns:ds="http://schemas.openxmlformats.org/officeDocument/2006/customXml" ds:itemID="{6DD1F1BD-46C8-4072-B21D-B609A4DE008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3729</Words>
  <Characters>21174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12</cp:revision>
  <cp:lastPrinted>2025-10-15T19:13:00Z</cp:lastPrinted>
  <dcterms:created xsi:type="dcterms:W3CDTF">2025-09-29T15:39:00Z</dcterms:created>
  <dcterms:modified xsi:type="dcterms:W3CDTF">2025-10-16T18:41:00Z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y fmtid="{D5CDD505-2E9C-101B-9397-08002B2CF9AE}" pid="5" name="GrammarlyDocumentId">
    <vt:lpwstr>264db597-14ad-4bf2-9b39-9803e6e27d2a</vt:lpwstr>
  </property>
</Properties>
</file>