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188294" w14:textId="77777777" w:rsidR="00411D95" w:rsidRPr="00CD11F7" w:rsidRDefault="00411D95" w:rsidP="00411D95">
      <w:pPr>
        <w:jc w:val="center"/>
        <w:rPr>
          <w:rFonts w:ascii="Book Antiqua" w:hAnsi="Book Antiqua"/>
          <w:color w:val="000000"/>
        </w:rPr>
      </w:pPr>
      <w:r w:rsidRPr="00CD11F7">
        <w:rPr>
          <w:rFonts w:ascii="Book Antiqua" w:hAnsi="Book Antiqua"/>
          <w:b/>
          <w:color w:val="000000"/>
          <w:sz w:val="28"/>
          <w:szCs w:val="28"/>
        </w:rPr>
        <w:t>GOBIERNO DE PUERTO RICO</w:t>
      </w:r>
    </w:p>
    <w:p w14:paraId="70564D84" w14:textId="77777777" w:rsidR="00411D95" w:rsidRPr="00CD11F7" w:rsidRDefault="00411D95" w:rsidP="00411D95">
      <w:pPr>
        <w:pStyle w:val="Title2"/>
        <w:rPr>
          <w:rFonts w:ascii="Book Antiqua" w:hAnsi="Book Antiqua"/>
          <w:color w:val="000000"/>
          <w:sz w:val="24"/>
          <w:lang w:val="es-ES"/>
        </w:rPr>
      </w:pPr>
    </w:p>
    <w:p w14:paraId="39E8B46B" w14:textId="2DC4C321" w:rsidR="00411D95" w:rsidRPr="00CD11F7" w:rsidRDefault="00411D95" w:rsidP="00411D95">
      <w:pPr>
        <w:pStyle w:val="Title2"/>
        <w:rPr>
          <w:rFonts w:ascii="Book Antiqua" w:hAnsi="Book Antiqua"/>
          <w:color w:val="000000"/>
          <w:sz w:val="24"/>
          <w:lang w:val="es-ES"/>
        </w:rPr>
      </w:pPr>
      <w:r w:rsidRPr="00CD11F7">
        <w:rPr>
          <w:rFonts w:ascii="Book Antiqua" w:hAnsi="Book Antiqua"/>
          <w:color w:val="000000"/>
          <w:sz w:val="24"/>
          <w:lang w:val="es-ES"/>
        </w:rPr>
        <w:t>20</w:t>
      </w:r>
      <w:proofErr w:type="spellStart"/>
      <w:r w:rsidRPr="00594D06">
        <w:rPr>
          <w:rFonts w:ascii="Book Antiqua" w:hAnsi="Book Antiqua"/>
          <w:color w:val="000000"/>
          <w:position w:val="10"/>
          <w:sz w:val="24"/>
          <w:vertAlign w:val="superscript"/>
          <w:lang w:val="es-ES"/>
        </w:rPr>
        <w:t>ma</w:t>
      </w:r>
      <w:proofErr w:type="spellEnd"/>
      <w:r w:rsidRPr="00CD11F7">
        <w:rPr>
          <w:rFonts w:ascii="Book Antiqua" w:hAnsi="Book Antiqua"/>
          <w:color w:val="000000"/>
          <w:position w:val="10"/>
          <w:sz w:val="24"/>
          <w:vertAlign w:val="superscript"/>
          <w:lang w:val="es-ES"/>
        </w:rPr>
        <w:t xml:space="preserve"> </w:t>
      </w:r>
      <w:r w:rsidRPr="00CD11F7">
        <w:rPr>
          <w:rFonts w:ascii="Book Antiqua" w:hAnsi="Book Antiqua"/>
          <w:color w:val="000000"/>
          <w:sz w:val="24"/>
          <w:lang w:val="es-ES"/>
        </w:rPr>
        <w:t>Asamblea</w:t>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t xml:space="preserve">             </w:t>
      </w:r>
      <w:r w:rsidR="007E22AC">
        <w:rPr>
          <w:rFonts w:ascii="Book Antiqua" w:hAnsi="Book Antiqua"/>
          <w:color w:val="000000"/>
          <w:sz w:val="24"/>
          <w:lang w:val="es-ES"/>
        </w:rPr>
        <w:t xml:space="preserve">                   </w:t>
      </w:r>
      <w:r w:rsidRPr="00CD11F7">
        <w:rPr>
          <w:rFonts w:ascii="Book Antiqua" w:hAnsi="Book Antiqua"/>
          <w:color w:val="000000"/>
          <w:sz w:val="24"/>
          <w:lang w:val="es-ES"/>
        </w:rPr>
        <w:t xml:space="preserve">     </w:t>
      </w:r>
      <w:r>
        <w:rPr>
          <w:rFonts w:ascii="Book Antiqua" w:hAnsi="Book Antiqua"/>
          <w:color w:val="000000"/>
          <w:sz w:val="24"/>
          <w:lang w:val="es-ES"/>
        </w:rPr>
        <w:t>3</w:t>
      </w:r>
      <w:r>
        <w:rPr>
          <w:rFonts w:ascii="Book Antiqua" w:hAnsi="Book Antiqua"/>
          <w:color w:val="000000"/>
          <w:position w:val="10"/>
          <w:sz w:val="24"/>
          <w:vertAlign w:val="superscript"/>
          <w:lang w:val="es-ES"/>
        </w:rPr>
        <w:t>er</w:t>
      </w:r>
      <w:r w:rsidRPr="00594D06">
        <w:rPr>
          <w:rFonts w:ascii="Book Antiqua" w:hAnsi="Book Antiqua"/>
          <w:color w:val="000000"/>
          <w:position w:val="10"/>
          <w:sz w:val="24"/>
          <w:vertAlign w:val="superscript"/>
          <w:lang w:val="es-ES"/>
        </w:rPr>
        <w:t>a</w:t>
      </w:r>
      <w:r>
        <w:rPr>
          <w:rFonts w:ascii="Book Antiqua" w:hAnsi="Book Antiqua"/>
          <w:color w:val="000000"/>
          <w:sz w:val="24"/>
          <w:lang w:val="es-ES"/>
        </w:rPr>
        <w:t xml:space="preserve"> </w:t>
      </w:r>
      <w:r w:rsidRPr="00CD11F7">
        <w:rPr>
          <w:rFonts w:ascii="Book Antiqua" w:hAnsi="Book Antiqua"/>
          <w:color w:val="000000"/>
          <w:sz w:val="24"/>
          <w:lang w:val="es-ES"/>
        </w:rPr>
        <w:t xml:space="preserve">Sesión </w:t>
      </w:r>
    </w:p>
    <w:p w14:paraId="2F5E4344" w14:textId="30A5A752" w:rsidR="00411D95" w:rsidRPr="00CD11F7" w:rsidRDefault="00411D95" w:rsidP="00411D95">
      <w:pPr>
        <w:pStyle w:val="Title2"/>
        <w:rPr>
          <w:rFonts w:ascii="Book Antiqua" w:hAnsi="Book Antiqua"/>
          <w:color w:val="000000"/>
          <w:sz w:val="24"/>
          <w:lang w:val="es-ES"/>
        </w:rPr>
      </w:pPr>
      <w:r w:rsidRPr="00CD11F7">
        <w:rPr>
          <w:rFonts w:ascii="Book Antiqua" w:hAnsi="Book Antiqua"/>
          <w:color w:val="000000"/>
          <w:sz w:val="24"/>
          <w:lang w:val="es-ES"/>
        </w:rPr>
        <w:t xml:space="preserve">        Legislativa</w:t>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007E22AC">
        <w:rPr>
          <w:rFonts w:ascii="Book Antiqua" w:hAnsi="Book Antiqua"/>
          <w:color w:val="000000"/>
          <w:sz w:val="24"/>
          <w:lang w:val="es-ES"/>
        </w:rPr>
        <w:t xml:space="preserve">                    </w:t>
      </w:r>
      <w:r w:rsidRPr="00CD11F7">
        <w:rPr>
          <w:rFonts w:ascii="Book Antiqua" w:hAnsi="Book Antiqua"/>
          <w:color w:val="000000"/>
          <w:sz w:val="24"/>
          <w:lang w:val="es-ES"/>
        </w:rPr>
        <w:t xml:space="preserve">Ordinaria </w:t>
      </w:r>
    </w:p>
    <w:p w14:paraId="4E474BBD" w14:textId="77777777" w:rsidR="00411D95" w:rsidRPr="00CD11F7" w:rsidRDefault="00411D95" w:rsidP="00411D95">
      <w:pPr>
        <w:jc w:val="center"/>
        <w:rPr>
          <w:rFonts w:ascii="Book Antiqua" w:hAnsi="Book Antiqua"/>
          <w:b/>
          <w:bCs/>
          <w:color w:val="000000"/>
          <w:sz w:val="28"/>
          <w:szCs w:val="28"/>
        </w:rPr>
      </w:pPr>
    </w:p>
    <w:p w14:paraId="203168CE" w14:textId="77777777" w:rsidR="00411D95" w:rsidRPr="00CD11F7" w:rsidRDefault="00411D95" w:rsidP="00411D95">
      <w:pPr>
        <w:jc w:val="center"/>
        <w:rPr>
          <w:rFonts w:ascii="Book Antiqua" w:hAnsi="Book Antiqua"/>
          <w:b/>
          <w:bCs/>
          <w:color w:val="000000"/>
          <w:sz w:val="36"/>
          <w:szCs w:val="36"/>
        </w:rPr>
      </w:pPr>
      <w:r w:rsidRPr="00CD11F7">
        <w:rPr>
          <w:rFonts w:ascii="Book Antiqua" w:hAnsi="Book Antiqua"/>
          <w:b/>
          <w:bCs/>
          <w:color w:val="000000"/>
          <w:sz w:val="36"/>
          <w:szCs w:val="36"/>
        </w:rPr>
        <w:t>CÁMARA DE REPRESENTANTES</w:t>
      </w:r>
    </w:p>
    <w:p w14:paraId="228E63D4" w14:textId="77777777" w:rsidR="00411D95" w:rsidRPr="00CD11F7" w:rsidRDefault="00411D95" w:rsidP="00411D95">
      <w:pPr>
        <w:jc w:val="center"/>
        <w:rPr>
          <w:rFonts w:ascii="Book Antiqua" w:hAnsi="Book Antiqua"/>
        </w:rPr>
      </w:pPr>
    </w:p>
    <w:p w14:paraId="4B98904F" w14:textId="580A6C1D" w:rsidR="00411D95" w:rsidRPr="00CD11F7" w:rsidRDefault="00411D95" w:rsidP="00411D95">
      <w:pPr>
        <w:jc w:val="center"/>
        <w:rPr>
          <w:rFonts w:ascii="Book Antiqua" w:hAnsi="Book Antiqua"/>
          <w:b/>
          <w:sz w:val="52"/>
          <w:szCs w:val="52"/>
        </w:rPr>
      </w:pPr>
      <w:r w:rsidRPr="00CD11F7">
        <w:rPr>
          <w:rFonts w:ascii="Book Antiqua" w:hAnsi="Book Antiqua"/>
          <w:b/>
          <w:sz w:val="52"/>
          <w:szCs w:val="52"/>
        </w:rPr>
        <w:t xml:space="preserve">P. de la C. </w:t>
      </w:r>
      <w:r>
        <w:rPr>
          <w:rFonts w:ascii="Book Antiqua" w:hAnsi="Book Antiqua"/>
          <w:b/>
          <w:sz w:val="52"/>
          <w:szCs w:val="52"/>
        </w:rPr>
        <w:t>74</w:t>
      </w:r>
      <w:r w:rsidRPr="00CD11F7">
        <w:rPr>
          <w:rFonts w:ascii="Book Antiqua" w:hAnsi="Book Antiqua"/>
          <w:b/>
          <w:sz w:val="52"/>
          <w:szCs w:val="52"/>
        </w:rPr>
        <w:t xml:space="preserve"> </w:t>
      </w:r>
    </w:p>
    <w:p w14:paraId="36E50DCD" w14:textId="4403F9A2" w:rsidR="00411D95" w:rsidRPr="007E22AC" w:rsidRDefault="00411D95" w:rsidP="00411D95">
      <w:pPr>
        <w:pStyle w:val="Heading1"/>
        <w:jc w:val="center"/>
        <w:rPr>
          <w:rFonts w:ascii="Book Antiqua" w:hAnsi="Book Antiqua"/>
          <w:b/>
          <w:bCs/>
          <w:color w:val="auto"/>
          <w:sz w:val="28"/>
          <w:szCs w:val="28"/>
        </w:rPr>
      </w:pPr>
      <w:r w:rsidRPr="007E22AC">
        <w:rPr>
          <w:rFonts w:ascii="Book Antiqua" w:hAnsi="Book Antiqua"/>
          <w:b/>
          <w:bCs/>
          <w:color w:val="auto"/>
          <w:sz w:val="28"/>
          <w:szCs w:val="28"/>
        </w:rPr>
        <w:t>INFORME</w:t>
      </w:r>
      <w:r w:rsidR="007E22AC" w:rsidRPr="007E22AC">
        <w:rPr>
          <w:rFonts w:ascii="Book Antiqua" w:hAnsi="Book Antiqua"/>
          <w:b/>
          <w:bCs/>
          <w:color w:val="auto"/>
          <w:sz w:val="28"/>
          <w:szCs w:val="28"/>
        </w:rPr>
        <w:t xml:space="preserve"> NEGATIVO</w:t>
      </w:r>
    </w:p>
    <w:p w14:paraId="0C4F48EB" w14:textId="77777777" w:rsidR="00411D95" w:rsidRPr="00CD11F7" w:rsidRDefault="00411D95" w:rsidP="00411D95">
      <w:pPr>
        <w:rPr>
          <w:rFonts w:ascii="Book Antiqua" w:hAnsi="Book Antiqua"/>
          <w:bCs/>
          <w:color w:val="000000"/>
        </w:rPr>
      </w:pPr>
    </w:p>
    <w:p w14:paraId="58AD11DF" w14:textId="650BB690" w:rsidR="00411D95" w:rsidRPr="00CD11F7" w:rsidRDefault="00A55B64" w:rsidP="00411D95">
      <w:pPr>
        <w:jc w:val="center"/>
        <w:rPr>
          <w:rFonts w:ascii="Book Antiqua" w:hAnsi="Book Antiqua"/>
          <w:color w:val="000000"/>
        </w:rPr>
      </w:pPr>
      <w:r>
        <w:rPr>
          <w:rFonts w:ascii="Book Antiqua" w:hAnsi="Book Antiqua"/>
          <w:bCs/>
          <w:color w:val="000000"/>
        </w:rPr>
        <w:t>26</w:t>
      </w:r>
      <w:r w:rsidR="00411D95" w:rsidRPr="00CD11F7">
        <w:rPr>
          <w:rFonts w:ascii="Book Antiqua" w:hAnsi="Book Antiqua"/>
          <w:bCs/>
          <w:color w:val="000000"/>
        </w:rPr>
        <w:t xml:space="preserve"> </w:t>
      </w:r>
      <w:r w:rsidR="00411D95">
        <w:rPr>
          <w:rFonts w:ascii="Book Antiqua" w:hAnsi="Book Antiqua"/>
          <w:bCs/>
          <w:color w:val="000000"/>
        </w:rPr>
        <w:t xml:space="preserve">de </w:t>
      </w:r>
      <w:r w:rsidR="00E43D46">
        <w:rPr>
          <w:rFonts w:ascii="Book Antiqua" w:hAnsi="Book Antiqua"/>
          <w:bCs/>
          <w:color w:val="000000"/>
        </w:rPr>
        <w:t>febrero</w:t>
      </w:r>
      <w:r w:rsidR="00411D95">
        <w:rPr>
          <w:rFonts w:ascii="Book Antiqua" w:hAnsi="Book Antiqua"/>
          <w:bCs/>
          <w:color w:val="000000"/>
        </w:rPr>
        <w:t xml:space="preserve"> de 2026</w:t>
      </w:r>
    </w:p>
    <w:p w14:paraId="02938230" w14:textId="77777777" w:rsidR="00411D95" w:rsidRDefault="00411D95" w:rsidP="00411D95">
      <w:pPr>
        <w:rPr>
          <w:rFonts w:ascii="Book Antiqua" w:hAnsi="Book Antiqua"/>
          <w:color w:val="000000"/>
        </w:rPr>
      </w:pPr>
    </w:p>
    <w:p w14:paraId="6FF62DAC" w14:textId="77777777" w:rsidR="00411D95" w:rsidRPr="00CD11F7" w:rsidRDefault="00411D95" w:rsidP="00411D95">
      <w:pPr>
        <w:rPr>
          <w:rFonts w:ascii="Book Antiqua" w:hAnsi="Book Antiqua"/>
          <w:color w:val="000000"/>
        </w:rPr>
      </w:pPr>
    </w:p>
    <w:p w14:paraId="52430F34" w14:textId="77777777" w:rsidR="00411D95" w:rsidRPr="00E43D46" w:rsidRDefault="00411D95" w:rsidP="00A5140E">
      <w:pPr>
        <w:contextualSpacing/>
        <w:rPr>
          <w:rFonts w:ascii="Book Antiqua" w:hAnsi="Book Antiqua"/>
          <w:b/>
          <w:bCs/>
        </w:rPr>
      </w:pPr>
      <w:r w:rsidRPr="00E43D46">
        <w:rPr>
          <w:rFonts w:ascii="Book Antiqua" w:hAnsi="Book Antiqua"/>
          <w:b/>
          <w:bCs/>
        </w:rPr>
        <w:t>A LA CÁMARA DE REPRESENTANTES DE PUERTO RICO:</w:t>
      </w:r>
    </w:p>
    <w:p w14:paraId="71AB2810" w14:textId="77777777" w:rsidR="00411D95" w:rsidRPr="00E43D46" w:rsidRDefault="00411D95" w:rsidP="00A5140E">
      <w:pPr>
        <w:contextualSpacing/>
        <w:rPr>
          <w:rFonts w:ascii="Book Antiqua" w:hAnsi="Book Antiqua"/>
          <w:b/>
          <w:bCs/>
        </w:rPr>
      </w:pPr>
    </w:p>
    <w:p w14:paraId="4E2CD669" w14:textId="509E91E7" w:rsidR="00411D95" w:rsidRPr="004F4D70" w:rsidRDefault="00411D95" w:rsidP="00A5140E">
      <w:pPr>
        <w:pStyle w:val="Heading2"/>
        <w:spacing w:before="0" w:after="0"/>
        <w:ind w:firstLine="708"/>
        <w:contextualSpacing/>
        <w:jc w:val="both"/>
        <w:rPr>
          <w:rFonts w:ascii="Book Antiqua" w:hAnsi="Book Antiqua"/>
          <w:color w:val="auto"/>
          <w:sz w:val="24"/>
          <w:szCs w:val="24"/>
        </w:rPr>
      </w:pPr>
      <w:r w:rsidRPr="00E43D46">
        <w:rPr>
          <w:rFonts w:ascii="Book Antiqua" w:hAnsi="Book Antiqua"/>
          <w:color w:val="auto"/>
          <w:sz w:val="24"/>
          <w:szCs w:val="24"/>
        </w:rPr>
        <w:t>La Comisión de Gobierno de la Cámara de Representantes, tras un estudio y análisis del P. de la C. 74,</w:t>
      </w:r>
      <w:r w:rsidR="00E43D46">
        <w:rPr>
          <w:rFonts w:ascii="Book Antiqua" w:hAnsi="Book Antiqua"/>
          <w:color w:val="auto"/>
          <w:sz w:val="24"/>
          <w:szCs w:val="24"/>
        </w:rPr>
        <w:t xml:space="preserve"> </w:t>
      </w:r>
      <w:r w:rsidR="00E43D46" w:rsidRPr="004F5C3D">
        <w:rPr>
          <w:rFonts w:ascii="Book Antiqua" w:hAnsi="Book Antiqua"/>
          <w:b/>
          <w:bCs/>
          <w:color w:val="auto"/>
          <w:sz w:val="24"/>
          <w:szCs w:val="24"/>
        </w:rPr>
        <w:t xml:space="preserve">no </w:t>
      </w:r>
      <w:r w:rsidRPr="004F5C3D">
        <w:rPr>
          <w:rFonts w:ascii="Book Antiqua" w:hAnsi="Book Antiqua"/>
          <w:b/>
          <w:bCs/>
          <w:color w:val="auto"/>
          <w:sz w:val="24"/>
          <w:szCs w:val="24"/>
        </w:rPr>
        <w:t>recomienda</w:t>
      </w:r>
      <w:r w:rsidRPr="00E43D46">
        <w:rPr>
          <w:rFonts w:ascii="Book Antiqua" w:hAnsi="Book Antiqua"/>
          <w:color w:val="auto"/>
          <w:sz w:val="24"/>
          <w:szCs w:val="24"/>
        </w:rPr>
        <w:t xml:space="preserve"> a este Honorable Cuerpo la aprobación de esta pieza legislativa.</w:t>
      </w:r>
    </w:p>
    <w:p w14:paraId="292A69DD" w14:textId="77777777" w:rsidR="00411D95" w:rsidRDefault="00411D95" w:rsidP="00A5140E">
      <w:pPr>
        <w:pStyle w:val="Heading2"/>
        <w:spacing w:before="0" w:after="0"/>
        <w:contextualSpacing/>
        <w:jc w:val="center"/>
        <w:rPr>
          <w:rFonts w:ascii="Book Antiqua" w:hAnsi="Book Antiqua"/>
          <w:b/>
          <w:bCs/>
          <w:color w:val="auto"/>
          <w:sz w:val="24"/>
          <w:szCs w:val="24"/>
        </w:rPr>
      </w:pPr>
    </w:p>
    <w:p w14:paraId="5B2C1674" w14:textId="77777777" w:rsidR="00411D95" w:rsidRDefault="00411D95" w:rsidP="00A5140E">
      <w:pPr>
        <w:pStyle w:val="Heading2"/>
        <w:spacing w:before="0" w:after="0"/>
        <w:contextualSpacing/>
        <w:jc w:val="center"/>
        <w:rPr>
          <w:rFonts w:ascii="Book Antiqua" w:hAnsi="Book Antiqua"/>
          <w:b/>
          <w:bCs/>
          <w:color w:val="auto"/>
          <w:sz w:val="24"/>
          <w:szCs w:val="24"/>
        </w:rPr>
      </w:pPr>
      <w:r w:rsidRPr="00FA737F">
        <w:rPr>
          <w:rFonts w:ascii="Book Antiqua" w:hAnsi="Book Antiqua"/>
          <w:b/>
          <w:bCs/>
          <w:color w:val="auto"/>
          <w:sz w:val="24"/>
          <w:szCs w:val="24"/>
        </w:rPr>
        <w:t>ALCANCE DE LA MEDIDA</w:t>
      </w:r>
    </w:p>
    <w:p w14:paraId="456651CF" w14:textId="77777777" w:rsidR="00411D95" w:rsidRPr="005A4616" w:rsidRDefault="00411D95" w:rsidP="00A5140E">
      <w:pPr>
        <w:contextualSpacing/>
      </w:pPr>
    </w:p>
    <w:p w14:paraId="352515FC" w14:textId="542C0CF7" w:rsidR="00411D95" w:rsidRPr="00C45CE3" w:rsidRDefault="00411D95" w:rsidP="00A5140E">
      <w:pPr>
        <w:contextualSpacing/>
        <w:jc w:val="both"/>
        <w:rPr>
          <w:rFonts w:ascii="Book Antiqua" w:hAnsi="Book Antiqua"/>
        </w:rPr>
      </w:pPr>
      <w:r>
        <w:rPr>
          <w:rFonts w:ascii="Book Antiqua" w:hAnsi="Book Antiqua"/>
        </w:rPr>
        <w:tab/>
      </w:r>
      <w:r w:rsidRPr="004F4D70">
        <w:rPr>
          <w:rFonts w:ascii="Book Antiqua" w:hAnsi="Book Antiqua"/>
        </w:rPr>
        <w:t>El P</w:t>
      </w:r>
      <w:r>
        <w:rPr>
          <w:rFonts w:ascii="Book Antiqua" w:hAnsi="Book Antiqua"/>
        </w:rPr>
        <w:t>.</w:t>
      </w:r>
      <w:r w:rsidRPr="004F4D70">
        <w:rPr>
          <w:rFonts w:ascii="Book Antiqua" w:hAnsi="Book Antiqua"/>
        </w:rPr>
        <w:t xml:space="preserve"> de la C</w:t>
      </w:r>
      <w:r>
        <w:rPr>
          <w:rFonts w:ascii="Book Antiqua" w:hAnsi="Book Antiqua"/>
        </w:rPr>
        <w:t>.</w:t>
      </w:r>
      <w:r w:rsidRPr="004F4D70">
        <w:rPr>
          <w:rFonts w:ascii="Book Antiqua" w:hAnsi="Book Antiqua"/>
        </w:rPr>
        <w:t xml:space="preserve"> </w:t>
      </w:r>
      <w:r w:rsidRPr="00A41D3F">
        <w:rPr>
          <w:rFonts w:ascii="Book Antiqua" w:hAnsi="Book Antiqua"/>
        </w:rPr>
        <w:t>7</w:t>
      </w:r>
      <w:r w:rsidR="004A5A22">
        <w:rPr>
          <w:rFonts w:ascii="Book Antiqua" w:hAnsi="Book Antiqua"/>
        </w:rPr>
        <w:t>4</w:t>
      </w:r>
      <w:r w:rsidRPr="00A41D3F">
        <w:rPr>
          <w:rFonts w:ascii="Book Antiqua" w:hAnsi="Book Antiqua"/>
        </w:rPr>
        <w:t xml:space="preserve"> propone</w:t>
      </w:r>
      <w:r w:rsidR="004A5A22">
        <w:rPr>
          <w:rFonts w:ascii="Book Antiqua" w:hAnsi="Book Antiqua"/>
        </w:rPr>
        <w:t xml:space="preserve"> </w:t>
      </w:r>
      <w:r w:rsidR="004A5A22" w:rsidRPr="004A5A22">
        <w:rPr>
          <w:rFonts w:ascii="Book Antiqua" w:hAnsi="Book Antiqua"/>
        </w:rPr>
        <w:t>enmendar los Artículos 1.001, </w:t>
      </w:r>
      <w:r w:rsidR="004A5A22" w:rsidRPr="004A5A22">
        <w:rPr>
          <w:rFonts w:ascii="Book Antiqua" w:hAnsi="Book Antiqua"/>
          <w:lang w:val="es-ES"/>
        </w:rPr>
        <w:t>2.004, 3.003A, 3.008, 3.009, 3.015, 3.016, </w:t>
      </w:r>
      <w:r w:rsidR="004A5A22" w:rsidRPr="004A5A22">
        <w:rPr>
          <w:rFonts w:ascii="Book Antiqua" w:hAnsi="Book Antiqua"/>
        </w:rPr>
        <w:t>3.017, 5.001, 5.003, 5.004, 5.005, 6.000, 6.008, 6.010, 6.011, 7.000, 7.001, 7.002, 7.003, 9.002, 10.000, 12.004, 13.000, 13.001, 13.002, 13.003, 13.004, 13.005, 13.006, añadir los nuevos Artículos 3.017, 13.005A, eliminar el Artículo 7.001 y renumerar los Artículos 7.002, 7.003, 7.004, 7.005, 7.006, 7.007, 7.008, 7.009, 7.010, 7.011 y 7.012 de la Ley 222-2011, según enmendada, conocida como “Ley para la Fiscalización del Financiamiento de Campañas Políticas en Puerto Rico”, a fin de dejar sin efecto las enmiendas introducidas por la Ley 58-2020 sobre coordinación de gastos; facultar a la Oficina del Contralor Electoral a emitir órdenes de embargo, retención y descuento para obtener el pago de multas; aclarar que la Oficina del Contralor Electoral está excluida de la Ley 73-2019, según enmendada; limitar la cantidad anual de donativos en efectivo, giro postal, cheque de viajero o de gerente que un comité podrá recibir de un donante en un año; equiparar la edad para realizar donativos a comités políticos a la edad permitida para ejercer el derecho al voto; regular los donativos de contratistas gubernamentales; requerir que las organizaciones políticas establecidas en los Estados Unidos de América, sus estados o territorios o registrados ante la Federal </w:t>
      </w:r>
      <w:proofErr w:type="spellStart"/>
      <w:r w:rsidR="004A5A22" w:rsidRPr="004A5A22">
        <w:rPr>
          <w:rFonts w:ascii="Book Antiqua" w:hAnsi="Book Antiqua"/>
        </w:rPr>
        <w:t>Election</w:t>
      </w:r>
      <w:proofErr w:type="spellEnd"/>
      <w:r w:rsidR="004A5A22" w:rsidRPr="004A5A22">
        <w:rPr>
          <w:rFonts w:ascii="Book Antiqua" w:hAnsi="Book Antiqua"/>
        </w:rPr>
        <w:t> </w:t>
      </w:r>
      <w:proofErr w:type="spellStart"/>
      <w:r w:rsidR="004A5A22" w:rsidRPr="004A5A22">
        <w:rPr>
          <w:rFonts w:ascii="Book Antiqua" w:hAnsi="Book Antiqua"/>
        </w:rPr>
        <w:t>Commission</w:t>
      </w:r>
      <w:proofErr w:type="spellEnd"/>
      <w:r w:rsidR="004A5A22" w:rsidRPr="004A5A22">
        <w:rPr>
          <w:rFonts w:ascii="Book Antiqua" w:hAnsi="Book Antiqua"/>
        </w:rPr>
        <w:t xml:space="preserve"> se registren como comité ante la Oficina del Contralor Electoral si los donativos que realizan o los gastos en que incurren exceden de </w:t>
      </w:r>
      <w:r w:rsidR="004A5A22" w:rsidRPr="004A5A22">
        <w:rPr>
          <w:rFonts w:ascii="Book Antiqua" w:hAnsi="Book Antiqua"/>
        </w:rPr>
        <w:lastRenderedPageBreak/>
        <w:t>$1,000; requerir que se mantengan récords con la identidad de los recaudadores y relacionando cada donativo a su recaudador y que, además, se incluya la información del recaudador en los informes de ingresos y gastos; requerir que los informes de ingresos y gastos se presenten cada dos meses y en el año que se celebren elecciones generales, mensualmente; </w:t>
      </w:r>
      <w:r w:rsidR="004A5A22" w:rsidRPr="004A5A22">
        <w:rPr>
          <w:rFonts w:ascii="Book Antiqua" w:hAnsi="Book Antiqua"/>
          <w:lang w:val="es-ES"/>
        </w:rPr>
        <w:t>sustituir el término “cuenta bancaria” por el término “cuentas de depósito”; proveer acceso directo a la Oficina del Contralor Electoral a los servicios de cuentas de los comités políticos, a fin de ver las transacciones en tiempo real; requerir el pago por adelantado de los servicios de agencias de publicidad; permitir que se hagan referidos a otras agencias sin necesidad de emitir una orden de mostrar causa; aumentar los términos prescriptivos de los delitos electorales de cinco a siete años;  tipificar como delito el brindar información falsa a la Oficina del Contralor Electoral y al comité de finanzas de los comités políticos, realizar enmiendas técnicas a fin de aclarar ciertos aspectos de la Ley y para otros fines relacionados</w:t>
      </w:r>
      <w:r w:rsidR="004A5A22" w:rsidRPr="004A5A22">
        <w:rPr>
          <w:rFonts w:ascii="Book Antiqua" w:hAnsi="Book Antiqua"/>
        </w:rPr>
        <w:t>.   </w:t>
      </w:r>
    </w:p>
    <w:p w14:paraId="6AC9347E" w14:textId="77777777" w:rsidR="00411D95" w:rsidRDefault="00411D95" w:rsidP="00A5140E">
      <w:pPr>
        <w:contextualSpacing/>
        <w:jc w:val="center"/>
        <w:rPr>
          <w:rFonts w:ascii="Book Antiqua" w:hAnsi="Book Antiqua"/>
          <w:b/>
          <w:bCs/>
        </w:rPr>
      </w:pPr>
    </w:p>
    <w:p w14:paraId="6CBF76FC" w14:textId="77777777" w:rsidR="004A5A22" w:rsidRDefault="004A5A22" w:rsidP="00A5140E">
      <w:pPr>
        <w:ind w:firstLine="708"/>
        <w:contextualSpacing/>
        <w:jc w:val="center"/>
        <w:rPr>
          <w:rFonts w:ascii="Book Antiqua" w:hAnsi="Book Antiqua"/>
          <w:b/>
        </w:rPr>
      </w:pPr>
      <w:r w:rsidRPr="00FA09DF">
        <w:rPr>
          <w:rFonts w:ascii="Book Antiqua" w:hAnsi="Book Antiqua"/>
          <w:b/>
        </w:rPr>
        <w:t>ANÁLISIS DE LA MEDIDA</w:t>
      </w:r>
    </w:p>
    <w:p w14:paraId="7C598557" w14:textId="77777777" w:rsidR="0055506B" w:rsidRDefault="0055506B" w:rsidP="00A5140E">
      <w:pPr>
        <w:ind w:firstLine="708"/>
        <w:contextualSpacing/>
        <w:jc w:val="center"/>
        <w:rPr>
          <w:rFonts w:ascii="Book Antiqua" w:hAnsi="Book Antiqua"/>
          <w:b/>
        </w:rPr>
      </w:pPr>
    </w:p>
    <w:p w14:paraId="6154FA8F" w14:textId="77777777" w:rsidR="007F410E" w:rsidRDefault="007F410E" w:rsidP="00A5140E">
      <w:pPr>
        <w:ind w:firstLine="708"/>
        <w:contextualSpacing/>
        <w:jc w:val="both"/>
        <w:rPr>
          <w:rFonts w:ascii="Book Antiqua" w:hAnsi="Book Antiqua"/>
          <w:bCs/>
        </w:rPr>
      </w:pPr>
      <w:r w:rsidRPr="007F410E">
        <w:rPr>
          <w:rFonts w:ascii="Book Antiqua" w:hAnsi="Book Antiqua"/>
          <w:bCs/>
        </w:rPr>
        <w:t>La Exposición de Motivos del Proyecto sostiene que la medida persigue fortalecer la transparencia y la fiscalización del financiamiento de campañas políticas, a partir de la experiencia acumulada por la Oficina del Contralor Electoral en la implantación de la Ley 222-2011, según enmendada.</w:t>
      </w:r>
    </w:p>
    <w:p w14:paraId="586E339B" w14:textId="77777777" w:rsidR="007F410E" w:rsidRPr="007F410E" w:rsidRDefault="007F410E" w:rsidP="00A5140E">
      <w:pPr>
        <w:ind w:firstLine="708"/>
        <w:contextualSpacing/>
        <w:jc w:val="both"/>
        <w:rPr>
          <w:rFonts w:ascii="Book Antiqua" w:hAnsi="Book Antiqua"/>
          <w:bCs/>
        </w:rPr>
      </w:pPr>
    </w:p>
    <w:p w14:paraId="141D1EF6" w14:textId="77777777" w:rsidR="007F410E" w:rsidRDefault="007F410E" w:rsidP="00A5140E">
      <w:pPr>
        <w:ind w:firstLine="708"/>
        <w:contextualSpacing/>
        <w:jc w:val="both"/>
        <w:rPr>
          <w:rFonts w:ascii="Book Antiqua" w:hAnsi="Book Antiqua"/>
          <w:bCs/>
        </w:rPr>
      </w:pPr>
      <w:r w:rsidRPr="007F410E">
        <w:rPr>
          <w:rFonts w:ascii="Book Antiqua" w:hAnsi="Book Antiqua"/>
          <w:bCs/>
        </w:rPr>
        <w:t>En términos generales, el proyecto propone revertir enmiendas previas relacionadas con la determinación de coordinación de gastos; imponer limitaciones adicionales a ciertos métodos de donación; aumentar requisitos de divulgación y conservación de récords; incrementar la frecuencia de informes de ingresos y gastos; y ampliar facultades administrativas de la OCE para ejecutar el cobro de multas y acceder a información financiera.</w:t>
      </w:r>
    </w:p>
    <w:p w14:paraId="28757C70" w14:textId="77777777" w:rsidR="007F410E" w:rsidRPr="007F410E" w:rsidRDefault="007F410E" w:rsidP="00A5140E">
      <w:pPr>
        <w:ind w:firstLine="708"/>
        <w:contextualSpacing/>
        <w:jc w:val="both"/>
        <w:rPr>
          <w:rFonts w:ascii="Book Antiqua" w:hAnsi="Book Antiqua"/>
          <w:bCs/>
        </w:rPr>
      </w:pPr>
    </w:p>
    <w:p w14:paraId="3C398322" w14:textId="77777777" w:rsidR="007F410E" w:rsidRDefault="007F410E" w:rsidP="00A5140E">
      <w:pPr>
        <w:ind w:firstLine="708"/>
        <w:contextualSpacing/>
        <w:jc w:val="both"/>
        <w:rPr>
          <w:rFonts w:ascii="Book Antiqua" w:hAnsi="Book Antiqua"/>
          <w:bCs/>
        </w:rPr>
      </w:pPr>
      <w:r w:rsidRPr="007F410E">
        <w:rPr>
          <w:rFonts w:ascii="Book Antiqua" w:hAnsi="Book Antiqua"/>
          <w:bCs/>
        </w:rPr>
        <w:t>No obstante, esta Comisión observa que la medida constituye una revisión amplia del esquema regulatorio vigente, incluyendo cambios sustantivos, administrativos y penales, con impacto directo sobre comités políticos, instituciones financieras y terceros vinculados al proceso electoral.</w:t>
      </w:r>
    </w:p>
    <w:p w14:paraId="5B79D3BA" w14:textId="77777777" w:rsidR="007F410E" w:rsidRPr="007F410E" w:rsidRDefault="007F410E" w:rsidP="00A5140E">
      <w:pPr>
        <w:ind w:firstLine="708"/>
        <w:contextualSpacing/>
        <w:jc w:val="both"/>
        <w:rPr>
          <w:rFonts w:ascii="Book Antiqua" w:hAnsi="Book Antiqua"/>
          <w:bCs/>
        </w:rPr>
      </w:pPr>
    </w:p>
    <w:p w14:paraId="056878EF" w14:textId="77777777" w:rsidR="007F410E" w:rsidRDefault="007F410E" w:rsidP="00A5140E">
      <w:pPr>
        <w:ind w:firstLine="708"/>
        <w:contextualSpacing/>
        <w:jc w:val="both"/>
        <w:rPr>
          <w:rFonts w:ascii="Book Antiqua" w:hAnsi="Book Antiqua"/>
          <w:bCs/>
        </w:rPr>
      </w:pPr>
      <w:r w:rsidRPr="007F410E">
        <w:rPr>
          <w:rFonts w:ascii="Book Antiqua" w:hAnsi="Book Antiqua"/>
          <w:bCs/>
        </w:rPr>
        <w:t>Una reforma de tal magnitud requiere un balance particularmente cuidadoso entre el interés apremiante del Estado en la fiscalización electoral y las garantías constitucionales asociadas a la participación política. Este balance no surge suficientemente desarrollado en la medida según presentada.</w:t>
      </w:r>
    </w:p>
    <w:p w14:paraId="38D35F64" w14:textId="77777777" w:rsidR="007F410E" w:rsidRPr="007F410E" w:rsidRDefault="007F410E" w:rsidP="00A5140E">
      <w:pPr>
        <w:ind w:firstLine="708"/>
        <w:contextualSpacing/>
        <w:jc w:val="both"/>
        <w:rPr>
          <w:rFonts w:ascii="Book Antiqua" w:hAnsi="Book Antiqua"/>
          <w:bCs/>
        </w:rPr>
      </w:pPr>
    </w:p>
    <w:p w14:paraId="13F42A8A" w14:textId="77777777" w:rsidR="007F410E" w:rsidRDefault="007F410E" w:rsidP="00A5140E">
      <w:pPr>
        <w:ind w:firstLine="708"/>
        <w:contextualSpacing/>
        <w:jc w:val="both"/>
        <w:rPr>
          <w:rFonts w:ascii="Book Antiqua" w:hAnsi="Book Antiqua"/>
          <w:bCs/>
        </w:rPr>
      </w:pPr>
      <w:r w:rsidRPr="007F410E">
        <w:rPr>
          <w:rFonts w:ascii="Book Antiqua" w:hAnsi="Book Antiqua"/>
          <w:bCs/>
        </w:rPr>
        <w:t xml:space="preserve">Asimismo, disposiciones como la ampliación de mecanismos administrativos de embargo y el acceso visual electrónico a transacciones financieras ameritan mayor delimitación respecto a salvaguardas procesales, confidencialidad, alcance y viabilidad </w:t>
      </w:r>
      <w:r w:rsidRPr="007F410E">
        <w:rPr>
          <w:rFonts w:ascii="Book Antiqua" w:hAnsi="Book Antiqua"/>
          <w:bCs/>
        </w:rPr>
        <w:lastRenderedPageBreak/>
        <w:t>operacional, a fin de evitar controversias constitucionales o dificultades en su implantación.</w:t>
      </w:r>
    </w:p>
    <w:p w14:paraId="1EBF7E51" w14:textId="77777777" w:rsidR="007F410E" w:rsidRPr="007F410E" w:rsidRDefault="007F410E" w:rsidP="00A5140E">
      <w:pPr>
        <w:ind w:firstLine="708"/>
        <w:contextualSpacing/>
        <w:jc w:val="both"/>
        <w:rPr>
          <w:rFonts w:ascii="Book Antiqua" w:hAnsi="Book Antiqua"/>
          <w:bCs/>
        </w:rPr>
      </w:pPr>
    </w:p>
    <w:p w14:paraId="1910AF13" w14:textId="77777777" w:rsidR="007F410E" w:rsidRPr="007F410E" w:rsidRDefault="007F410E" w:rsidP="00A5140E">
      <w:pPr>
        <w:ind w:firstLine="708"/>
        <w:contextualSpacing/>
        <w:jc w:val="both"/>
        <w:rPr>
          <w:rFonts w:ascii="Book Antiqua" w:hAnsi="Book Antiqua"/>
          <w:bCs/>
        </w:rPr>
      </w:pPr>
      <w:r w:rsidRPr="007F410E">
        <w:rPr>
          <w:rFonts w:ascii="Book Antiqua" w:hAnsi="Book Antiqua"/>
          <w:bCs/>
        </w:rPr>
        <w:t>En ese contexto, esta Comisión entiende que el Proyecto, en su redacción actual, no armoniza con la política pública vigente dirigida a promover estabilidad normativa, certeza jurídica y balance regulatorio en materia electoral.</w:t>
      </w:r>
    </w:p>
    <w:p w14:paraId="6A3A6D58" w14:textId="77777777" w:rsidR="009F6038" w:rsidRDefault="009F6038" w:rsidP="00A5140E">
      <w:pPr>
        <w:ind w:firstLine="708"/>
        <w:contextualSpacing/>
        <w:jc w:val="both"/>
        <w:rPr>
          <w:rFonts w:ascii="Book Antiqua" w:hAnsi="Book Antiqua"/>
          <w:b/>
        </w:rPr>
      </w:pPr>
    </w:p>
    <w:p w14:paraId="31468EBB" w14:textId="17BFCA32" w:rsidR="009F6038" w:rsidRDefault="009F6038" w:rsidP="00A5140E">
      <w:pPr>
        <w:ind w:firstLine="708"/>
        <w:contextualSpacing/>
        <w:jc w:val="center"/>
        <w:rPr>
          <w:rFonts w:ascii="Book Antiqua" w:hAnsi="Book Antiqua"/>
          <w:b/>
        </w:rPr>
      </w:pPr>
      <w:r>
        <w:rPr>
          <w:rFonts w:ascii="Book Antiqua" w:hAnsi="Book Antiqua"/>
          <w:b/>
        </w:rPr>
        <w:t>ALCANCE DEL INFORME</w:t>
      </w:r>
    </w:p>
    <w:p w14:paraId="68F0D8C7" w14:textId="77777777" w:rsidR="009F6038" w:rsidRDefault="009F6038" w:rsidP="00A5140E">
      <w:pPr>
        <w:ind w:firstLine="708"/>
        <w:contextualSpacing/>
        <w:jc w:val="center"/>
        <w:rPr>
          <w:rFonts w:ascii="Book Antiqua" w:hAnsi="Book Antiqua"/>
          <w:b/>
        </w:rPr>
      </w:pPr>
    </w:p>
    <w:p w14:paraId="313EA89A" w14:textId="63447F21" w:rsidR="009F6038" w:rsidRDefault="009F6038" w:rsidP="00A5140E">
      <w:pPr>
        <w:ind w:firstLine="708"/>
        <w:contextualSpacing/>
        <w:jc w:val="both"/>
        <w:rPr>
          <w:rFonts w:ascii="Book Antiqua" w:hAnsi="Book Antiqua"/>
          <w:lang w:val="es-ES"/>
        </w:rPr>
      </w:pPr>
      <w:r w:rsidRPr="00397DA9">
        <w:rPr>
          <w:rFonts w:ascii="Book Antiqua" w:hAnsi="Book Antiqua"/>
          <w:lang w:val="es-ES"/>
        </w:rPr>
        <w:t xml:space="preserve">Para el estudio y evaluación del P. de la C. </w:t>
      </w:r>
      <w:r>
        <w:rPr>
          <w:rFonts w:ascii="Book Antiqua" w:hAnsi="Book Antiqua"/>
          <w:lang w:val="es-ES"/>
        </w:rPr>
        <w:t>74</w:t>
      </w:r>
      <w:r w:rsidRPr="00397DA9">
        <w:rPr>
          <w:rFonts w:ascii="Book Antiqua" w:hAnsi="Book Antiqua"/>
          <w:lang w:val="es-ES"/>
        </w:rPr>
        <w:t xml:space="preserve">, la Comisión de Gobierno de la Cámara de Representantes solicitó comentarios y ponencias a </w:t>
      </w:r>
      <w:r>
        <w:rPr>
          <w:rFonts w:ascii="Book Antiqua" w:hAnsi="Book Antiqua"/>
          <w:lang w:val="es-ES"/>
        </w:rPr>
        <w:t>los siguientes:</w:t>
      </w:r>
    </w:p>
    <w:p w14:paraId="4BD6D856" w14:textId="77777777" w:rsidR="009F6038" w:rsidRPr="00E7200A" w:rsidRDefault="009F6038" w:rsidP="00A5140E">
      <w:pPr>
        <w:ind w:firstLine="708"/>
        <w:contextualSpacing/>
        <w:rPr>
          <w:rFonts w:ascii="Book Antiqua" w:hAnsi="Book Antiqua"/>
          <w:lang w:val="es-ES"/>
        </w:rPr>
      </w:pPr>
    </w:p>
    <w:p w14:paraId="0C364485" w14:textId="5888249A" w:rsidR="009F6038" w:rsidRPr="007D48FB" w:rsidRDefault="009F6038" w:rsidP="00A5140E">
      <w:pPr>
        <w:pStyle w:val="ListParagraph"/>
        <w:numPr>
          <w:ilvl w:val="0"/>
          <w:numId w:val="1"/>
        </w:numPr>
        <w:rPr>
          <w:rFonts w:ascii="Book Antiqua" w:hAnsi="Book Antiqua"/>
        </w:rPr>
      </w:pPr>
      <w:r w:rsidRPr="007D48FB">
        <w:rPr>
          <w:rFonts w:ascii="Book Antiqua" w:hAnsi="Book Antiqua"/>
        </w:rPr>
        <w:t>A</w:t>
      </w:r>
      <w:r w:rsidR="00607358" w:rsidRPr="007D48FB">
        <w:rPr>
          <w:rFonts w:ascii="Book Antiqua" w:hAnsi="Book Antiqua"/>
        </w:rPr>
        <w:t>sociación de Alcaldes</w:t>
      </w:r>
    </w:p>
    <w:p w14:paraId="2E9BC2C2" w14:textId="501E9F52" w:rsidR="00C94956" w:rsidRPr="007D48FB" w:rsidRDefault="00C94956" w:rsidP="00A5140E">
      <w:pPr>
        <w:pStyle w:val="ListParagraph"/>
        <w:numPr>
          <w:ilvl w:val="0"/>
          <w:numId w:val="1"/>
        </w:numPr>
        <w:rPr>
          <w:rFonts w:ascii="Book Antiqua" w:hAnsi="Book Antiqua"/>
        </w:rPr>
      </w:pPr>
      <w:r w:rsidRPr="007D48FB">
        <w:rPr>
          <w:rFonts w:ascii="Book Antiqua" w:hAnsi="Book Antiqua"/>
        </w:rPr>
        <w:t>Comisión Estatal de Elecciones (CEE)</w:t>
      </w:r>
    </w:p>
    <w:p w14:paraId="31E8F0D7" w14:textId="2E1B4D71" w:rsidR="009F6038" w:rsidRPr="007D48FB" w:rsidRDefault="009F6038" w:rsidP="00A5140E">
      <w:pPr>
        <w:pStyle w:val="ListParagraph"/>
        <w:numPr>
          <w:ilvl w:val="0"/>
          <w:numId w:val="1"/>
        </w:numPr>
        <w:rPr>
          <w:rFonts w:ascii="Book Antiqua" w:hAnsi="Book Antiqua"/>
        </w:rPr>
      </w:pPr>
      <w:r w:rsidRPr="007D48FB">
        <w:rPr>
          <w:rFonts w:ascii="Book Antiqua" w:hAnsi="Book Antiqua"/>
        </w:rPr>
        <w:t xml:space="preserve">Departamento de </w:t>
      </w:r>
      <w:r w:rsidR="00C94956" w:rsidRPr="007D48FB">
        <w:rPr>
          <w:rFonts w:ascii="Book Antiqua" w:hAnsi="Book Antiqua"/>
        </w:rPr>
        <w:t xml:space="preserve">Estado </w:t>
      </w:r>
    </w:p>
    <w:p w14:paraId="26165C2D" w14:textId="77777777" w:rsidR="009F6038" w:rsidRPr="007D48FB" w:rsidRDefault="009F6038" w:rsidP="00A5140E">
      <w:pPr>
        <w:pStyle w:val="ListParagraph"/>
        <w:numPr>
          <w:ilvl w:val="0"/>
          <w:numId w:val="1"/>
        </w:numPr>
        <w:rPr>
          <w:rFonts w:ascii="Book Antiqua" w:hAnsi="Book Antiqua"/>
        </w:rPr>
      </w:pPr>
      <w:r w:rsidRPr="007D48FB">
        <w:rPr>
          <w:rFonts w:ascii="Book Antiqua" w:hAnsi="Book Antiqua"/>
        </w:rPr>
        <w:t>Departamento de Justicia (DJ)</w:t>
      </w:r>
    </w:p>
    <w:p w14:paraId="5755044A" w14:textId="0FE2353F" w:rsidR="00AA4116" w:rsidRPr="007D48FB" w:rsidRDefault="00AA4116" w:rsidP="00A5140E">
      <w:pPr>
        <w:pStyle w:val="ListParagraph"/>
        <w:numPr>
          <w:ilvl w:val="0"/>
          <w:numId w:val="1"/>
        </w:numPr>
        <w:rPr>
          <w:rFonts w:ascii="Book Antiqua" w:hAnsi="Book Antiqua"/>
        </w:rPr>
      </w:pPr>
      <w:r w:rsidRPr="007D48FB">
        <w:rPr>
          <w:rFonts w:ascii="Book Antiqua" w:hAnsi="Book Antiqua"/>
        </w:rPr>
        <w:t>Departamento de Hacienda</w:t>
      </w:r>
    </w:p>
    <w:p w14:paraId="1A1C14A2" w14:textId="7628361F" w:rsidR="00AA4116" w:rsidRPr="007D48FB" w:rsidRDefault="00AA4116" w:rsidP="00A5140E">
      <w:pPr>
        <w:pStyle w:val="ListParagraph"/>
        <w:numPr>
          <w:ilvl w:val="0"/>
          <w:numId w:val="1"/>
        </w:numPr>
        <w:rPr>
          <w:rFonts w:ascii="Book Antiqua" w:hAnsi="Book Antiqua"/>
        </w:rPr>
      </w:pPr>
      <w:r w:rsidRPr="007D48FB">
        <w:rPr>
          <w:rFonts w:ascii="Book Antiqua" w:hAnsi="Book Antiqua"/>
        </w:rPr>
        <w:t>Federación de Alcaldes</w:t>
      </w:r>
    </w:p>
    <w:p w14:paraId="42DAE71D" w14:textId="09F793E6" w:rsidR="009F6038" w:rsidRPr="007D48FB" w:rsidRDefault="00D64BA6" w:rsidP="00A5140E">
      <w:pPr>
        <w:pStyle w:val="ListParagraph"/>
        <w:numPr>
          <w:ilvl w:val="0"/>
          <w:numId w:val="1"/>
        </w:numPr>
        <w:rPr>
          <w:rFonts w:ascii="Book Antiqua" w:hAnsi="Book Antiqua"/>
        </w:rPr>
      </w:pPr>
      <w:r w:rsidRPr="007D48FB">
        <w:rPr>
          <w:rFonts w:ascii="Book Antiqua" w:hAnsi="Book Antiqua"/>
        </w:rPr>
        <w:t>Oficina de Administración de los Tribunales</w:t>
      </w:r>
    </w:p>
    <w:p w14:paraId="62E12949" w14:textId="08101E65" w:rsidR="009F6038" w:rsidRPr="00842D15" w:rsidRDefault="00D64BA6" w:rsidP="00A5140E">
      <w:pPr>
        <w:pStyle w:val="ListParagraph"/>
        <w:numPr>
          <w:ilvl w:val="0"/>
          <w:numId w:val="1"/>
        </w:numPr>
        <w:rPr>
          <w:rFonts w:ascii="Book Antiqua" w:hAnsi="Book Antiqua"/>
        </w:rPr>
      </w:pPr>
      <w:r w:rsidRPr="00842D15">
        <w:rPr>
          <w:rFonts w:ascii="Book Antiqua" w:hAnsi="Book Antiqua"/>
        </w:rPr>
        <w:t>Oficina del Contralor Electoral</w:t>
      </w:r>
      <w:r w:rsidR="00842D15" w:rsidRPr="00842D15">
        <w:rPr>
          <w:rFonts w:ascii="Book Antiqua" w:hAnsi="Book Antiqua"/>
        </w:rPr>
        <w:t xml:space="preserve"> (O</w:t>
      </w:r>
      <w:r w:rsidR="00842D15">
        <w:rPr>
          <w:rFonts w:ascii="Book Antiqua" w:hAnsi="Book Antiqua"/>
        </w:rPr>
        <w:t>CE)</w:t>
      </w:r>
    </w:p>
    <w:p w14:paraId="72F9C8FB" w14:textId="5BEEBA0B" w:rsidR="009F6038" w:rsidRPr="007D48FB" w:rsidRDefault="009F6038" w:rsidP="00A5140E">
      <w:pPr>
        <w:pStyle w:val="ListParagraph"/>
        <w:numPr>
          <w:ilvl w:val="0"/>
          <w:numId w:val="1"/>
        </w:numPr>
        <w:rPr>
          <w:rFonts w:ascii="Book Antiqua" w:hAnsi="Book Antiqua"/>
        </w:rPr>
      </w:pPr>
      <w:r w:rsidRPr="007D48FB">
        <w:rPr>
          <w:rFonts w:ascii="Book Antiqua" w:hAnsi="Book Antiqua"/>
        </w:rPr>
        <w:t xml:space="preserve">Oficina </w:t>
      </w:r>
      <w:r w:rsidR="00D64BA6" w:rsidRPr="007D48FB">
        <w:rPr>
          <w:rFonts w:ascii="Book Antiqua" w:hAnsi="Book Antiqua"/>
        </w:rPr>
        <w:t>de Ética Gubernamental</w:t>
      </w:r>
      <w:r w:rsidR="0090239C">
        <w:rPr>
          <w:rFonts w:ascii="Book Antiqua" w:hAnsi="Book Antiqua"/>
        </w:rPr>
        <w:t xml:space="preserve"> (OEG)</w:t>
      </w:r>
    </w:p>
    <w:p w14:paraId="73A041DD" w14:textId="233201CA" w:rsidR="009F6038" w:rsidRPr="007D48FB" w:rsidRDefault="007D48FB" w:rsidP="00A5140E">
      <w:pPr>
        <w:pStyle w:val="ListParagraph"/>
        <w:numPr>
          <w:ilvl w:val="0"/>
          <w:numId w:val="1"/>
        </w:numPr>
        <w:rPr>
          <w:rFonts w:ascii="Book Antiqua" w:hAnsi="Book Antiqua"/>
        </w:rPr>
      </w:pPr>
      <w:r w:rsidRPr="007D48FB">
        <w:rPr>
          <w:rFonts w:ascii="Book Antiqua" w:hAnsi="Book Antiqua"/>
        </w:rPr>
        <w:t>Oficina de la Inspectora General</w:t>
      </w:r>
    </w:p>
    <w:p w14:paraId="660B9EB7" w14:textId="13D8A6A2" w:rsidR="009F6038" w:rsidRPr="007D48FB" w:rsidRDefault="009F6038" w:rsidP="00A5140E">
      <w:pPr>
        <w:pStyle w:val="ListParagraph"/>
        <w:numPr>
          <w:ilvl w:val="0"/>
          <w:numId w:val="1"/>
        </w:numPr>
        <w:rPr>
          <w:rFonts w:ascii="Book Antiqua" w:hAnsi="Book Antiqua"/>
        </w:rPr>
      </w:pPr>
      <w:r w:rsidRPr="007D48FB">
        <w:rPr>
          <w:rFonts w:ascii="Book Antiqua" w:hAnsi="Book Antiqua"/>
        </w:rPr>
        <w:t>Oficina de Gerencia y Presupuesto</w:t>
      </w:r>
      <w:r w:rsidR="00AA4116" w:rsidRPr="007D48FB">
        <w:rPr>
          <w:rFonts w:ascii="Book Antiqua" w:hAnsi="Book Antiqua"/>
        </w:rPr>
        <w:t xml:space="preserve"> (OGP)</w:t>
      </w:r>
    </w:p>
    <w:p w14:paraId="66D4ADD1" w14:textId="77777777" w:rsidR="009F6038" w:rsidRPr="007D48FB" w:rsidRDefault="009F6038" w:rsidP="00A5140E">
      <w:pPr>
        <w:pStyle w:val="ListParagraph"/>
        <w:numPr>
          <w:ilvl w:val="0"/>
          <w:numId w:val="1"/>
        </w:numPr>
        <w:rPr>
          <w:rFonts w:ascii="Book Antiqua" w:hAnsi="Book Antiqua"/>
        </w:rPr>
      </w:pPr>
      <w:r w:rsidRPr="007D48FB">
        <w:rPr>
          <w:rFonts w:ascii="Book Antiqua" w:hAnsi="Book Antiqua"/>
        </w:rPr>
        <w:t>Oficina de Presupuesto de la Asamblea Legislativa de Puerto Rico (OPAL)</w:t>
      </w:r>
    </w:p>
    <w:p w14:paraId="22F23988" w14:textId="77777777" w:rsidR="00A5140E" w:rsidRDefault="00A5140E" w:rsidP="00A5140E">
      <w:pPr>
        <w:ind w:firstLine="708"/>
        <w:contextualSpacing/>
        <w:rPr>
          <w:rFonts w:ascii="Book Antiqua" w:hAnsi="Book Antiqua"/>
          <w:lang w:val="es-ES"/>
        </w:rPr>
      </w:pPr>
    </w:p>
    <w:p w14:paraId="081D14E1" w14:textId="578EF8F8" w:rsidR="009F6038" w:rsidRDefault="009F6038" w:rsidP="00A5140E">
      <w:pPr>
        <w:ind w:firstLine="708"/>
        <w:contextualSpacing/>
        <w:rPr>
          <w:rFonts w:ascii="Book Antiqua" w:hAnsi="Book Antiqua"/>
          <w:lang w:val="es-ES"/>
        </w:rPr>
      </w:pPr>
      <w:r w:rsidRPr="00397DA9">
        <w:rPr>
          <w:rFonts w:ascii="Book Antiqua" w:hAnsi="Book Antiqua"/>
          <w:lang w:val="es-ES"/>
        </w:rPr>
        <w:t xml:space="preserve">Se recibieron y consideraron los </w:t>
      </w:r>
      <w:r>
        <w:rPr>
          <w:rFonts w:ascii="Book Antiqua" w:hAnsi="Book Antiqua"/>
          <w:lang w:val="es-ES"/>
        </w:rPr>
        <w:t>siguientes:</w:t>
      </w:r>
    </w:p>
    <w:p w14:paraId="15074507" w14:textId="77777777" w:rsidR="007D48FB" w:rsidRDefault="007D48FB" w:rsidP="00A5140E">
      <w:pPr>
        <w:ind w:firstLine="708"/>
        <w:contextualSpacing/>
        <w:rPr>
          <w:rFonts w:ascii="Book Antiqua" w:hAnsi="Book Antiqua"/>
          <w:lang w:val="es-ES"/>
        </w:rPr>
      </w:pPr>
    </w:p>
    <w:p w14:paraId="58DE7433" w14:textId="34D9D050" w:rsidR="007D48FB" w:rsidRPr="00B12465" w:rsidRDefault="007E0DD8" w:rsidP="00A5140E">
      <w:pPr>
        <w:contextualSpacing/>
        <w:jc w:val="center"/>
        <w:rPr>
          <w:rFonts w:ascii="Book Antiqua" w:hAnsi="Book Antiqua"/>
          <w:b/>
          <w:bCs/>
          <w:lang w:val="es-ES"/>
        </w:rPr>
      </w:pPr>
      <w:r w:rsidRPr="00B12465">
        <w:rPr>
          <w:rFonts w:ascii="Book Antiqua" w:hAnsi="Book Antiqua"/>
          <w:b/>
          <w:bCs/>
          <w:lang w:val="es-ES"/>
        </w:rPr>
        <w:t>Asociación de Alcaldes</w:t>
      </w:r>
    </w:p>
    <w:p w14:paraId="7408B33E" w14:textId="77777777" w:rsidR="00B12465" w:rsidRDefault="00B12465" w:rsidP="00A5140E">
      <w:pPr>
        <w:ind w:firstLine="708"/>
        <w:contextualSpacing/>
        <w:jc w:val="center"/>
        <w:rPr>
          <w:rFonts w:ascii="Book Antiqua" w:hAnsi="Book Antiqua"/>
          <w:lang w:val="es-ES"/>
        </w:rPr>
      </w:pPr>
    </w:p>
    <w:p w14:paraId="3B24C9D9" w14:textId="4964C030" w:rsidR="00EA25B7" w:rsidRPr="00B12465" w:rsidRDefault="00B12465" w:rsidP="00A5140E">
      <w:pPr>
        <w:ind w:firstLine="708"/>
        <w:contextualSpacing/>
        <w:jc w:val="both"/>
        <w:rPr>
          <w:rFonts w:ascii="Book Antiqua" w:hAnsi="Book Antiqua"/>
        </w:rPr>
      </w:pPr>
      <w:r>
        <w:rPr>
          <w:rFonts w:ascii="Book Antiqua" w:hAnsi="Book Antiqua"/>
        </w:rPr>
        <w:t xml:space="preserve">La Asociación de Alcaldes estimó que </w:t>
      </w:r>
      <w:r w:rsidR="00842D15">
        <w:rPr>
          <w:rFonts w:ascii="Book Antiqua" w:hAnsi="Book Antiqua"/>
        </w:rPr>
        <w:t>el proyecto plasma que la OCE debe contar con plena autonomía presupuestaria, por lo cual, se dispone que el presupuesto de la OCE sea uno consolidado y desligado de la jurisdicción de la OGP.</w:t>
      </w:r>
      <w:r w:rsidR="00ED2A0E">
        <w:rPr>
          <w:rFonts w:ascii="Book Antiqua" w:hAnsi="Book Antiqua"/>
        </w:rPr>
        <w:t xml:space="preserve"> Entienden, además, que </w:t>
      </w:r>
      <w:r w:rsidR="005A7F6B">
        <w:rPr>
          <w:rFonts w:ascii="Book Antiqua" w:hAnsi="Book Antiqua"/>
        </w:rPr>
        <w:t>las enmiendas propuestas</w:t>
      </w:r>
      <w:r w:rsidR="00ED2A0E">
        <w:rPr>
          <w:rFonts w:ascii="Book Antiqua" w:hAnsi="Book Antiqua"/>
        </w:rPr>
        <w:t xml:space="preserve"> </w:t>
      </w:r>
      <w:r w:rsidR="00621302">
        <w:rPr>
          <w:rFonts w:ascii="Book Antiqua" w:hAnsi="Book Antiqua"/>
        </w:rPr>
        <w:t>en la medida son de carácter técnico de la ley orgánica de OCE</w:t>
      </w:r>
      <w:r w:rsidR="00041BD2">
        <w:rPr>
          <w:rFonts w:ascii="Book Antiqua" w:hAnsi="Book Antiqua"/>
        </w:rPr>
        <w:t xml:space="preserve">, por lo que no tienen comentarios adicionales. Recomiendan que se obtenga la posición de OCE, OGP, el Departamento de Hacienda y la CEE. </w:t>
      </w:r>
    </w:p>
    <w:p w14:paraId="10940715" w14:textId="77777777" w:rsidR="008A037D" w:rsidRDefault="008A037D" w:rsidP="00A5140E">
      <w:pPr>
        <w:pStyle w:val="ListParagraph"/>
        <w:ind w:left="1428"/>
        <w:jc w:val="center"/>
        <w:rPr>
          <w:rFonts w:ascii="Book Antiqua" w:hAnsi="Book Antiqua"/>
          <w:b/>
          <w:bCs/>
        </w:rPr>
      </w:pPr>
    </w:p>
    <w:p w14:paraId="54E00240" w14:textId="23E0DEE7" w:rsidR="00B12465" w:rsidRPr="00A5140E" w:rsidRDefault="007E0DD8" w:rsidP="00A5140E">
      <w:pPr>
        <w:jc w:val="center"/>
        <w:rPr>
          <w:rFonts w:ascii="Book Antiqua" w:hAnsi="Book Antiqua"/>
          <w:b/>
          <w:bCs/>
        </w:rPr>
      </w:pPr>
      <w:r w:rsidRPr="00A5140E">
        <w:rPr>
          <w:rFonts w:ascii="Book Antiqua" w:hAnsi="Book Antiqua"/>
          <w:b/>
          <w:bCs/>
        </w:rPr>
        <w:t>Comisión Estatal de Elecciones (CEE)</w:t>
      </w:r>
    </w:p>
    <w:p w14:paraId="74E63047" w14:textId="77777777" w:rsidR="00A5140E" w:rsidRDefault="00A5140E" w:rsidP="00A5140E">
      <w:pPr>
        <w:ind w:firstLine="708"/>
        <w:contextualSpacing/>
        <w:jc w:val="both"/>
        <w:rPr>
          <w:rFonts w:ascii="Book Antiqua" w:hAnsi="Book Antiqua"/>
        </w:rPr>
      </w:pPr>
    </w:p>
    <w:p w14:paraId="4C2D6DF2" w14:textId="5AA7DD6B" w:rsidR="00B12465" w:rsidRDefault="00D80E8F" w:rsidP="00A5140E">
      <w:pPr>
        <w:ind w:firstLine="708"/>
        <w:contextualSpacing/>
        <w:jc w:val="both"/>
        <w:rPr>
          <w:rFonts w:ascii="Book Antiqua" w:hAnsi="Book Antiqua"/>
        </w:rPr>
      </w:pPr>
      <w:r>
        <w:rPr>
          <w:rFonts w:ascii="Book Antiqua" w:hAnsi="Book Antiqua"/>
        </w:rPr>
        <w:t>La CEE</w:t>
      </w:r>
      <w:r w:rsidRPr="00C51120">
        <w:rPr>
          <w:rFonts w:ascii="Book Antiqua" w:hAnsi="Book Antiqua"/>
        </w:rPr>
        <w:t xml:space="preserve"> advirtió que</w:t>
      </w:r>
      <w:r w:rsidR="006C0443">
        <w:rPr>
          <w:rFonts w:ascii="Book Antiqua" w:hAnsi="Book Antiqua"/>
        </w:rPr>
        <w:t xml:space="preserve"> respalda la transparencia y cumplimiento con todas las leyes o regulaciones vigentes, incluyendo el marco jurídico</w:t>
      </w:r>
      <w:r w:rsidR="0087294B">
        <w:rPr>
          <w:rFonts w:ascii="Book Antiqua" w:hAnsi="Book Antiqua"/>
        </w:rPr>
        <w:t xml:space="preserve"> vinculado al financiamiento de las campañas políticas. No obstante, arguye que es la OCE</w:t>
      </w:r>
      <w:r w:rsidR="00FD0892">
        <w:rPr>
          <w:rFonts w:ascii="Book Antiqua" w:hAnsi="Book Antiqua"/>
        </w:rPr>
        <w:t xml:space="preserve"> quien tiene el peritaje </w:t>
      </w:r>
      <w:r w:rsidR="00FD0892">
        <w:rPr>
          <w:rFonts w:ascii="Book Antiqua" w:hAnsi="Book Antiqua"/>
        </w:rPr>
        <w:lastRenderedPageBreak/>
        <w:t>administrativo para llevar a cabo un análisis completo y preciso de las enmiendas propuestas, dentro del andamiaje legal que rige el financiamiento de campañas.</w:t>
      </w:r>
      <w:r w:rsidR="00E60C12">
        <w:rPr>
          <w:rFonts w:ascii="Book Antiqua" w:hAnsi="Book Antiqua"/>
        </w:rPr>
        <w:t xml:space="preserve"> Por tanto, dan deferencia hacia la OCE en cuando a la aprobación de esta medida. </w:t>
      </w:r>
    </w:p>
    <w:p w14:paraId="36AD7F15" w14:textId="77777777" w:rsidR="00A5140E" w:rsidRDefault="00A5140E" w:rsidP="00A5140E">
      <w:pPr>
        <w:rPr>
          <w:rFonts w:ascii="Book Antiqua" w:hAnsi="Book Antiqua"/>
          <w:b/>
          <w:bCs/>
        </w:rPr>
      </w:pPr>
    </w:p>
    <w:p w14:paraId="48DADF83" w14:textId="670E9D18" w:rsidR="007E0DD8" w:rsidRPr="00A5140E" w:rsidRDefault="007E0DD8" w:rsidP="00A5140E">
      <w:pPr>
        <w:jc w:val="center"/>
        <w:rPr>
          <w:rFonts w:ascii="Book Antiqua" w:hAnsi="Book Antiqua"/>
          <w:b/>
          <w:bCs/>
        </w:rPr>
      </w:pPr>
      <w:r w:rsidRPr="00A5140E">
        <w:rPr>
          <w:rFonts w:ascii="Book Antiqua" w:hAnsi="Book Antiqua"/>
          <w:b/>
          <w:bCs/>
        </w:rPr>
        <w:t>Departamento de Estado</w:t>
      </w:r>
    </w:p>
    <w:p w14:paraId="7E63782D" w14:textId="77777777" w:rsidR="00A5140E" w:rsidRDefault="00A5140E" w:rsidP="00A5140E">
      <w:pPr>
        <w:ind w:firstLine="708"/>
        <w:contextualSpacing/>
        <w:jc w:val="both"/>
        <w:rPr>
          <w:rFonts w:ascii="Book Antiqua" w:hAnsi="Book Antiqua"/>
        </w:rPr>
      </w:pPr>
    </w:p>
    <w:p w14:paraId="24FD43B5" w14:textId="3DD70EE7" w:rsidR="00D80E8F" w:rsidRDefault="00D80E8F" w:rsidP="00A5140E">
      <w:pPr>
        <w:ind w:firstLine="708"/>
        <w:contextualSpacing/>
        <w:jc w:val="both"/>
        <w:rPr>
          <w:rFonts w:ascii="Book Antiqua" w:hAnsi="Book Antiqua"/>
        </w:rPr>
      </w:pPr>
      <w:r w:rsidRPr="00B23B44">
        <w:rPr>
          <w:rFonts w:ascii="Book Antiqua" w:hAnsi="Book Antiqua"/>
        </w:rPr>
        <w:t xml:space="preserve">El Departamento de Estado precisó que </w:t>
      </w:r>
      <w:r w:rsidRPr="00B23B44">
        <w:rPr>
          <w:rFonts w:ascii="Book Antiqua" w:hAnsi="Book Antiqua"/>
          <w:lang w:val="es-ES"/>
        </w:rPr>
        <w:t>la medida propuesta requiere analizar aspectos de la </w:t>
      </w:r>
      <w:r w:rsidRPr="00B23B44">
        <w:rPr>
          <w:rFonts w:ascii="Book Antiqua" w:hAnsi="Book Antiqua"/>
          <w:i/>
          <w:iCs/>
        </w:rPr>
        <w:t>Ley para la Fiscalización del Financiamiento de Campañas Políticas en Puerto Rico, </w:t>
      </w:r>
      <w:r w:rsidRPr="00B23B44">
        <w:rPr>
          <w:rFonts w:ascii="Book Antiqua" w:hAnsi="Book Antiqua"/>
        </w:rPr>
        <w:t>de la cual</w:t>
      </w:r>
      <w:r w:rsidRPr="00B23B44">
        <w:rPr>
          <w:rFonts w:ascii="Book Antiqua" w:hAnsi="Book Antiqua"/>
          <w:i/>
          <w:iCs/>
        </w:rPr>
        <w:t> </w:t>
      </w:r>
      <w:r w:rsidRPr="00B23B44">
        <w:rPr>
          <w:rFonts w:ascii="Book Antiqua" w:hAnsi="Book Antiqua"/>
        </w:rPr>
        <w:t>el ente administrativo con pericia es la </w:t>
      </w:r>
      <w:r w:rsidRPr="00B23B44">
        <w:rPr>
          <w:rFonts w:ascii="Book Antiqua" w:hAnsi="Book Antiqua"/>
          <w:lang w:val="es-ES"/>
        </w:rPr>
        <w:t xml:space="preserve">Oficina del Contralor Electoral. Por </w:t>
      </w:r>
      <w:proofErr w:type="gramStart"/>
      <w:r w:rsidRPr="00B23B44">
        <w:rPr>
          <w:rFonts w:ascii="Book Antiqua" w:hAnsi="Book Antiqua"/>
          <w:lang w:val="es-ES"/>
        </w:rPr>
        <w:t>tanto</w:t>
      </w:r>
      <w:proofErr w:type="gramEnd"/>
      <w:r w:rsidRPr="00B23B44">
        <w:rPr>
          <w:rFonts w:ascii="Book Antiqua" w:hAnsi="Book Antiqua"/>
          <w:lang w:val="es-ES"/>
        </w:rPr>
        <w:t xml:space="preserve"> concluyó </w:t>
      </w:r>
      <w:proofErr w:type="gramStart"/>
      <w:r w:rsidRPr="00B23B44">
        <w:rPr>
          <w:rFonts w:ascii="Book Antiqua" w:hAnsi="Book Antiqua"/>
          <w:lang w:val="es-ES"/>
        </w:rPr>
        <w:t>que</w:t>
      </w:r>
      <w:proofErr w:type="gramEnd"/>
      <w:r w:rsidRPr="00B23B44">
        <w:rPr>
          <w:rFonts w:ascii="Book Antiqua" w:hAnsi="Book Antiqua"/>
          <w:lang w:val="es-ES"/>
        </w:rPr>
        <w:t xml:space="preserve"> por no mencionar al Departamento de Estado, entiende que se debe dar deferencia a los comentarios que realice la Oficina del Contralor y la Comisión Estatal de Elecciones sobre la pieza legislativa en cuestión.</w:t>
      </w:r>
      <w:r w:rsidRPr="007C2097">
        <w:rPr>
          <w:rFonts w:ascii="Book Antiqua" w:hAnsi="Book Antiqua"/>
          <w:lang w:val="es-ES"/>
        </w:rPr>
        <w:t> </w:t>
      </w:r>
      <w:r w:rsidRPr="007C2097">
        <w:rPr>
          <w:rFonts w:ascii="Book Antiqua" w:hAnsi="Book Antiqua"/>
        </w:rPr>
        <w:t> </w:t>
      </w:r>
    </w:p>
    <w:p w14:paraId="0C07BEEE" w14:textId="77777777" w:rsidR="00D80E8F" w:rsidRPr="00D80E8F" w:rsidRDefault="00D80E8F" w:rsidP="00A5140E">
      <w:pPr>
        <w:ind w:firstLine="708"/>
        <w:contextualSpacing/>
        <w:jc w:val="both"/>
        <w:rPr>
          <w:rFonts w:ascii="Book Antiqua" w:hAnsi="Book Antiqua"/>
        </w:rPr>
      </w:pPr>
    </w:p>
    <w:p w14:paraId="79D25F8F" w14:textId="59297D55" w:rsidR="00F0295A" w:rsidRPr="00A5140E" w:rsidRDefault="00B12465" w:rsidP="00A5140E">
      <w:pPr>
        <w:jc w:val="center"/>
        <w:rPr>
          <w:rFonts w:ascii="Book Antiqua" w:hAnsi="Book Antiqua"/>
          <w:b/>
          <w:bCs/>
        </w:rPr>
      </w:pPr>
      <w:r w:rsidRPr="00A5140E">
        <w:rPr>
          <w:rFonts w:ascii="Book Antiqua" w:hAnsi="Book Antiqua"/>
          <w:b/>
          <w:bCs/>
        </w:rPr>
        <w:t>Departamento de Justicia</w:t>
      </w:r>
    </w:p>
    <w:p w14:paraId="102DF3D6" w14:textId="77777777" w:rsidR="00A5140E" w:rsidRDefault="00D108FE" w:rsidP="00A5140E">
      <w:pPr>
        <w:contextualSpacing/>
        <w:jc w:val="both"/>
        <w:rPr>
          <w:rFonts w:ascii="Book Antiqua" w:hAnsi="Book Antiqua"/>
          <w:b/>
          <w:bCs/>
        </w:rPr>
      </w:pPr>
      <w:r>
        <w:rPr>
          <w:rFonts w:ascii="Book Antiqua" w:hAnsi="Book Antiqua"/>
          <w:b/>
          <w:bCs/>
        </w:rPr>
        <w:tab/>
      </w:r>
    </w:p>
    <w:p w14:paraId="6907849F" w14:textId="49064265" w:rsidR="00F0295A" w:rsidRDefault="00D108FE" w:rsidP="00A5140E">
      <w:pPr>
        <w:ind w:firstLine="708"/>
        <w:contextualSpacing/>
        <w:jc w:val="both"/>
        <w:rPr>
          <w:rFonts w:ascii="Book Antiqua" w:hAnsi="Book Antiqua"/>
        </w:rPr>
      </w:pPr>
      <w:r w:rsidRPr="00D108FE">
        <w:rPr>
          <w:rFonts w:ascii="Book Antiqua" w:hAnsi="Book Antiqua"/>
        </w:rPr>
        <w:t>El De</w:t>
      </w:r>
      <w:r>
        <w:rPr>
          <w:rFonts w:ascii="Book Antiqua" w:hAnsi="Book Antiqua"/>
        </w:rPr>
        <w:t>partamento de Justicia reconoce la intención leg</w:t>
      </w:r>
      <w:r w:rsidR="00A604E5">
        <w:rPr>
          <w:rFonts w:ascii="Book Antiqua" w:hAnsi="Book Antiqua"/>
        </w:rPr>
        <w:t xml:space="preserve">ítima que inspira el P. de la C. 74, dirigida a fortalecer la fiscalización del financiamiento de campañas políticas, promover mayor transparencia y prevenir prácticas de corrupción que </w:t>
      </w:r>
      <w:r w:rsidR="00164D76">
        <w:rPr>
          <w:rFonts w:ascii="Book Antiqua" w:hAnsi="Book Antiqua"/>
        </w:rPr>
        <w:t xml:space="preserve">socaven la confianza pública en el sistema democrático.  No obstante, son firmes al puntualizar que al evaluar la medida </w:t>
      </w:r>
      <w:r w:rsidR="00B57CE2">
        <w:rPr>
          <w:rFonts w:ascii="Book Antiqua" w:hAnsi="Book Antiqua"/>
        </w:rPr>
        <w:t xml:space="preserve">a la luz de los principios constitucionales aplicables y de las normas jurídicas de técnica legislativa, entienden que varias de sus disposiciones presentan serias vulnerabilidades jurídicas. Entre ellas, destacan posibles conflictos </w:t>
      </w:r>
      <w:r w:rsidR="00252D53">
        <w:rPr>
          <w:rFonts w:ascii="Book Antiqua" w:hAnsi="Book Antiqua"/>
        </w:rPr>
        <w:t>con garantías del debido proceso, preocupaciones de vaguedad y sobre alcance en la tipificación de conductas penales, problemas de proporcionalidad en el aumento de penas y en la</w:t>
      </w:r>
      <w:r w:rsidR="00067825">
        <w:rPr>
          <w:rFonts w:ascii="Book Antiqua" w:hAnsi="Book Antiqua"/>
        </w:rPr>
        <w:t xml:space="preserve"> </w:t>
      </w:r>
      <w:r w:rsidR="00252D53">
        <w:rPr>
          <w:rFonts w:ascii="Book Antiqua" w:hAnsi="Book Antiqua"/>
        </w:rPr>
        <w:t>impres</w:t>
      </w:r>
      <w:r w:rsidR="000F3628">
        <w:rPr>
          <w:rFonts w:ascii="Book Antiqua" w:hAnsi="Book Antiqua"/>
        </w:rPr>
        <w:t>criptibilidad de ciertos delitos, así como disposiciones que podrían afectar la libertad de expresión, la libertad contractual</w:t>
      </w:r>
      <w:r w:rsidR="00067825">
        <w:rPr>
          <w:rFonts w:ascii="Book Antiqua" w:hAnsi="Book Antiqua"/>
        </w:rPr>
        <w:t xml:space="preserve"> y expectativas razonables de intimidad financiera.  Además, sostienen </w:t>
      </w:r>
      <w:r w:rsidR="00520BCA">
        <w:rPr>
          <w:rFonts w:ascii="Book Antiqua" w:hAnsi="Book Antiqua"/>
        </w:rPr>
        <w:t xml:space="preserve">y advierten que existen áreas en las que la amplitud de la discreción administrativa y la exclusión de marcos procesales uniformes podrían generar litigios y aplicación de la ley. </w:t>
      </w:r>
    </w:p>
    <w:p w14:paraId="28F3D5A0" w14:textId="77777777" w:rsidR="00A5140E" w:rsidRDefault="006F74B7" w:rsidP="00A5140E">
      <w:pPr>
        <w:contextualSpacing/>
        <w:jc w:val="both"/>
        <w:rPr>
          <w:rFonts w:ascii="Book Antiqua" w:hAnsi="Book Antiqua"/>
        </w:rPr>
      </w:pPr>
      <w:r>
        <w:rPr>
          <w:rFonts w:ascii="Book Antiqua" w:hAnsi="Book Antiqua"/>
        </w:rPr>
        <w:tab/>
      </w:r>
    </w:p>
    <w:p w14:paraId="5FA37BB8" w14:textId="43F1A92C" w:rsidR="00AE7807" w:rsidRPr="00AE7807" w:rsidRDefault="006F74B7" w:rsidP="00A5140E">
      <w:pPr>
        <w:ind w:firstLine="708"/>
        <w:contextualSpacing/>
        <w:jc w:val="both"/>
        <w:rPr>
          <w:rFonts w:ascii="Book Antiqua" w:hAnsi="Book Antiqua"/>
        </w:rPr>
      </w:pPr>
      <w:r>
        <w:rPr>
          <w:rFonts w:ascii="Book Antiqua" w:hAnsi="Book Antiqua"/>
        </w:rPr>
        <w:t xml:space="preserve">Concluyen que a pesar de que reconocen la buena intención </w:t>
      </w:r>
      <w:r w:rsidR="00636D57">
        <w:rPr>
          <w:rFonts w:ascii="Book Antiqua" w:hAnsi="Book Antiqua"/>
        </w:rPr>
        <w:t>legislativa</w:t>
      </w:r>
      <w:r>
        <w:rPr>
          <w:rFonts w:ascii="Book Antiqua" w:hAnsi="Book Antiqua"/>
        </w:rPr>
        <w:t xml:space="preserve">, el Departamento de Justicia no puede avalar </w:t>
      </w:r>
      <w:r w:rsidR="00636D57">
        <w:rPr>
          <w:rFonts w:ascii="Book Antiqua" w:hAnsi="Book Antiqua"/>
        </w:rPr>
        <w:t xml:space="preserve">el proyecto en su forma actual. Acotan que la medida requiere de revisiones sustanciales para armonizar las disposiciones con nuestro ordenamiento constitucional y asegurar que los objetivos y transparencia </w:t>
      </w:r>
      <w:r w:rsidR="0089702C">
        <w:rPr>
          <w:rFonts w:ascii="Book Antiqua" w:hAnsi="Book Antiqua"/>
        </w:rPr>
        <w:t xml:space="preserve">y fiscalización se alcancen sin comprometer </w:t>
      </w:r>
      <w:r w:rsidR="00DB55C6">
        <w:rPr>
          <w:rFonts w:ascii="Book Antiqua" w:hAnsi="Book Antiqua"/>
        </w:rPr>
        <w:t xml:space="preserve">derechos fundamentales ni principios básicos de nuestro sistema jurídico. </w:t>
      </w:r>
    </w:p>
    <w:p w14:paraId="753C817B" w14:textId="77777777" w:rsidR="00A5140E" w:rsidRDefault="00A5140E" w:rsidP="00A5140E">
      <w:pPr>
        <w:ind w:firstLine="708"/>
        <w:jc w:val="center"/>
        <w:rPr>
          <w:rFonts w:ascii="Book Antiqua" w:hAnsi="Book Antiqua"/>
          <w:b/>
          <w:bCs/>
        </w:rPr>
      </w:pPr>
    </w:p>
    <w:p w14:paraId="6D1DCE42" w14:textId="5CCB1048" w:rsidR="00D80E8F" w:rsidRPr="00A5140E" w:rsidRDefault="00DC6EB2" w:rsidP="00A5140E">
      <w:pPr>
        <w:ind w:firstLine="708"/>
        <w:jc w:val="center"/>
        <w:rPr>
          <w:rFonts w:ascii="Book Antiqua" w:hAnsi="Book Antiqua"/>
          <w:b/>
          <w:bCs/>
        </w:rPr>
      </w:pPr>
      <w:r w:rsidRPr="00A5140E">
        <w:rPr>
          <w:rFonts w:ascii="Book Antiqua" w:hAnsi="Book Antiqua"/>
          <w:b/>
          <w:bCs/>
        </w:rPr>
        <w:t xml:space="preserve">Federación de </w:t>
      </w:r>
      <w:proofErr w:type="gramStart"/>
      <w:r w:rsidRPr="00A5140E">
        <w:rPr>
          <w:rFonts w:ascii="Book Antiqua" w:hAnsi="Book Antiqua"/>
          <w:b/>
          <w:bCs/>
        </w:rPr>
        <w:t>Alcaldes</w:t>
      </w:r>
      <w:proofErr w:type="gramEnd"/>
    </w:p>
    <w:p w14:paraId="665C774D" w14:textId="77777777" w:rsidR="007763F6" w:rsidRDefault="007763F6" w:rsidP="00A5140E">
      <w:pPr>
        <w:pStyle w:val="ListParagraph"/>
        <w:ind w:left="1428"/>
        <w:jc w:val="center"/>
        <w:rPr>
          <w:rFonts w:ascii="Book Antiqua" w:hAnsi="Book Antiqua"/>
          <w:b/>
          <w:bCs/>
        </w:rPr>
      </w:pPr>
    </w:p>
    <w:p w14:paraId="7EF76EAB" w14:textId="37551B85" w:rsidR="007763F6" w:rsidRPr="007763F6" w:rsidRDefault="007763F6" w:rsidP="00A5140E">
      <w:pPr>
        <w:ind w:firstLine="708"/>
        <w:contextualSpacing/>
        <w:jc w:val="both"/>
        <w:rPr>
          <w:rFonts w:ascii="Book Antiqua" w:hAnsi="Book Antiqua"/>
        </w:rPr>
      </w:pPr>
      <w:r w:rsidRPr="007763F6">
        <w:rPr>
          <w:rFonts w:ascii="Book Antiqua" w:hAnsi="Book Antiqua"/>
        </w:rPr>
        <w:t xml:space="preserve">Respaldó la intención del proyecto, sujeto a recomendaciones para fortalecer salvaguardas de confidencialidad, establecer procesos de revisión administrativa antes </w:t>
      </w:r>
      <w:r w:rsidRPr="007763F6">
        <w:rPr>
          <w:rFonts w:ascii="Book Antiqua" w:hAnsi="Book Antiqua"/>
        </w:rPr>
        <w:lastRenderedPageBreak/>
        <w:t>de embargos y evaluar impacto jurídico de obligaciones impuestas a organizaciones externas.</w:t>
      </w:r>
    </w:p>
    <w:p w14:paraId="605748A5" w14:textId="77777777" w:rsidR="007763F6" w:rsidRDefault="007763F6" w:rsidP="00A5140E">
      <w:pPr>
        <w:pStyle w:val="ListParagraph"/>
        <w:ind w:left="1428"/>
        <w:jc w:val="both"/>
        <w:rPr>
          <w:rFonts w:ascii="Book Antiqua" w:hAnsi="Book Antiqua"/>
          <w:b/>
          <w:bCs/>
        </w:rPr>
      </w:pPr>
    </w:p>
    <w:p w14:paraId="4C7E9947" w14:textId="0AB1C174" w:rsidR="00D80E8F" w:rsidRPr="00A5140E" w:rsidRDefault="00DC6EB2" w:rsidP="00A5140E">
      <w:pPr>
        <w:jc w:val="center"/>
        <w:rPr>
          <w:rFonts w:ascii="Book Antiqua" w:hAnsi="Book Antiqua"/>
          <w:b/>
          <w:bCs/>
        </w:rPr>
      </w:pPr>
      <w:r w:rsidRPr="00A5140E">
        <w:rPr>
          <w:rFonts w:ascii="Book Antiqua" w:hAnsi="Book Antiqua"/>
          <w:b/>
          <w:bCs/>
        </w:rPr>
        <w:t>Oficina de Administración de los Tribunales</w:t>
      </w:r>
    </w:p>
    <w:p w14:paraId="6D44377F" w14:textId="77777777" w:rsidR="00A5140E" w:rsidRDefault="00A5140E" w:rsidP="00A5140E">
      <w:pPr>
        <w:ind w:firstLine="708"/>
        <w:contextualSpacing/>
        <w:jc w:val="both"/>
        <w:rPr>
          <w:rFonts w:ascii="Book Antiqua" w:hAnsi="Book Antiqua"/>
        </w:rPr>
      </w:pPr>
    </w:p>
    <w:p w14:paraId="24E5F504" w14:textId="3A731D9F" w:rsidR="00D80E8F" w:rsidRDefault="00D80E8F" w:rsidP="00A5140E">
      <w:pPr>
        <w:ind w:firstLine="708"/>
        <w:contextualSpacing/>
        <w:jc w:val="both"/>
        <w:rPr>
          <w:rFonts w:ascii="Book Antiqua" w:hAnsi="Book Antiqua"/>
        </w:rPr>
      </w:pPr>
      <w:r w:rsidRPr="00F0295A">
        <w:rPr>
          <w:rFonts w:ascii="Book Antiqua" w:hAnsi="Book Antiqua"/>
        </w:rPr>
        <w:t>La Oficina de la Administración de los Tribunales acotó que la fiscalización del financiamiento de campa</w:t>
      </w:r>
      <w:r w:rsidR="00F0295A" w:rsidRPr="00F0295A">
        <w:rPr>
          <w:rFonts w:ascii="Book Antiqua" w:hAnsi="Book Antiqua"/>
        </w:rPr>
        <w:t>ñ</w:t>
      </w:r>
      <w:r w:rsidRPr="00F0295A">
        <w:rPr>
          <w:rFonts w:ascii="Book Antiqua" w:hAnsi="Book Antiqua"/>
        </w:rPr>
        <w:t xml:space="preserve">as políticas en nuestro ordenamiento y las facultades de </w:t>
      </w:r>
      <w:r w:rsidR="00F0295A" w:rsidRPr="00F0295A">
        <w:rPr>
          <w:rFonts w:ascii="Book Antiqua" w:hAnsi="Book Antiqua"/>
        </w:rPr>
        <w:t>l</w:t>
      </w:r>
      <w:r w:rsidRPr="00F0295A">
        <w:rPr>
          <w:rFonts w:ascii="Book Antiqua" w:hAnsi="Book Antiqua"/>
        </w:rPr>
        <w:t>a Oficina del Contralor Electoral, conllevan determinaciones de política pública gubernamental correspondientes al ámbito de autoridad de los poderes Legislativo y Ejecutivo. Por tanto, toda vez que el Poder Judicial tiene por norma general abstenerse de emitir juicio sabre asuntos de política pública gubernamental de la competencia de los otros poderes del Gobierno, declinaron emitir comentarios respecto a los méritos de la propuesta contenida en el P. de la C. 74.</w:t>
      </w:r>
    </w:p>
    <w:p w14:paraId="7CCC3F72" w14:textId="77777777" w:rsidR="00A5140E" w:rsidRDefault="00A5140E" w:rsidP="00A5140E">
      <w:pPr>
        <w:jc w:val="center"/>
        <w:rPr>
          <w:rFonts w:ascii="Book Antiqua" w:hAnsi="Book Antiqua"/>
          <w:b/>
          <w:bCs/>
        </w:rPr>
      </w:pPr>
    </w:p>
    <w:p w14:paraId="707DF2F4" w14:textId="43C1CC6D" w:rsidR="00DC6EB2" w:rsidRPr="00A5140E" w:rsidRDefault="00DC6EB2" w:rsidP="00A5140E">
      <w:pPr>
        <w:jc w:val="center"/>
        <w:rPr>
          <w:rFonts w:ascii="Book Antiqua" w:hAnsi="Book Antiqua"/>
          <w:b/>
          <w:bCs/>
        </w:rPr>
      </w:pPr>
      <w:r w:rsidRPr="00A5140E">
        <w:rPr>
          <w:rFonts w:ascii="Book Antiqua" w:hAnsi="Book Antiqua"/>
          <w:b/>
          <w:bCs/>
        </w:rPr>
        <w:t>Oficina del Contralor Electoral</w:t>
      </w:r>
    </w:p>
    <w:p w14:paraId="34331598" w14:textId="77777777" w:rsidR="00A5140E" w:rsidRDefault="00A5140E" w:rsidP="00A5140E">
      <w:pPr>
        <w:ind w:firstLine="708"/>
        <w:contextualSpacing/>
        <w:jc w:val="both"/>
        <w:rPr>
          <w:rFonts w:ascii="Book Antiqua" w:hAnsi="Book Antiqua"/>
        </w:rPr>
      </w:pPr>
    </w:p>
    <w:p w14:paraId="102B3752" w14:textId="42AAF984" w:rsidR="00D80E8F" w:rsidRDefault="00D80E8F" w:rsidP="00A5140E">
      <w:pPr>
        <w:ind w:firstLine="708"/>
        <w:contextualSpacing/>
        <w:jc w:val="both"/>
        <w:rPr>
          <w:rFonts w:ascii="Book Antiqua" w:hAnsi="Book Antiqua"/>
        </w:rPr>
      </w:pPr>
      <w:r>
        <w:rPr>
          <w:rFonts w:ascii="Book Antiqua" w:hAnsi="Book Antiqua"/>
        </w:rPr>
        <w:t xml:space="preserve">Por su parte, la </w:t>
      </w:r>
      <w:r w:rsidR="0090239C">
        <w:rPr>
          <w:rFonts w:ascii="Book Antiqua" w:hAnsi="Book Antiqua"/>
        </w:rPr>
        <w:t xml:space="preserve">OCE </w:t>
      </w:r>
      <w:r w:rsidRPr="00C51120">
        <w:rPr>
          <w:rFonts w:ascii="Book Antiqua" w:hAnsi="Book Antiqua"/>
        </w:rPr>
        <w:t>resaltó que</w:t>
      </w:r>
      <w:r w:rsidR="009417AB">
        <w:rPr>
          <w:rFonts w:ascii="Book Antiqua" w:hAnsi="Book Antiqua"/>
        </w:rPr>
        <w:t xml:space="preserve"> l</w:t>
      </w:r>
      <w:r w:rsidR="009417AB" w:rsidRPr="009417AB">
        <w:rPr>
          <w:rFonts w:ascii="Book Antiqua" w:hAnsi="Book Antiqua"/>
        </w:rPr>
        <w:t xml:space="preserve">as medidas contenidas en el Proyecto no son un método infalible para hacer desaparecer la corrupción en el financiamiento de campañas electorales. </w:t>
      </w:r>
      <w:r w:rsidR="009417AB">
        <w:rPr>
          <w:rFonts w:ascii="Book Antiqua" w:hAnsi="Book Antiqua"/>
        </w:rPr>
        <w:t>A su juicio, s</w:t>
      </w:r>
      <w:r w:rsidR="009417AB" w:rsidRPr="009417AB">
        <w:rPr>
          <w:rFonts w:ascii="Book Antiqua" w:hAnsi="Book Antiqua"/>
        </w:rPr>
        <w:t xml:space="preserve">in importar cuán perfecta parezca una legislación y cuán efectiva sea la OCE en su ejecución, la realidad es que no hay legislación perfecta y siempre hay vías que permiten su evasión por quienes se empeñan en incumplir la Ley para llevar a cabo actos de corrupción. </w:t>
      </w:r>
      <w:r w:rsidR="009417AB">
        <w:rPr>
          <w:rFonts w:ascii="Book Antiqua" w:hAnsi="Book Antiqua"/>
        </w:rPr>
        <w:t>Además</w:t>
      </w:r>
      <w:r w:rsidR="0090239C">
        <w:rPr>
          <w:rFonts w:ascii="Book Antiqua" w:hAnsi="Book Antiqua"/>
        </w:rPr>
        <w:t>,</w:t>
      </w:r>
      <w:r w:rsidR="009417AB">
        <w:rPr>
          <w:rFonts w:ascii="Book Antiqua" w:hAnsi="Book Antiqua"/>
        </w:rPr>
        <w:t xml:space="preserve"> aducen que l</w:t>
      </w:r>
      <w:r w:rsidR="009417AB" w:rsidRPr="009417AB">
        <w:rPr>
          <w:rFonts w:ascii="Book Antiqua" w:hAnsi="Book Antiqua"/>
        </w:rPr>
        <w:t xml:space="preserve">a limpieza y transparencia en el financiamiento de las campañas electorales solamente se podrá lograr en la medida en que haya medios para garantizar que las personas que participen como aspirantes y candidatos en las elecciones sean de reconocida probidad moral. </w:t>
      </w:r>
    </w:p>
    <w:p w14:paraId="3631A206" w14:textId="77777777" w:rsidR="008A35C9" w:rsidRDefault="008A35C9" w:rsidP="00A5140E">
      <w:pPr>
        <w:ind w:firstLine="708"/>
        <w:contextualSpacing/>
        <w:jc w:val="both"/>
        <w:rPr>
          <w:rFonts w:ascii="Book Antiqua" w:hAnsi="Book Antiqua"/>
        </w:rPr>
      </w:pPr>
    </w:p>
    <w:p w14:paraId="5D6DC896" w14:textId="77777777" w:rsidR="008A35C9" w:rsidRDefault="008A35C9" w:rsidP="00A5140E">
      <w:pPr>
        <w:ind w:firstLine="708"/>
        <w:contextualSpacing/>
        <w:jc w:val="both"/>
        <w:rPr>
          <w:rFonts w:ascii="Book Antiqua" w:hAnsi="Book Antiqua"/>
        </w:rPr>
      </w:pPr>
      <w:r>
        <w:rPr>
          <w:rFonts w:ascii="Book Antiqua" w:hAnsi="Book Antiqua"/>
        </w:rPr>
        <w:t xml:space="preserve">Recalca que </w:t>
      </w:r>
      <w:r w:rsidRPr="008A35C9">
        <w:rPr>
          <w:rFonts w:ascii="Book Antiqua" w:hAnsi="Book Antiqua"/>
        </w:rPr>
        <w:t xml:space="preserve">el establecer un presupuesto consolidado para la OCE no estaría en violación del Plan Fiscal Certificado vigente, toda vez que el efecto de aprobar esa propuesta sería flexibilizar el uso del presupuesto ya asignado a la OCE, no aumentarlo. En cuanto a las demás propuestas que crear una cuenta especial para distinguir los recaudos de la OCE de otro tipo de ingresos o fondos especiales, </w:t>
      </w:r>
      <w:proofErr w:type="gramStart"/>
      <w:r w:rsidRPr="008A35C9">
        <w:rPr>
          <w:rFonts w:ascii="Book Antiqua" w:hAnsi="Book Antiqua"/>
        </w:rPr>
        <w:t xml:space="preserve">a </w:t>
      </w:r>
      <w:r>
        <w:rPr>
          <w:rFonts w:ascii="Book Antiqua" w:hAnsi="Book Antiqua"/>
        </w:rPr>
        <w:t xml:space="preserve"> su</w:t>
      </w:r>
      <w:proofErr w:type="gramEnd"/>
      <w:r>
        <w:rPr>
          <w:rFonts w:ascii="Book Antiqua" w:hAnsi="Book Antiqua"/>
        </w:rPr>
        <w:t xml:space="preserve"> </w:t>
      </w:r>
      <w:r w:rsidRPr="008A35C9">
        <w:rPr>
          <w:rFonts w:ascii="Book Antiqua" w:hAnsi="Book Antiqua"/>
        </w:rPr>
        <w:t xml:space="preserve">juicio </w:t>
      </w:r>
      <w:r>
        <w:rPr>
          <w:rFonts w:ascii="Book Antiqua" w:hAnsi="Book Antiqua"/>
        </w:rPr>
        <w:t xml:space="preserve">estiman que </w:t>
      </w:r>
      <w:r w:rsidRPr="008A35C9">
        <w:rPr>
          <w:rFonts w:ascii="Book Antiqua" w:hAnsi="Book Antiqua"/>
        </w:rPr>
        <w:t xml:space="preserve">la propuesta no persigue la creación de cuentas adicionales, sino el renombramiento de las ya existentes, con el objetivo de aclarar que no se trata de asignaciones legislativas especiales, sino de fondos propios recaudados por la OCE en el ejercicio de su función fiscalizadora. </w:t>
      </w:r>
    </w:p>
    <w:p w14:paraId="55D973B2" w14:textId="77777777" w:rsidR="008A35C9" w:rsidRDefault="008A35C9" w:rsidP="00A5140E">
      <w:pPr>
        <w:ind w:firstLine="708"/>
        <w:contextualSpacing/>
        <w:jc w:val="both"/>
        <w:rPr>
          <w:rFonts w:ascii="Book Antiqua" w:hAnsi="Book Antiqua"/>
        </w:rPr>
      </w:pPr>
    </w:p>
    <w:p w14:paraId="42BAE939" w14:textId="7EE352CF" w:rsidR="002103FA" w:rsidRDefault="008A35C9" w:rsidP="00A5140E">
      <w:pPr>
        <w:ind w:firstLine="708"/>
        <w:contextualSpacing/>
        <w:jc w:val="both"/>
        <w:rPr>
          <w:rFonts w:ascii="Book Antiqua" w:hAnsi="Book Antiqua"/>
        </w:rPr>
      </w:pPr>
      <w:r>
        <w:rPr>
          <w:rFonts w:ascii="Book Antiqua" w:hAnsi="Book Antiqua"/>
        </w:rPr>
        <w:t>Finalmente, advierten que a</w:t>
      </w:r>
      <w:r w:rsidRPr="008A35C9">
        <w:rPr>
          <w:rFonts w:ascii="Book Antiqua" w:hAnsi="Book Antiqua"/>
        </w:rPr>
        <w:t xml:space="preserve"> fin de salvaguardar las disposiciones del Proyecto sobre una posible impugnación judicial bajo el fundamento que alguna de estas no cumple con el Plan Fiscal, sugerimos que se considere incluir una cláusula transitoria o suspensiva indicando que estas disposiciones quedarán en suspenso en caso de que no cumplan con el Plan Fiscal certificado y que entrarán en vigor una vez cumplan con un </w:t>
      </w:r>
      <w:r w:rsidRPr="008A35C9">
        <w:rPr>
          <w:rFonts w:ascii="Book Antiqua" w:hAnsi="Book Antiqua"/>
        </w:rPr>
        <w:lastRenderedPageBreak/>
        <w:t>plan fiscal futuro o cese la vigencia de la Ley Federal PROMESA. Actualmente hay varias disposiciones sobre, por ejemplo, beneficios marginales a empleados públicos, que han quedado en suspenso -no derogadas- ante la entrada en vigor de la Ley PROMESA y los Planes Fiscales aprobados bajo esta.</w:t>
      </w:r>
    </w:p>
    <w:p w14:paraId="28FCED03" w14:textId="77777777" w:rsidR="00A5140E" w:rsidRDefault="00A5140E" w:rsidP="00A5140E">
      <w:pPr>
        <w:rPr>
          <w:rFonts w:ascii="Book Antiqua" w:hAnsi="Book Antiqua"/>
          <w:b/>
          <w:bCs/>
        </w:rPr>
      </w:pPr>
    </w:p>
    <w:p w14:paraId="152A174C" w14:textId="53FCEC2A" w:rsidR="00601B6D" w:rsidRPr="00A5140E" w:rsidRDefault="00601B6D" w:rsidP="00A5140E">
      <w:pPr>
        <w:jc w:val="center"/>
        <w:rPr>
          <w:rFonts w:ascii="Book Antiqua" w:hAnsi="Book Antiqua"/>
          <w:b/>
          <w:bCs/>
        </w:rPr>
      </w:pPr>
      <w:r w:rsidRPr="00A5140E">
        <w:rPr>
          <w:rFonts w:ascii="Book Antiqua" w:hAnsi="Book Antiqua"/>
          <w:b/>
          <w:bCs/>
        </w:rPr>
        <w:t>Oficina de Ética Gubernamental</w:t>
      </w:r>
    </w:p>
    <w:p w14:paraId="22F3831F" w14:textId="77777777" w:rsidR="00A5140E" w:rsidRDefault="00A5140E" w:rsidP="00A5140E">
      <w:pPr>
        <w:ind w:firstLine="708"/>
        <w:contextualSpacing/>
        <w:jc w:val="both"/>
        <w:rPr>
          <w:rFonts w:ascii="Book Antiqua" w:hAnsi="Book Antiqua"/>
        </w:rPr>
      </w:pPr>
    </w:p>
    <w:p w14:paraId="0CCFA26A" w14:textId="0A1D5932" w:rsidR="00D80E8F" w:rsidRDefault="00D80E8F" w:rsidP="00A5140E">
      <w:pPr>
        <w:ind w:firstLine="708"/>
        <w:contextualSpacing/>
        <w:jc w:val="both"/>
        <w:rPr>
          <w:rFonts w:ascii="Book Antiqua" w:hAnsi="Book Antiqua"/>
        </w:rPr>
      </w:pPr>
      <w:r>
        <w:rPr>
          <w:rFonts w:ascii="Book Antiqua" w:hAnsi="Book Antiqua"/>
        </w:rPr>
        <w:t>La O</w:t>
      </w:r>
      <w:r w:rsidR="0090239C">
        <w:rPr>
          <w:rFonts w:ascii="Book Antiqua" w:hAnsi="Book Antiqua"/>
        </w:rPr>
        <w:t xml:space="preserve">EG, </w:t>
      </w:r>
      <w:r>
        <w:rPr>
          <w:rFonts w:ascii="Book Antiqua" w:hAnsi="Book Antiqua"/>
        </w:rPr>
        <w:t>en tanto</w:t>
      </w:r>
      <w:r w:rsidR="0090239C">
        <w:rPr>
          <w:rFonts w:ascii="Book Antiqua" w:hAnsi="Book Antiqua"/>
        </w:rPr>
        <w:t>,</w:t>
      </w:r>
      <w:r>
        <w:rPr>
          <w:rFonts w:ascii="Book Antiqua" w:hAnsi="Book Antiqua"/>
        </w:rPr>
        <w:t xml:space="preserve"> </w:t>
      </w:r>
      <w:r w:rsidR="0090239C">
        <w:rPr>
          <w:rFonts w:ascii="Book Antiqua" w:hAnsi="Book Antiqua"/>
        </w:rPr>
        <w:t xml:space="preserve">advierte que los informes financieros que se cumplimentan en su oficina no </w:t>
      </w:r>
      <w:proofErr w:type="gramStart"/>
      <w:r w:rsidR="0090239C">
        <w:rPr>
          <w:rFonts w:ascii="Book Antiqua" w:hAnsi="Book Antiqua"/>
        </w:rPr>
        <w:t>tiene</w:t>
      </w:r>
      <w:proofErr w:type="gramEnd"/>
      <w:r w:rsidR="0090239C">
        <w:rPr>
          <w:rFonts w:ascii="Book Antiqua" w:hAnsi="Book Antiqua"/>
        </w:rPr>
        <w:t xml:space="preserve"> que revelar información sobre </w:t>
      </w:r>
      <w:r w:rsidR="0010717F">
        <w:rPr>
          <w:rFonts w:ascii="Book Antiqua" w:hAnsi="Book Antiqua"/>
        </w:rPr>
        <w:t xml:space="preserve">ingresos o gastos </w:t>
      </w:r>
      <w:r w:rsidR="00371C44">
        <w:rPr>
          <w:rFonts w:ascii="Book Antiqua" w:hAnsi="Book Antiqua"/>
        </w:rPr>
        <w:t xml:space="preserve">relacionados con campañas políticas. </w:t>
      </w:r>
      <w:r w:rsidR="00934C7A">
        <w:rPr>
          <w:rFonts w:ascii="Book Antiqua" w:hAnsi="Book Antiqua"/>
        </w:rPr>
        <w:t>Destaca que dichos informes son confidenciales, y que la OCE puede solicitar verlos en su oficina</w:t>
      </w:r>
      <w:r w:rsidR="007C6972">
        <w:rPr>
          <w:rFonts w:ascii="Book Antiqua" w:hAnsi="Book Antiqua"/>
        </w:rPr>
        <w:t xml:space="preserve">; entiende que debe protegerse dicho informe </w:t>
      </w:r>
      <w:proofErr w:type="gramStart"/>
      <w:r w:rsidR="007C6972">
        <w:rPr>
          <w:rFonts w:ascii="Book Antiqua" w:hAnsi="Book Antiqua"/>
        </w:rPr>
        <w:t>ya que</w:t>
      </w:r>
      <w:proofErr w:type="gramEnd"/>
      <w:r w:rsidR="007C6972">
        <w:rPr>
          <w:rFonts w:ascii="Book Antiqua" w:hAnsi="Book Antiqua"/>
        </w:rPr>
        <w:t xml:space="preserve"> si se aprueba la medida, la OEG no sería la única </w:t>
      </w:r>
      <w:r w:rsidR="00795A13">
        <w:rPr>
          <w:rFonts w:ascii="Book Antiqua" w:hAnsi="Book Antiqua"/>
        </w:rPr>
        <w:t xml:space="preserve">agencia </w:t>
      </w:r>
      <w:r w:rsidR="007C6972">
        <w:rPr>
          <w:rFonts w:ascii="Book Antiqua" w:hAnsi="Book Antiqua"/>
        </w:rPr>
        <w:t xml:space="preserve">custodia de </w:t>
      </w:r>
      <w:r w:rsidR="00795A13">
        <w:rPr>
          <w:rFonts w:ascii="Book Antiqua" w:hAnsi="Book Antiqua"/>
        </w:rPr>
        <w:t>dicho documento.</w:t>
      </w:r>
    </w:p>
    <w:p w14:paraId="174831AE" w14:textId="77777777" w:rsidR="00A5140E" w:rsidRDefault="00A5140E" w:rsidP="00A5140E">
      <w:pPr>
        <w:rPr>
          <w:rFonts w:ascii="Book Antiqua" w:hAnsi="Book Antiqua"/>
          <w:b/>
          <w:bCs/>
        </w:rPr>
      </w:pPr>
    </w:p>
    <w:p w14:paraId="517BE821" w14:textId="5D1C0712" w:rsidR="00D80E8F" w:rsidRPr="00A5140E" w:rsidRDefault="006743C2" w:rsidP="00A5140E">
      <w:pPr>
        <w:jc w:val="center"/>
        <w:rPr>
          <w:rFonts w:ascii="Book Antiqua" w:hAnsi="Book Antiqua"/>
          <w:b/>
          <w:bCs/>
        </w:rPr>
      </w:pPr>
      <w:r w:rsidRPr="00A5140E">
        <w:rPr>
          <w:rFonts w:ascii="Book Antiqua" w:hAnsi="Book Antiqua"/>
          <w:b/>
          <w:bCs/>
        </w:rPr>
        <w:t>IMPACTO FISCAL</w:t>
      </w:r>
    </w:p>
    <w:p w14:paraId="5F9BB4A8" w14:textId="77777777" w:rsidR="00A5140E" w:rsidRDefault="00A5140E" w:rsidP="00A5140E">
      <w:pPr>
        <w:ind w:firstLine="708"/>
        <w:contextualSpacing/>
        <w:jc w:val="both"/>
        <w:rPr>
          <w:rFonts w:ascii="Book Antiqua" w:hAnsi="Book Antiqua"/>
        </w:rPr>
      </w:pPr>
    </w:p>
    <w:p w14:paraId="70BC72C0" w14:textId="47A6A884" w:rsidR="002103FA" w:rsidRPr="002103FA" w:rsidRDefault="002103FA" w:rsidP="00A5140E">
      <w:pPr>
        <w:ind w:firstLine="708"/>
        <w:contextualSpacing/>
        <w:jc w:val="both"/>
        <w:rPr>
          <w:rFonts w:ascii="Book Antiqua" w:hAnsi="Book Antiqua"/>
        </w:rPr>
      </w:pPr>
      <w:r w:rsidRPr="002103FA">
        <w:rPr>
          <w:rFonts w:ascii="Book Antiqua" w:hAnsi="Book Antiqua"/>
        </w:rPr>
        <w:t>La</w:t>
      </w:r>
      <w:r>
        <w:rPr>
          <w:rFonts w:ascii="Book Antiqua" w:hAnsi="Book Antiqua"/>
        </w:rPr>
        <w:t xml:space="preserve"> </w:t>
      </w:r>
      <w:r w:rsidRPr="002103FA">
        <w:rPr>
          <w:rFonts w:ascii="Book Antiqua" w:hAnsi="Book Antiqua"/>
        </w:rPr>
        <w:t>OPAL indicó que no puede precisar el impacto fiscal de la medida, dado que los costos potenciales serían indirectos y dependerían de la necesidad de recursos adicionales respecto a los actualmente asignados, lo que pudiera implicar ajustes presupuestarios.</w:t>
      </w:r>
    </w:p>
    <w:p w14:paraId="2E8E29FD" w14:textId="77777777" w:rsidR="002103FA" w:rsidRPr="002103FA" w:rsidRDefault="002103FA" w:rsidP="00A5140E">
      <w:pPr>
        <w:ind w:firstLine="708"/>
        <w:contextualSpacing/>
        <w:jc w:val="both"/>
        <w:rPr>
          <w:rFonts w:ascii="Book Antiqua" w:hAnsi="Book Antiqua"/>
        </w:rPr>
      </w:pPr>
    </w:p>
    <w:p w14:paraId="088B1714" w14:textId="77777777" w:rsidR="002103FA" w:rsidRPr="002103FA" w:rsidRDefault="002103FA" w:rsidP="00A5140E">
      <w:pPr>
        <w:ind w:firstLine="708"/>
        <w:contextualSpacing/>
        <w:jc w:val="both"/>
        <w:rPr>
          <w:rFonts w:ascii="Book Antiqua" w:hAnsi="Book Antiqua"/>
        </w:rPr>
      </w:pPr>
      <w:r w:rsidRPr="002103FA">
        <w:rPr>
          <w:rFonts w:ascii="Book Antiqua" w:hAnsi="Book Antiqua"/>
        </w:rPr>
        <w:t>Ante esta incertidumbre fiscal, la Comisión estima prudente no adelantar la aprobación de una reforma de esta magnitud sin una evaluación económica más precisa.</w:t>
      </w:r>
    </w:p>
    <w:p w14:paraId="0F6E44D8" w14:textId="77777777" w:rsidR="0003230D" w:rsidRDefault="0003230D" w:rsidP="00A5140E">
      <w:pPr>
        <w:ind w:firstLine="708"/>
        <w:contextualSpacing/>
        <w:jc w:val="center"/>
        <w:rPr>
          <w:rFonts w:ascii="Book Antiqua" w:hAnsi="Book Antiqua"/>
          <w:b/>
          <w:bCs/>
        </w:rPr>
      </w:pPr>
    </w:p>
    <w:p w14:paraId="2BA0F8DB" w14:textId="5016A2BE" w:rsidR="00411D95" w:rsidRDefault="00411D95" w:rsidP="00A5140E">
      <w:pPr>
        <w:ind w:firstLine="708"/>
        <w:contextualSpacing/>
        <w:jc w:val="center"/>
        <w:rPr>
          <w:rFonts w:ascii="Book Antiqua" w:hAnsi="Book Antiqua"/>
          <w:b/>
          <w:bCs/>
        </w:rPr>
      </w:pPr>
      <w:r w:rsidRPr="00517381">
        <w:rPr>
          <w:rFonts w:ascii="Book Antiqua" w:hAnsi="Book Antiqua"/>
          <w:b/>
          <w:bCs/>
        </w:rPr>
        <w:t>CONCLUSIÓN</w:t>
      </w:r>
    </w:p>
    <w:p w14:paraId="572D7F6C" w14:textId="77777777" w:rsidR="00BF6062" w:rsidRDefault="00BF6062" w:rsidP="00A5140E">
      <w:pPr>
        <w:ind w:firstLine="708"/>
        <w:contextualSpacing/>
        <w:jc w:val="center"/>
        <w:rPr>
          <w:rFonts w:ascii="Book Antiqua" w:hAnsi="Book Antiqua"/>
          <w:b/>
          <w:bCs/>
        </w:rPr>
      </w:pPr>
    </w:p>
    <w:p w14:paraId="29E2391B" w14:textId="71A6ED4C" w:rsidR="00992BDE" w:rsidRDefault="00992BDE" w:rsidP="00A5140E">
      <w:pPr>
        <w:ind w:firstLine="708"/>
        <w:contextualSpacing/>
        <w:jc w:val="both"/>
        <w:rPr>
          <w:rFonts w:ascii="Book Antiqua" w:hAnsi="Book Antiqua"/>
        </w:rPr>
      </w:pPr>
      <w:r w:rsidRPr="00992BDE">
        <w:rPr>
          <w:rFonts w:ascii="Book Antiqua" w:hAnsi="Book Antiqua"/>
        </w:rPr>
        <w:t>Luego de examinar detenidamente el P. de la C. 74 y evaluar las ponencias recibidas, esta Comisión concluye que, si bien la intención legislativa de fortalecer la fiscalización del financiamiento de campañas políticas es legítima, la medida</w:t>
      </w:r>
      <w:r w:rsidR="00CE5CD7">
        <w:rPr>
          <w:rFonts w:ascii="Book Antiqua" w:hAnsi="Book Antiqua"/>
        </w:rPr>
        <w:t xml:space="preserve">, </w:t>
      </w:r>
      <w:r w:rsidRPr="00992BDE">
        <w:rPr>
          <w:rFonts w:ascii="Book Antiqua" w:hAnsi="Book Antiqua"/>
        </w:rPr>
        <w:t>en su forma actual</w:t>
      </w:r>
      <w:r w:rsidR="00CE5CD7">
        <w:rPr>
          <w:rFonts w:ascii="Book Antiqua" w:hAnsi="Book Antiqua"/>
        </w:rPr>
        <w:t xml:space="preserve">, </w:t>
      </w:r>
      <w:r w:rsidRPr="00992BDE">
        <w:rPr>
          <w:rFonts w:ascii="Book Antiqua" w:hAnsi="Book Antiqua"/>
        </w:rPr>
        <w:t>adolece de deficiencias jurídicas, técnicas y operacionales que impiden recomendar su aprobación.</w:t>
      </w:r>
    </w:p>
    <w:p w14:paraId="2BAC341B" w14:textId="77777777" w:rsidR="00992BDE" w:rsidRPr="00992BDE" w:rsidRDefault="00992BDE" w:rsidP="00A5140E">
      <w:pPr>
        <w:ind w:firstLine="708"/>
        <w:contextualSpacing/>
        <w:jc w:val="both"/>
        <w:rPr>
          <w:rFonts w:ascii="Book Antiqua" w:hAnsi="Book Antiqua"/>
        </w:rPr>
      </w:pPr>
    </w:p>
    <w:p w14:paraId="66B58F08" w14:textId="77777777" w:rsidR="00992BDE" w:rsidRDefault="00992BDE" w:rsidP="00A5140E">
      <w:pPr>
        <w:ind w:firstLine="708"/>
        <w:contextualSpacing/>
        <w:jc w:val="both"/>
        <w:rPr>
          <w:rFonts w:ascii="Book Antiqua" w:hAnsi="Book Antiqua"/>
        </w:rPr>
      </w:pPr>
      <w:r w:rsidRPr="00992BDE">
        <w:rPr>
          <w:rFonts w:ascii="Book Antiqua" w:hAnsi="Book Antiqua"/>
        </w:rPr>
        <w:t>El Departamento de Justicia señaló preocupaciones sustanciales relacionadas con posibles vulnerabilidades constitucionales, particularmente en cuanto al debido proceso de ley, la proporcionalidad de las penas, la precisión en la tipificación de conductas y el potencial impacto sobre derechos fundamentales tales como la libertad de expresión, la libertad contractual y expectativas razonables de intimidad financiera. Estas observaciones inciden directamente sobre disposiciones medulares del proyecto y no pueden ser desatendidas por esta Comisión.</w:t>
      </w:r>
    </w:p>
    <w:p w14:paraId="2AF995D0" w14:textId="77777777" w:rsidR="00992BDE" w:rsidRPr="00992BDE" w:rsidRDefault="00992BDE" w:rsidP="00A5140E">
      <w:pPr>
        <w:ind w:firstLine="708"/>
        <w:contextualSpacing/>
        <w:jc w:val="both"/>
        <w:rPr>
          <w:rFonts w:ascii="Book Antiqua" w:hAnsi="Book Antiqua"/>
        </w:rPr>
      </w:pPr>
    </w:p>
    <w:p w14:paraId="5E3D1805" w14:textId="4AE5B5D3" w:rsidR="00992BDE" w:rsidRDefault="00992BDE" w:rsidP="00A5140E">
      <w:pPr>
        <w:ind w:firstLine="708"/>
        <w:contextualSpacing/>
        <w:jc w:val="both"/>
        <w:rPr>
          <w:rFonts w:ascii="Book Antiqua" w:hAnsi="Book Antiqua"/>
        </w:rPr>
      </w:pPr>
      <w:r w:rsidRPr="00992BDE">
        <w:rPr>
          <w:rFonts w:ascii="Book Antiqua" w:hAnsi="Book Antiqua"/>
        </w:rPr>
        <w:t>De igual forma, surgen interrogantes en torno a la amplitud de ciertas facultades administrativas conferidas a la O</w:t>
      </w:r>
      <w:r w:rsidR="004F5C3D">
        <w:rPr>
          <w:rFonts w:ascii="Book Antiqua" w:hAnsi="Book Antiqua"/>
        </w:rPr>
        <w:t>CE</w:t>
      </w:r>
      <w:r w:rsidRPr="00992BDE">
        <w:rPr>
          <w:rFonts w:ascii="Book Antiqua" w:hAnsi="Book Antiqua"/>
        </w:rPr>
        <w:t xml:space="preserve">, la ausencia de mecanismos procesales claramente </w:t>
      </w:r>
      <w:r w:rsidRPr="00992BDE">
        <w:rPr>
          <w:rFonts w:ascii="Book Antiqua" w:hAnsi="Book Antiqua"/>
        </w:rPr>
        <w:lastRenderedPageBreak/>
        <w:t>delineados en la ejecución de órdenes de embargo y retención, y la necesidad de establecer salvaguardas adicionales en materia de confidencialidad y manejo de información sensitiva.</w:t>
      </w:r>
    </w:p>
    <w:p w14:paraId="2EEEADAB" w14:textId="77777777" w:rsidR="00992BDE" w:rsidRPr="00992BDE" w:rsidRDefault="00992BDE" w:rsidP="00A5140E">
      <w:pPr>
        <w:ind w:firstLine="708"/>
        <w:contextualSpacing/>
        <w:jc w:val="both"/>
        <w:rPr>
          <w:rFonts w:ascii="Book Antiqua" w:hAnsi="Book Antiqua"/>
        </w:rPr>
      </w:pPr>
    </w:p>
    <w:p w14:paraId="68CF6A28" w14:textId="1DC40945" w:rsidR="00992BDE" w:rsidRDefault="00992BDE" w:rsidP="00A5140E">
      <w:pPr>
        <w:ind w:firstLine="708"/>
        <w:contextualSpacing/>
        <w:jc w:val="both"/>
        <w:rPr>
          <w:rFonts w:ascii="Book Antiqua" w:hAnsi="Book Antiqua"/>
        </w:rPr>
      </w:pPr>
      <w:r w:rsidRPr="00992BDE">
        <w:rPr>
          <w:rFonts w:ascii="Book Antiqua" w:hAnsi="Book Antiqua"/>
        </w:rPr>
        <w:t>En el aspecto fiscal, la O</w:t>
      </w:r>
      <w:r w:rsidR="004F5C3D">
        <w:rPr>
          <w:rFonts w:ascii="Book Antiqua" w:hAnsi="Book Antiqua"/>
        </w:rPr>
        <w:t>PAL</w:t>
      </w:r>
      <w:r w:rsidRPr="00992BDE">
        <w:rPr>
          <w:rFonts w:ascii="Book Antiqua" w:hAnsi="Book Antiqua"/>
        </w:rPr>
        <w:t xml:space="preserve"> indicó que no puede determinar con precisión el impacto económico de la medida, toda vez que los costos potenciales podrían implicar ajustes presupuestarios adicionales. Esta falta de certeza fiscal, unida a la amplitud de los cambios propuestos, aconseja cautela legislativa.</w:t>
      </w:r>
    </w:p>
    <w:p w14:paraId="4F23E5D7" w14:textId="77777777" w:rsidR="00992BDE" w:rsidRPr="00992BDE" w:rsidRDefault="00992BDE" w:rsidP="00A5140E">
      <w:pPr>
        <w:ind w:firstLine="708"/>
        <w:contextualSpacing/>
        <w:jc w:val="both"/>
        <w:rPr>
          <w:rFonts w:ascii="Book Antiqua" w:hAnsi="Book Antiqua"/>
        </w:rPr>
      </w:pPr>
    </w:p>
    <w:p w14:paraId="78286169" w14:textId="77777777" w:rsidR="00992BDE" w:rsidRDefault="00992BDE" w:rsidP="00A5140E">
      <w:pPr>
        <w:ind w:firstLine="708"/>
        <w:contextualSpacing/>
        <w:jc w:val="both"/>
        <w:rPr>
          <w:rFonts w:ascii="Book Antiqua" w:hAnsi="Book Antiqua"/>
        </w:rPr>
      </w:pPr>
      <w:r w:rsidRPr="00992BDE">
        <w:rPr>
          <w:rFonts w:ascii="Book Antiqua" w:hAnsi="Book Antiqua"/>
        </w:rPr>
        <w:t>La Comisión entiende que el marco regulatorio en materia electoral requiere estabilidad, claridad y certeza jurídica, particularmente cuando se trata de disposiciones que inciden sobre derechos fundamentales y sobre la estructura operativa del proceso democrático. La adopción de reformas de gran alcance sin atender de manera integral las reservas planteadas podría generar litigiosidad innecesaria y dificultades en su implantación.</w:t>
      </w:r>
    </w:p>
    <w:p w14:paraId="2CEB0655" w14:textId="77777777" w:rsidR="00992BDE" w:rsidRPr="00992BDE" w:rsidRDefault="00992BDE" w:rsidP="00A5140E">
      <w:pPr>
        <w:ind w:firstLine="708"/>
        <w:contextualSpacing/>
        <w:jc w:val="both"/>
        <w:rPr>
          <w:rFonts w:ascii="Book Antiqua" w:hAnsi="Book Antiqua"/>
        </w:rPr>
      </w:pPr>
    </w:p>
    <w:p w14:paraId="402DF407" w14:textId="2F19CB7D" w:rsidR="00992BDE" w:rsidRDefault="00992BDE" w:rsidP="00A5140E">
      <w:pPr>
        <w:ind w:firstLine="708"/>
        <w:contextualSpacing/>
        <w:jc w:val="both"/>
        <w:rPr>
          <w:rFonts w:ascii="Book Antiqua" w:hAnsi="Book Antiqua"/>
        </w:rPr>
      </w:pPr>
      <w:r w:rsidRPr="00992BDE">
        <w:rPr>
          <w:rFonts w:ascii="Book Antiqua" w:hAnsi="Book Antiqua"/>
        </w:rPr>
        <w:t>Por las razones antes expuestas, esta Comisión determina que el P</w:t>
      </w:r>
      <w:r w:rsidR="004F5C3D">
        <w:rPr>
          <w:rFonts w:ascii="Book Antiqua" w:hAnsi="Book Antiqua"/>
        </w:rPr>
        <w:t>.</w:t>
      </w:r>
      <w:r w:rsidRPr="00992BDE">
        <w:rPr>
          <w:rFonts w:ascii="Book Antiqua" w:hAnsi="Book Antiqua"/>
        </w:rPr>
        <w:t xml:space="preserve"> de la C</w:t>
      </w:r>
      <w:r w:rsidR="004F5C3D">
        <w:rPr>
          <w:rFonts w:ascii="Book Antiqua" w:hAnsi="Book Antiqua"/>
        </w:rPr>
        <w:t xml:space="preserve">. </w:t>
      </w:r>
      <w:r w:rsidRPr="00992BDE">
        <w:rPr>
          <w:rFonts w:ascii="Book Antiqua" w:hAnsi="Book Antiqua"/>
        </w:rPr>
        <w:t>74 requiere revisiones sustanciales antes de su consideración ulterior.</w:t>
      </w:r>
    </w:p>
    <w:p w14:paraId="00128B03" w14:textId="77777777" w:rsidR="00992BDE" w:rsidRPr="00992BDE" w:rsidRDefault="00992BDE" w:rsidP="00A5140E">
      <w:pPr>
        <w:ind w:firstLine="708"/>
        <w:contextualSpacing/>
        <w:jc w:val="both"/>
        <w:rPr>
          <w:rFonts w:ascii="Book Antiqua" w:hAnsi="Book Antiqua"/>
        </w:rPr>
      </w:pPr>
    </w:p>
    <w:p w14:paraId="3DF78630" w14:textId="77777777" w:rsidR="00992BDE" w:rsidRPr="00992BDE" w:rsidRDefault="00992BDE" w:rsidP="00A5140E">
      <w:pPr>
        <w:ind w:firstLine="708"/>
        <w:contextualSpacing/>
        <w:jc w:val="both"/>
        <w:rPr>
          <w:rFonts w:ascii="Book Antiqua" w:hAnsi="Book Antiqua"/>
        </w:rPr>
      </w:pPr>
      <w:r w:rsidRPr="00992BDE">
        <w:rPr>
          <w:rFonts w:ascii="Book Antiqua" w:hAnsi="Book Antiqua"/>
          <w:b/>
          <w:bCs/>
        </w:rPr>
        <w:t>POR TODO LO ANTES EXPUESTO</w:t>
      </w:r>
      <w:r w:rsidRPr="00992BDE">
        <w:rPr>
          <w:rFonts w:ascii="Book Antiqua" w:hAnsi="Book Antiqua"/>
        </w:rPr>
        <w:t xml:space="preserve">, la Comisión de Gobierno de la Cámara de Representantes de Puerto Rico, previo estudio y análisis, </w:t>
      </w:r>
      <w:r w:rsidRPr="00992BDE">
        <w:rPr>
          <w:rFonts w:ascii="Book Antiqua" w:hAnsi="Book Antiqua"/>
          <w:b/>
          <w:bCs/>
        </w:rPr>
        <w:t>no recomienda la aprobación del P. de la C. 74</w:t>
      </w:r>
      <w:r w:rsidRPr="00992BDE">
        <w:rPr>
          <w:rFonts w:ascii="Book Antiqua" w:hAnsi="Book Antiqua"/>
        </w:rPr>
        <w:t>.</w:t>
      </w:r>
    </w:p>
    <w:p w14:paraId="12A955D2" w14:textId="77777777" w:rsidR="00BF6062" w:rsidRDefault="00BF6062" w:rsidP="00A5140E">
      <w:pPr>
        <w:ind w:firstLine="708"/>
        <w:contextualSpacing/>
        <w:jc w:val="both"/>
        <w:rPr>
          <w:rFonts w:ascii="Book Antiqua" w:hAnsi="Book Antiqua"/>
          <w:b/>
          <w:bCs/>
        </w:rPr>
      </w:pPr>
    </w:p>
    <w:p w14:paraId="2D19FBEB" w14:textId="77777777" w:rsidR="00A5140E" w:rsidRDefault="00A5140E" w:rsidP="00A5140E">
      <w:pPr>
        <w:ind w:firstLine="708"/>
        <w:contextualSpacing/>
        <w:jc w:val="both"/>
        <w:rPr>
          <w:rFonts w:ascii="Book Antiqua" w:hAnsi="Book Antiqua"/>
          <w:b/>
          <w:bCs/>
        </w:rPr>
      </w:pPr>
    </w:p>
    <w:p w14:paraId="5217615F" w14:textId="5999BBF8" w:rsidR="00BF6062" w:rsidRDefault="00BF6062" w:rsidP="00A5140E">
      <w:pPr>
        <w:pStyle w:val="BodyText"/>
        <w:contextualSpacing/>
        <w:jc w:val="left"/>
        <w:rPr>
          <w:rFonts w:ascii="Book Antiqua" w:hAnsi="Book Antiqua"/>
        </w:rPr>
      </w:pPr>
      <w:r>
        <w:rPr>
          <w:rFonts w:ascii="Book Antiqua" w:hAnsi="Book Antiqua"/>
        </w:rPr>
        <w:t>Respetuosamente sometido.</w:t>
      </w:r>
    </w:p>
    <w:p w14:paraId="12D96B15" w14:textId="77777777" w:rsidR="00BF6062" w:rsidRDefault="00BF6062" w:rsidP="00A5140E">
      <w:pPr>
        <w:pStyle w:val="BodyText"/>
        <w:contextualSpacing/>
        <w:jc w:val="left"/>
        <w:rPr>
          <w:rFonts w:ascii="Book Antiqua" w:hAnsi="Book Antiqua"/>
        </w:rPr>
      </w:pPr>
    </w:p>
    <w:p w14:paraId="6EF09EA9" w14:textId="77777777" w:rsidR="00BF6062" w:rsidRDefault="00BF6062" w:rsidP="00A5140E">
      <w:pPr>
        <w:pStyle w:val="BodyText"/>
        <w:contextualSpacing/>
        <w:jc w:val="left"/>
        <w:rPr>
          <w:rFonts w:ascii="Book Antiqua" w:hAnsi="Book Antiqua"/>
        </w:rPr>
      </w:pPr>
    </w:p>
    <w:p w14:paraId="66D271F6" w14:textId="77777777" w:rsidR="00A5140E" w:rsidRDefault="00A5140E" w:rsidP="00A5140E">
      <w:pPr>
        <w:pStyle w:val="BodyText"/>
        <w:contextualSpacing/>
        <w:jc w:val="left"/>
        <w:rPr>
          <w:rFonts w:ascii="Book Antiqua" w:hAnsi="Book Antiqua"/>
        </w:rPr>
      </w:pPr>
    </w:p>
    <w:p w14:paraId="46EA206C" w14:textId="77777777" w:rsidR="00A5140E" w:rsidRPr="0058116F" w:rsidRDefault="00A5140E" w:rsidP="00A5140E">
      <w:pPr>
        <w:pStyle w:val="BodyText"/>
        <w:contextualSpacing/>
        <w:jc w:val="left"/>
        <w:rPr>
          <w:rFonts w:ascii="Book Antiqua" w:hAnsi="Book Antiqua"/>
        </w:rPr>
      </w:pPr>
    </w:p>
    <w:p w14:paraId="5F8D0E18" w14:textId="77777777" w:rsidR="00411D95" w:rsidRPr="0058116F" w:rsidRDefault="00411D95" w:rsidP="00A5140E">
      <w:pPr>
        <w:pStyle w:val="BodyText"/>
        <w:contextualSpacing/>
        <w:jc w:val="left"/>
        <w:rPr>
          <w:rFonts w:ascii="Book Antiqua" w:hAnsi="Book Antiqua"/>
          <w:b/>
          <w:bCs/>
        </w:rPr>
      </w:pPr>
      <w:r w:rsidRPr="0058116F">
        <w:rPr>
          <w:rFonts w:ascii="Book Antiqua" w:hAnsi="Book Antiqua"/>
          <w:b/>
          <w:bCs/>
        </w:rPr>
        <w:t>Hon. Víctor L. Parés-Otero</w:t>
      </w:r>
    </w:p>
    <w:p w14:paraId="4162A93A" w14:textId="77777777" w:rsidR="00411D95" w:rsidRPr="0058116F" w:rsidRDefault="00411D95" w:rsidP="00A5140E">
      <w:pPr>
        <w:pStyle w:val="BodyText"/>
        <w:contextualSpacing/>
        <w:jc w:val="left"/>
        <w:rPr>
          <w:rFonts w:ascii="Book Antiqua" w:hAnsi="Book Antiqua"/>
        </w:rPr>
      </w:pPr>
      <w:r w:rsidRPr="0058116F">
        <w:rPr>
          <w:rFonts w:ascii="Book Antiqua" w:hAnsi="Book Antiqua"/>
        </w:rPr>
        <w:t>Presidente</w:t>
      </w:r>
    </w:p>
    <w:p w14:paraId="0102EF3D" w14:textId="77777777" w:rsidR="00411D95" w:rsidRDefault="00411D95" w:rsidP="00A5140E">
      <w:pPr>
        <w:pStyle w:val="BodyText"/>
        <w:contextualSpacing/>
        <w:jc w:val="left"/>
        <w:rPr>
          <w:rFonts w:ascii="Book Antiqua" w:hAnsi="Book Antiqua"/>
        </w:rPr>
      </w:pPr>
      <w:r w:rsidRPr="0058116F">
        <w:rPr>
          <w:rFonts w:ascii="Book Antiqua" w:hAnsi="Book Antiqua"/>
        </w:rPr>
        <w:t>Comisión de Gobierno</w:t>
      </w:r>
    </w:p>
    <w:p w14:paraId="68A0B07A" w14:textId="77777777" w:rsidR="00411D95" w:rsidRDefault="00411D95" w:rsidP="00A5140E">
      <w:pPr>
        <w:contextualSpacing/>
      </w:pPr>
    </w:p>
    <w:p w14:paraId="779F36CC" w14:textId="77777777" w:rsidR="00411D95" w:rsidRDefault="00411D95" w:rsidP="00A5140E">
      <w:pPr>
        <w:contextualSpacing/>
      </w:pPr>
    </w:p>
    <w:p w14:paraId="32062CCB" w14:textId="77777777" w:rsidR="00411D95" w:rsidRDefault="00411D95" w:rsidP="00A5140E">
      <w:pPr>
        <w:contextualSpacing/>
      </w:pPr>
    </w:p>
    <w:p w14:paraId="06962EAE" w14:textId="77777777" w:rsidR="00411D95" w:rsidRDefault="00411D95" w:rsidP="00A5140E">
      <w:pPr>
        <w:contextualSpacing/>
      </w:pPr>
    </w:p>
    <w:sectPr w:rsidR="00411D95" w:rsidSect="00411D95">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ECB745" w14:textId="77777777" w:rsidR="009122B6" w:rsidRDefault="009122B6" w:rsidP="004A5A22">
      <w:r>
        <w:separator/>
      </w:r>
    </w:p>
  </w:endnote>
  <w:endnote w:type="continuationSeparator" w:id="0">
    <w:p w14:paraId="702D75EA" w14:textId="77777777" w:rsidR="009122B6" w:rsidRDefault="009122B6" w:rsidP="004A5A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0795981"/>
      <w:docPartObj>
        <w:docPartGallery w:val="Page Numbers (Bottom of Page)"/>
        <w:docPartUnique/>
      </w:docPartObj>
    </w:sdtPr>
    <w:sdtEndPr/>
    <w:sdtContent>
      <w:p w14:paraId="0D7CF475" w14:textId="77777777" w:rsidR="00411D95" w:rsidRDefault="00411D95">
        <w:pPr>
          <w:pStyle w:val="Footer"/>
          <w:jc w:val="center"/>
        </w:pPr>
        <w:r>
          <w:fldChar w:fldCharType="begin"/>
        </w:r>
        <w:r>
          <w:instrText>PAGE   \* MERGEFORMAT</w:instrText>
        </w:r>
        <w:r>
          <w:fldChar w:fldCharType="separate"/>
        </w:r>
        <w:r>
          <w:rPr>
            <w:lang w:val="es-ES"/>
          </w:rPr>
          <w:t>2</w:t>
        </w:r>
        <w:r>
          <w:fldChar w:fldCharType="end"/>
        </w:r>
      </w:p>
    </w:sdtContent>
  </w:sdt>
  <w:p w14:paraId="0DBAE022" w14:textId="77777777" w:rsidR="00411D95" w:rsidRDefault="00411D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CD122A" w14:textId="77777777" w:rsidR="009122B6" w:rsidRDefault="009122B6" w:rsidP="004A5A22">
      <w:r>
        <w:separator/>
      </w:r>
    </w:p>
  </w:footnote>
  <w:footnote w:type="continuationSeparator" w:id="0">
    <w:p w14:paraId="69CF75B6" w14:textId="77777777" w:rsidR="009122B6" w:rsidRDefault="009122B6" w:rsidP="004A5A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124D0" w14:textId="77777777" w:rsidR="00411D95" w:rsidRDefault="00411D95" w:rsidP="00C45CE3">
    <w:pPr>
      <w:pStyle w:val="Header"/>
      <w:rPr>
        <w:rFonts w:ascii="Book Antiqua" w:hAnsi="Book Antiqua"/>
        <w:sz w:val="20"/>
        <w:szCs w:val="20"/>
      </w:rPr>
    </w:pPr>
    <w:r>
      <w:rPr>
        <w:rFonts w:ascii="Book Antiqua" w:hAnsi="Book Antiqua"/>
        <w:sz w:val="20"/>
        <w:szCs w:val="20"/>
      </w:rPr>
      <w:t>Informe Negativo</w:t>
    </w:r>
  </w:p>
  <w:p w14:paraId="0B1E1AD4" w14:textId="15D07E9C" w:rsidR="00411D95" w:rsidRDefault="00411D95" w:rsidP="00C45CE3">
    <w:pPr>
      <w:pStyle w:val="Header"/>
      <w:rPr>
        <w:rFonts w:ascii="Book Antiqua" w:hAnsi="Book Antiqua"/>
        <w:sz w:val="20"/>
        <w:szCs w:val="20"/>
      </w:rPr>
    </w:pPr>
    <w:r>
      <w:rPr>
        <w:rFonts w:ascii="Book Antiqua" w:hAnsi="Book Antiqua"/>
        <w:sz w:val="20"/>
        <w:szCs w:val="20"/>
      </w:rPr>
      <w:t>P. de la C. 7</w:t>
    </w:r>
    <w:r w:rsidR="004A5A22">
      <w:rPr>
        <w:rFonts w:ascii="Book Antiqua" w:hAnsi="Book Antiqua"/>
        <w:sz w:val="20"/>
        <w:szCs w:val="20"/>
      </w:rPr>
      <w:t>4</w:t>
    </w:r>
  </w:p>
  <w:p w14:paraId="1CF7F3A3" w14:textId="77777777" w:rsidR="00411D95" w:rsidRPr="005A4616" w:rsidRDefault="00411D95" w:rsidP="00C45CE3">
    <w:pPr>
      <w:pStyle w:val="Header"/>
      <w:rPr>
        <w:rFonts w:ascii="Book Antiqua" w:hAnsi="Book Antiqua"/>
        <w:sz w:val="20"/>
        <w:szCs w:val="20"/>
      </w:rPr>
    </w:pPr>
    <w:r>
      <w:rPr>
        <w:rFonts w:ascii="Book Antiqua" w:hAnsi="Book Antiqua"/>
        <w:sz w:val="20"/>
        <w:szCs w:val="20"/>
      </w:rPr>
      <w:t>Comisión de Gobierno</w:t>
    </w:r>
  </w:p>
  <w:p w14:paraId="6F4A65AA" w14:textId="77777777" w:rsidR="00411D95" w:rsidRDefault="00411D95">
    <w:pPr>
      <w:pStyle w:val="Header"/>
    </w:pPr>
  </w:p>
  <w:p w14:paraId="142B2678" w14:textId="77777777" w:rsidR="00411D95" w:rsidRDefault="00411D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D8400F"/>
    <w:multiLevelType w:val="hybridMultilevel"/>
    <w:tmpl w:val="DCEABBB8"/>
    <w:lvl w:ilvl="0" w:tplc="FFFFFFFF">
      <w:start w:val="1"/>
      <w:numFmt w:val="decimal"/>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1" w15:restartNumberingAfterBreak="0">
    <w:nsid w:val="77B813F5"/>
    <w:multiLevelType w:val="hybridMultilevel"/>
    <w:tmpl w:val="017C4232"/>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num w:numId="1" w16cid:durableId="87889336">
    <w:abstractNumId w:val="1"/>
  </w:num>
  <w:num w:numId="2" w16cid:durableId="9803054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D95"/>
    <w:rsid w:val="0003230D"/>
    <w:rsid w:val="00041BD2"/>
    <w:rsid w:val="000575E3"/>
    <w:rsid w:val="00067825"/>
    <w:rsid w:val="000F3628"/>
    <w:rsid w:val="0010717F"/>
    <w:rsid w:val="00164D76"/>
    <w:rsid w:val="001A5951"/>
    <w:rsid w:val="00207E60"/>
    <w:rsid w:val="002103FA"/>
    <w:rsid w:val="00252D53"/>
    <w:rsid w:val="00371C44"/>
    <w:rsid w:val="00400832"/>
    <w:rsid w:val="00411D95"/>
    <w:rsid w:val="0043489E"/>
    <w:rsid w:val="004846B9"/>
    <w:rsid w:val="004A5A22"/>
    <w:rsid w:val="004F5C3D"/>
    <w:rsid w:val="00500DF9"/>
    <w:rsid w:val="00520BCA"/>
    <w:rsid w:val="00542EB9"/>
    <w:rsid w:val="0055506B"/>
    <w:rsid w:val="005A7F6B"/>
    <w:rsid w:val="00601B6D"/>
    <w:rsid w:val="00607358"/>
    <w:rsid w:val="00621302"/>
    <w:rsid w:val="00636D57"/>
    <w:rsid w:val="006455E2"/>
    <w:rsid w:val="006509DA"/>
    <w:rsid w:val="00654B8D"/>
    <w:rsid w:val="006704A8"/>
    <w:rsid w:val="006743C2"/>
    <w:rsid w:val="006C0443"/>
    <w:rsid w:val="006F74B7"/>
    <w:rsid w:val="00704976"/>
    <w:rsid w:val="00734BD6"/>
    <w:rsid w:val="007763F6"/>
    <w:rsid w:val="00795A13"/>
    <w:rsid w:val="007C2097"/>
    <w:rsid w:val="007C6972"/>
    <w:rsid w:val="007D48FB"/>
    <w:rsid w:val="007E0DD8"/>
    <w:rsid w:val="007E22AC"/>
    <w:rsid w:val="007F410E"/>
    <w:rsid w:val="00842D15"/>
    <w:rsid w:val="0087294B"/>
    <w:rsid w:val="0089702C"/>
    <w:rsid w:val="008A037D"/>
    <w:rsid w:val="008A35C9"/>
    <w:rsid w:val="008C2639"/>
    <w:rsid w:val="0090239C"/>
    <w:rsid w:val="009122B6"/>
    <w:rsid w:val="00934C7A"/>
    <w:rsid w:val="009417AB"/>
    <w:rsid w:val="00992BDE"/>
    <w:rsid w:val="009F6038"/>
    <w:rsid w:val="00A5140E"/>
    <w:rsid w:val="00A55B64"/>
    <w:rsid w:val="00A604E5"/>
    <w:rsid w:val="00A67C6A"/>
    <w:rsid w:val="00AA4116"/>
    <w:rsid w:val="00AE7807"/>
    <w:rsid w:val="00B12465"/>
    <w:rsid w:val="00B23B44"/>
    <w:rsid w:val="00B57CE2"/>
    <w:rsid w:val="00B67763"/>
    <w:rsid w:val="00BC2C9D"/>
    <w:rsid w:val="00BF6062"/>
    <w:rsid w:val="00C128E8"/>
    <w:rsid w:val="00C94956"/>
    <w:rsid w:val="00CE5CD7"/>
    <w:rsid w:val="00D108FE"/>
    <w:rsid w:val="00D64BA6"/>
    <w:rsid w:val="00D80E8F"/>
    <w:rsid w:val="00DB55C6"/>
    <w:rsid w:val="00DC6EB2"/>
    <w:rsid w:val="00DF70E1"/>
    <w:rsid w:val="00E104E5"/>
    <w:rsid w:val="00E1258A"/>
    <w:rsid w:val="00E43D46"/>
    <w:rsid w:val="00E60C12"/>
    <w:rsid w:val="00EA25B7"/>
    <w:rsid w:val="00ED2A0E"/>
    <w:rsid w:val="00F0295A"/>
    <w:rsid w:val="00FB5593"/>
    <w:rsid w:val="00FD089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A1BB2"/>
  <w15:chartTrackingRefBased/>
  <w15:docId w15:val="{B1EC52B1-9F66-48B1-8889-801663739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D95"/>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411D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11D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1D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1D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1D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1D9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1D9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1D9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1D9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1D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11D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1D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1D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1D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1D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1D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1D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1D95"/>
    <w:rPr>
      <w:rFonts w:eastAsiaTheme="majorEastAsia" w:cstheme="majorBidi"/>
      <w:color w:val="272727" w:themeColor="text1" w:themeTint="D8"/>
    </w:rPr>
  </w:style>
  <w:style w:type="paragraph" w:styleId="Title">
    <w:name w:val="Title"/>
    <w:basedOn w:val="Normal"/>
    <w:next w:val="Normal"/>
    <w:link w:val="TitleChar"/>
    <w:uiPriority w:val="10"/>
    <w:qFormat/>
    <w:rsid w:val="00411D9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1D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1D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1D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1D95"/>
    <w:pPr>
      <w:spacing w:before="160"/>
      <w:jc w:val="center"/>
    </w:pPr>
    <w:rPr>
      <w:i/>
      <w:iCs/>
      <w:color w:val="404040" w:themeColor="text1" w:themeTint="BF"/>
    </w:rPr>
  </w:style>
  <w:style w:type="character" w:customStyle="1" w:styleId="QuoteChar">
    <w:name w:val="Quote Char"/>
    <w:basedOn w:val="DefaultParagraphFont"/>
    <w:link w:val="Quote"/>
    <w:uiPriority w:val="29"/>
    <w:rsid w:val="00411D95"/>
    <w:rPr>
      <w:i/>
      <w:iCs/>
      <w:color w:val="404040" w:themeColor="text1" w:themeTint="BF"/>
    </w:rPr>
  </w:style>
  <w:style w:type="paragraph" w:styleId="ListParagraph">
    <w:name w:val="List Paragraph"/>
    <w:basedOn w:val="Normal"/>
    <w:uiPriority w:val="34"/>
    <w:qFormat/>
    <w:rsid w:val="00411D95"/>
    <w:pPr>
      <w:ind w:left="720"/>
      <w:contextualSpacing/>
    </w:pPr>
  </w:style>
  <w:style w:type="character" w:styleId="IntenseEmphasis">
    <w:name w:val="Intense Emphasis"/>
    <w:basedOn w:val="DefaultParagraphFont"/>
    <w:uiPriority w:val="21"/>
    <w:qFormat/>
    <w:rsid w:val="00411D95"/>
    <w:rPr>
      <w:i/>
      <w:iCs/>
      <w:color w:val="0F4761" w:themeColor="accent1" w:themeShade="BF"/>
    </w:rPr>
  </w:style>
  <w:style w:type="paragraph" w:styleId="IntenseQuote">
    <w:name w:val="Intense Quote"/>
    <w:basedOn w:val="Normal"/>
    <w:next w:val="Normal"/>
    <w:link w:val="IntenseQuoteChar"/>
    <w:uiPriority w:val="30"/>
    <w:qFormat/>
    <w:rsid w:val="00411D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1D95"/>
    <w:rPr>
      <w:i/>
      <w:iCs/>
      <w:color w:val="0F4761" w:themeColor="accent1" w:themeShade="BF"/>
    </w:rPr>
  </w:style>
  <w:style w:type="character" w:styleId="IntenseReference">
    <w:name w:val="Intense Reference"/>
    <w:basedOn w:val="DefaultParagraphFont"/>
    <w:uiPriority w:val="32"/>
    <w:qFormat/>
    <w:rsid w:val="00411D95"/>
    <w:rPr>
      <w:b/>
      <w:bCs/>
      <w:smallCaps/>
      <w:color w:val="0F4761" w:themeColor="accent1" w:themeShade="BF"/>
      <w:spacing w:val="5"/>
    </w:rPr>
  </w:style>
  <w:style w:type="paragraph" w:customStyle="1" w:styleId="Title2">
    <w:name w:val="Title2"/>
    <w:basedOn w:val="Normal"/>
    <w:next w:val="Normal"/>
    <w:rsid w:val="00411D95"/>
    <w:pPr>
      <w:autoSpaceDE w:val="0"/>
      <w:autoSpaceDN w:val="0"/>
      <w:adjustRightInd w:val="0"/>
    </w:pPr>
    <w:rPr>
      <w:sz w:val="20"/>
      <w:lang w:val="en-US"/>
    </w:rPr>
  </w:style>
  <w:style w:type="paragraph" w:styleId="BodyText">
    <w:name w:val="Body Text"/>
    <w:basedOn w:val="Normal"/>
    <w:link w:val="BodyTextChar"/>
    <w:uiPriority w:val="99"/>
    <w:rsid w:val="00411D95"/>
    <w:pPr>
      <w:jc w:val="both"/>
    </w:pPr>
    <w:rPr>
      <w:lang w:eastAsia="x-none"/>
    </w:rPr>
  </w:style>
  <w:style w:type="character" w:customStyle="1" w:styleId="BodyTextChar">
    <w:name w:val="Body Text Char"/>
    <w:basedOn w:val="DefaultParagraphFont"/>
    <w:link w:val="BodyText"/>
    <w:uiPriority w:val="99"/>
    <w:rsid w:val="00411D95"/>
    <w:rPr>
      <w:rFonts w:ascii="Times New Roman" w:eastAsia="Times New Roman" w:hAnsi="Times New Roman" w:cs="Times New Roman"/>
      <w:kern w:val="0"/>
      <w:lang w:eastAsia="x-none"/>
      <w14:ligatures w14:val="none"/>
    </w:rPr>
  </w:style>
  <w:style w:type="paragraph" w:styleId="Header">
    <w:name w:val="header"/>
    <w:basedOn w:val="Normal"/>
    <w:link w:val="HeaderChar"/>
    <w:uiPriority w:val="99"/>
    <w:unhideWhenUsed/>
    <w:rsid w:val="00411D95"/>
    <w:pPr>
      <w:tabs>
        <w:tab w:val="center" w:pos="4680"/>
        <w:tab w:val="right" w:pos="9360"/>
      </w:tabs>
    </w:pPr>
  </w:style>
  <w:style w:type="character" w:customStyle="1" w:styleId="HeaderChar">
    <w:name w:val="Header Char"/>
    <w:basedOn w:val="DefaultParagraphFont"/>
    <w:link w:val="Header"/>
    <w:uiPriority w:val="99"/>
    <w:rsid w:val="00411D95"/>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411D95"/>
    <w:pPr>
      <w:tabs>
        <w:tab w:val="center" w:pos="4680"/>
        <w:tab w:val="right" w:pos="9360"/>
      </w:tabs>
    </w:pPr>
  </w:style>
  <w:style w:type="character" w:customStyle="1" w:styleId="FooterChar">
    <w:name w:val="Footer Char"/>
    <w:basedOn w:val="DefaultParagraphFont"/>
    <w:link w:val="Footer"/>
    <w:uiPriority w:val="99"/>
    <w:rsid w:val="00411D95"/>
    <w:rPr>
      <w:rFonts w:ascii="Times New Roman" w:eastAsia="Times New Roman" w:hAnsi="Times New Roman" w:cs="Times New Roman"/>
      <w:kern w:val="0"/>
      <w14:ligatures w14:val="none"/>
    </w:rPr>
  </w:style>
  <w:style w:type="character" w:styleId="PlaceholderText">
    <w:name w:val="Placeholder Text"/>
    <w:basedOn w:val="DefaultParagraphFont"/>
    <w:uiPriority w:val="99"/>
    <w:semiHidden/>
    <w:rsid w:val="00A604E5"/>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2319</Words>
  <Characters>13035</Characters>
  <Application>Microsoft Office Word</Application>
  <DocSecurity>4</DocSecurity>
  <Lines>283</Lines>
  <Paragraphs>79</Paragraphs>
  <ScaleCrop>false</ScaleCrop>
  <HeadingPairs>
    <vt:vector size="4" baseType="variant">
      <vt:variant>
        <vt:lpstr>Título</vt:lpstr>
      </vt:variant>
      <vt:variant>
        <vt:i4>1</vt:i4>
      </vt:variant>
      <vt:variant>
        <vt:lpstr>Títulos</vt:lpstr>
      </vt:variant>
      <vt:variant>
        <vt:i4>4</vt:i4>
      </vt:variant>
    </vt:vector>
  </HeadingPairs>
  <TitlesOfParts>
    <vt:vector size="5" baseType="lpstr">
      <vt:lpstr/>
      <vt:lpstr>INFORME NEGATIVO</vt:lpstr>
      <vt:lpstr>    La Comisión de Gobierno de la Cámara de Representantes, tras un estudio y anális</vt:lpstr>
      <vt:lpstr>    </vt:lpstr>
      <vt:lpstr>    ALCANCE DE LA MEDIDA</vt:lpstr>
    </vt:vector>
  </TitlesOfParts>
  <Company/>
  <LinksUpToDate>false</LinksUpToDate>
  <CharactersWithSpaces>15275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dcterms:created xsi:type="dcterms:W3CDTF">2026-02-26T17:56:00Z</dcterms:created>
  <dcterms:modified xsi:type="dcterms:W3CDTF">2026-02-26T17:56:00Z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a7f199a4-e010-4b7c-b615-48b5e2a73726</vt:lpwstr>
  </property>
</Properties>
</file>