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83AA5" w14:textId="5EF3ABFC" w:rsidR="009D53A4" w:rsidRPr="009D53A4" w:rsidRDefault="00594B87" w:rsidP="009D53A4">
      <w:pPr>
        <w:jc w:val="center"/>
        <w:rPr>
          <w:rFonts w:ascii="Book Antiqua" w:hAnsi="Book Antiqua"/>
          <w:sz w:val="28"/>
          <w:szCs w:val="28"/>
          <w:lang w:val="es-ES_tradnl"/>
        </w:rPr>
      </w:pPr>
      <w:r>
        <w:rPr>
          <w:rFonts w:ascii="Book Antiqua" w:hAnsi="Book Antiqua"/>
          <w:sz w:val="28"/>
          <w:szCs w:val="28"/>
          <w:lang w:val="es-ES_tradnl"/>
        </w:rPr>
        <w:t>GOBIERNO</w:t>
      </w:r>
      <w:r w:rsidR="009D53A4" w:rsidRPr="009D53A4">
        <w:rPr>
          <w:rFonts w:ascii="Book Antiqua" w:hAnsi="Book Antiqua"/>
          <w:sz w:val="28"/>
          <w:szCs w:val="28"/>
          <w:lang w:val="es-ES_tradnl"/>
        </w:rPr>
        <w:t xml:space="preserve"> DE PUERTO RICO</w:t>
      </w:r>
    </w:p>
    <w:p w14:paraId="666EC9E5" w14:textId="77777777" w:rsidR="009D53A4" w:rsidRPr="009D53A4" w:rsidRDefault="009D53A4" w:rsidP="009D53A4">
      <w:pPr>
        <w:jc w:val="center"/>
        <w:rPr>
          <w:rFonts w:ascii="Book Antiqua" w:hAnsi="Book Antiqua"/>
          <w:lang w:val="es-ES_tradnl"/>
        </w:rPr>
      </w:pPr>
    </w:p>
    <w:p w14:paraId="43443D11" w14:textId="0FDF9086" w:rsidR="009D53A4" w:rsidRPr="009D53A4" w:rsidRDefault="00594B87" w:rsidP="009D53A4">
      <w:pPr>
        <w:tabs>
          <w:tab w:val="left" w:pos="648"/>
          <w:tab w:val="left" w:pos="7848"/>
        </w:tabs>
        <w:rPr>
          <w:rFonts w:ascii="Book Antiqua" w:hAnsi="Book Antiqua"/>
          <w:lang w:val="es-ES_tradnl"/>
        </w:rPr>
      </w:pPr>
      <w:r>
        <w:rPr>
          <w:rFonts w:ascii="Book Antiqua" w:hAnsi="Book Antiqua"/>
          <w:lang w:val="es-ES_tradnl"/>
        </w:rPr>
        <w:t>20m</w:t>
      </w:r>
      <w:r w:rsidR="009D53A4" w:rsidRPr="009D53A4">
        <w:rPr>
          <w:rFonts w:ascii="Book Antiqua" w:hAnsi="Book Antiqua"/>
          <w:lang w:val="es-ES_tradnl"/>
        </w:rPr>
        <w:t>a. Asamblea</w:t>
      </w:r>
      <w:r w:rsidR="009D53A4" w:rsidRPr="009D53A4">
        <w:rPr>
          <w:rFonts w:ascii="Book Antiqua" w:hAnsi="Book Antiqua"/>
          <w:lang w:val="es-ES_tradnl"/>
        </w:rPr>
        <w:tab/>
      </w:r>
      <w:r>
        <w:rPr>
          <w:rFonts w:ascii="Book Antiqua" w:hAnsi="Book Antiqua"/>
          <w:lang w:val="es-ES_tradnl"/>
        </w:rPr>
        <w:t>1r</w:t>
      </w:r>
      <w:r w:rsidR="009D53A4" w:rsidRPr="009D53A4">
        <w:rPr>
          <w:rFonts w:ascii="Book Antiqua" w:hAnsi="Book Antiqua"/>
          <w:lang w:val="es-ES_tradnl"/>
        </w:rPr>
        <w:t>a. Sesión</w:t>
      </w:r>
    </w:p>
    <w:p w14:paraId="2BE79E14" w14:textId="77777777" w:rsidR="009D53A4" w:rsidRPr="009D53A4" w:rsidRDefault="009D53A4" w:rsidP="009D53A4">
      <w:pPr>
        <w:tabs>
          <w:tab w:val="left" w:pos="648"/>
          <w:tab w:val="left" w:pos="7848"/>
        </w:tabs>
        <w:rPr>
          <w:rFonts w:ascii="Book Antiqua" w:hAnsi="Book Antiqua"/>
          <w:lang w:val="es-ES_tradnl"/>
        </w:rPr>
      </w:pPr>
      <w:r w:rsidRPr="009D53A4">
        <w:rPr>
          <w:rFonts w:ascii="Book Antiqua" w:hAnsi="Book Antiqua"/>
          <w:lang w:val="es-ES_tradnl"/>
        </w:rPr>
        <w:tab/>
        <w:t>Legislativa</w:t>
      </w:r>
      <w:r w:rsidRPr="009D53A4">
        <w:rPr>
          <w:rFonts w:ascii="Book Antiqua" w:hAnsi="Book Antiqua"/>
          <w:lang w:val="es-ES_tradnl"/>
        </w:rPr>
        <w:tab/>
      </w:r>
      <w:r w:rsidRPr="009D53A4">
        <w:rPr>
          <w:rFonts w:ascii="Book Antiqua" w:hAnsi="Book Antiqua"/>
          <w:lang w:val="es-ES_tradnl"/>
        </w:rPr>
        <w:tab/>
        <w:t xml:space="preserve">      Ordinaria</w:t>
      </w:r>
    </w:p>
    <w:p w14:paraId="6FA82421" w14:textId="77777777" w:rsidR="009D53A4" w:rsidRPr="009D53A4" w:rsidRDefault="009D53A4" w:rsidP="009D53A4">
      <w:pPr>
        <w:rPr>
          <w:rFonts w:ascii="Book Antiqua" w:hAnsi="Book Antiqua"/>
          <w:lang w:val="es-ES"/>
        </w:rPr>
      </w:pPr>
    </w:p>
    <w:p w14:paraId="207EEF0A" w14:textId="77777777" w:rsidR="009D53A4" w:rsidRPr="009D53A4" w:rsidRDefault="009D53A4" w:rsidP="009D53A4">
      <w:pPr>
        <w:jc w:val="center"/>
        <w:rPr>
          <w:rFonts w:ascii="Book Antiqua" w:hAnsi="Book Antiqua"/>
          <w:b/>
          <w:sz w:val="36"/>
          <w:szCs w:val="36"/>
          <w:lang w:val="es-ES"/>
        </w:rPr>
      </w:pPr>
      <w:r w:rsidRPr="009D53A4">
        <w:rPr>
          <w:rFonts w:ascii="Book Antiqua" w:hAnsi="Book Antiqua"/>
          <w:b/>
          <w:sz w:val="36"/>
          <w:szCs w:val="36"/>
          <w:lang w:val="es-ES"/>
        </w:rPr>
        <w:t>CÁMARA DE REPRESENTANTES</w:t>
      </w:r>
    </w:p>
    <w:p w14:paraId="40A51F96" w14:textId="77777777" w:rsidR="009D53A4" w:rsidRPr="009D53A4" w:rsidRDefault="009D53A4" w:rsidP="009D53A4">
      <w:pPr>
        <w:jc w:val="center"/>
        <w:rPr>
          <w:rFonts w:ascii="Book Antiqua" w:hAnsi="Book Antiqua"/>
          <w:b/>
          <w:szCs w:val="36"/>
          <w:lang w:val="es-ES"/>
        </w:rPr>
      </w:pPr>
    </w:p>
    <w:p w14:paraId="19B985E0" w14:textId="7207541D" w:rsidR="009D53A4" w:rsidRPr="009D53A4" w:rsidRDefault="009D53A4" w:rsidP="009D53A4">
      <w:pPr>
        <w:jc w:val="center"/>
        <w:rPr>
          <w:rFonts w:ascii="Book Antiqua" w:hAnsi="Book Antiqua"/>
          <w:b/>
          <w:sz w:val="52"/>
          <w:szCs w:val="52"/>
          <w:lang w:val="es-ES_tradnl"/>
        </w:rPr>
      </w:pPr>
      <w:r w:rsidRPr="009D53A4">
        <w:rPr>
          <w:rFonts w:ascii="Book Antiqua" w:hAnsi="Book Antiqua"/>
          <w:b/>
          <w:sz w:val="52"/>
          <w:szCs w:val="52"/>
          <w:lang w:val="es-ES_tradnl"/>
        </w:rPr>
        <w:t xml:space="preserve">P. de la C. </w:t>
      </w:r>
      <w:r w:rsidR="00703889">
        <w:rPr>
          <w:rFonts w:ascii="Book Antiqua" w:hAnsi="Book Antiqua"/>
          <w:b/>
          <w:sz w:val="52"/>
          <w:szCs w:val="52"/>
          <w:lang w:val="es-ES_tradnl"/>
        </w:rPr>
        <w:t>75</w:t>
      </w:r>
    </w:p>
    <w:p w14:paraId="03A5E956" w14:textId="77777777" w:rsidR="00111306" w:rsidRDefault="00111306" w:rsidP="00111306">
      <w:pPr>
        <w:jc w:val="center"/>
        <w:rPr>
          <w:rFonts w:ascii="Book Antiqua" w:hAnsi="Book Antiqua"/>
          <w:lang w:val="es-ES_tradnl"/>
        </w:rPr>
      </w:pPr>
    </w:p>
    <w:p w14:paraId="73CE9CE3" w14:textId="03D5B819" w:rsidR="00240D0A" w:rsidRDefault="00084515" w:rsidP="00DF60A1">
      <w:pPr>
        <w:jc w:val="center"/>
        <w:rPr>
          <w:rFonts w:ascii="Book Antiqua" w:hAnsi="Book Antiqua"/>
          <w:lang w:val="es-ES_tradnl"/>
        </w:rPr>
      </w:pPr>
      <w:r>
        <w:rPr>
          <w:rFonts w:ascii="Book Antiqua" w:hAnsi="Book Antiqua"/>
          <w:lang w:val="es-ES_tradnl"/>
        </w:rPr>
        <w:t>2 DE ENERO DE 2025</w:t>
      </w:r>
    </w:p>
    <w:p w14:paraId="6AD96C04" w14:textId="77777777" w:rsidR="00240D0A" w:rsidRDefault="00240D0A" w:rsidP="00DF60A1">
      <w:pPr>
        <w:jc w:val="center"/>
        <w:rPr>
          <w:rFonts w:ascii="Book Antiqua" w:hAnsi="Book Antiqua"/>
          <w:lang w:val="es-ES_tradnl"/>
        </w:rPr>
      </w:pPr>
    </w:p>
    <w:p w14:paraId="63D9C6CC" w14:textId="7C09CACB" w:rsidR="00DF60A1" w:rsidRPr="00DF60A1" w:rsidRDefault="007B4F57" w:rsidP="00DF60A1">
      <w:pPr>
        <w:jc w:val="center"/>
        <w:rPr>
          <w:rFonts w:ascii="Book Antiqua" w:hAnsi="Book Antiqua"/>
          <w:i/>
          <w:iCs/>
          <w:lang w:val="es-ES_tradnl"/>
        </w:rPr>
      </w:pPr>
      <w:r>
        <w:rPr>
          <w:rFonts w:ascii="Book Antiqua" w:hAnsi="Book Antiqua"/>
          <w:lang w:val="es-ES_tradnl"/>
        </w:rPr>
        <w:t>Presentad</w:t>
      </w:r>
      <w:r w:rsidR="005F4FA4">
        <w:rPr>
          <w:rFonts w:ascii="Book Antiqua" w:hAnsi="Book Antiqua"/>
          <w:lang w:val="es-ES_tradnl"/>
        </w:rPr>
        <w:t>o</w:t>
      </w:r>
      <w:r>
        <w:rPr>
          <w:rFonts w:ascii="Book Antiqua" w:hAnsi="Book Antiqua"/>
          <w:lang w:val="es-ES_tradnl"/>
        </w:rPr>
        <w:t xml:space="preserve"> por </w:t>
      </w:r>
      <w:r w:rsidR="009C3950">
        <w:rPr>
          <w:rFonts w:ascii="Book Antiqua" w:hAnsi="Book Antiqua"/>
          <w:lang w:val="es-ES_tradnl"/>
        </w:rPr>
        <w:t>el</w:t>
      </w:r>
      <w:r>
        <w:rPr>
          <w:rFonts w:ascii="Book Antiqua" w:hAnsi="Book Antiqua"/>
          <w:lang w:val="es-ES_tradnl"/>
        </w:rPr>
        <w:t xml:space="preserve"> representante </w:t>
      </w:r>
      <w:r w:rsidR="00DF60A1">
        <w:rPr>
          <w:rFonts w:ascii="Book Antiqua" w:hAnsi="Book Antiqua"/>
          <w:i/>
          <w:iCs/>
          <w:lang w:val="es-ES_tradnl"/>
        </w:rPr>
        <w:t xml:space="preserve">Varela </w:t>
      </w:r>
      <w:r w:rsidR="0062161F">
        <w:rPr>
          <w:rFonts w:ascii="Book Antiqua" w:hAnsi="Book Antiqua"/>
          <w:i/>
          <w:iCs/>
          <w:lang w:val="es-ES_tradnl"/>
        </w:rPr>
        <w:t>Fernández</w:t>
      </w:r>
    </w:p>
    <w:p w14:paraId="70E134EF" w14:textId="77777777" w:rsidR="00111306" w:rsidRDefault="00111306" w:rsidP="00111306">
      <w:pPr>
        <w:jc w:val="center"/>
        <w:rPr>
          <w:rFonts w:ascii="Book Antiqua" w:hAnsi="Book Antiqua"/>
          <w:lang w:val="es-ES_tradnl"/>
        </w:rPr>
      </w:pPr>
    </w:p>
    <w:p w14:paraId="0AB8BB8D" w14:textId="3C7A59C1" w:rsidR="007B4F57" w:rsidRDefault="007B4F57" w:rsidP="00111306">
      <w:pPr>
        <w:jc w:val="center"/>
        <w:rPr>
          <w:rFonts w:ascii="Book Antiqua" w:hAnsi="Book Antiqua"/>
          <w:lang w:val="es-ES_tradnl"/>
        </w:rPr>
      </w:pPr>
      <w:r>
        <w:rPr>
          <w:rFonts w:ascii="Book Antiqua" w:hAnsi="Book Antiqua"/>
          <w:lang w:val="es-ES_tradnl"/>
        </w:rPr>
        <w:t>Referid</w:t>
      </w:r>
      <w:r w:rsidR="005F4FA4">
        <w:rPr>
          <w:rFonts w:ascii="Book Antiqua" w:hAnsi="Book Antiqua"/>
          <w:lang w:val="es-ES_tradnl"/>
        </w:rPr>
        <w:t>o</w:t>
      </w:r>
      <w:r>
        <w:rPr>
          <w:rFonts w:ascii="Book Antiqua" w:hAnsi="Book Antiqua"/>
          <w:lang w:val="es-ES_tradnl"/>
        </w:rPr>
        <w:t xml:space="preserve"> a </w:t>
      </w:r>
      <w:r w:rsidR="00084515">
        <w:rPr>
          <w:rFonts w:ascii="Book Antiqua" w:hAnsi="Book Antiqua"/>
          <w:lang w:val="es-ES_tradnl"/>
        </w:rPr>
        <w:t>la Comisión de lo Jurídico</w:t>
      </w:r>
    </w:p>
    <w:p w14:paraId="6BFFB41C" w14:textId="77777777" w:rsidR="007B4F57" w:rsidRDefault="007B4F57" w:rsidP="00111306">
      <w:pPr>
        <w:jc w:val="both"/>
        <w:rPr>
          <w:rFonts w:ascii="Book Antiqua" w:hAnsi="Book Antiqua"/>
          <w:lang w:val="es-ES_tradnl"/>
        </w:rPr>
      </w:pPr>
    </w:p>
    <w:p w14:paraId="4BAD9699" w14:textId="7368503B" w:rsidR="007B4F57" w:rsidRDefault="00084515" w:rsidP="00111306">
      <w:pPr>
        <w:jc w:val="center"/>
        <w:rPr>
          <w:rFonts w:ascii="Book Antiqua" w:hAnsi="Book Antiqua"/>
          <w:b/>
          <w:sz w:val="28"/>
          <w:lang w:val="es-ES_tradnl"/>
        </w:rPr>
      </w:pPr>
      <w:r>
        <w:rPr>
          <w:rFonts w:ascii="Book Antiqua" w:hAnsi="Book Antiqua"/>
          <w:b/>
          <w:sz w:val="28"/>
          <w:lang w:val="es-ES_tradnl"/>
        </w:rPr>
        <w:t>LEY</w:t>
      </w:r>
    </w:p>
    <w:p w14:paraId="5D77524F" w14:textId="77777777" w:rsidR="007B4F57" w:rsidRDefault="007B4F57" w:rsidP="00111306">
      <w:pPr>
        <w:jc w:val="both"/>
        <w:rPr>
          <w:rFonts w:ascii="Book Antiqua" w:hAnsi="Book Antiqua"/>
          <w:lang w:val="es-ES_tradnl"/>
        </w:rPr>
      </w:pPr>
    </w:p>
    <w:p w14:paraId="1C22B7E6" w14:textId="2A2CB111" w:rsidR="00950161" w:rsidRDefault="007B4F57" w:rsidP="00084515">
      <w:pPr>
        <w:ind w:left="720" w:hanging="720"/>
        <w:jc w:val="both"/>
        <w:rPr>
          <w:rFonts w:ascii="Book Antiqua" w:eastAsia="Book Antiqua" w:hAnsi="Book Antiqua" w:cs="Book Antiqua"/>
          <w:lang w:val="es-PR"/>
        </w:rPr>
      </w:pPr>
      <w:r>
        <w:rPr>
          <w:rFonts w:ascii="Book Antiqua" w:hAnsi="Book Antiqua"/>
          <w:lang w:val="es-ES_tradnl"/>
        </w:rPr>
        <w:t xml:space="preserve">Para </w:t>
      </w:r>
      <w:r w:rsidR="00E15961">
        <w:rPr>
          <w:rFonts w:ascii="Book Antiqua" w:eastAsia="Book Antiqua" w:hAnsi="Book Antiqua" w:cs="Book Antiqua"/>
          <w:lang w:val="es-PR"/>
        </w:rPr>
        <w:t xml:space="preserve">enmendar el </w:t>
      </w:r>
      <w:r w:rsidR="003E3B35">
        <w:rPr>
          <w:rFonts w:ascii="Book Antiqua" w:eastAsia="Book Antiqua" w:hAnsi="Book Antiqua" w:cs="Book Antiqua"/>
          <w:lang w:val="es-PR"/>
        </w:rPr>
        <w:t>A</w:t>
      </w:r>
      <w:r w:rsidR="00E15961">
        <w:rPr>
          <w:rFonts w:ascii="Book Antiqua" w:eastAsia="Book Antiqua" w:hAnsi="Book Antiqua" w:cs="Book Antiqua"/>
          <w:lang w:val="es-PR"/>
        </w:rPr>
        <w:t>rtículo 1726 de la Ley 55-2020 conocida como el “Código Civil de Puerto Rico</w:t>
      </w:r>
      <w:r w:rsidR="001D2FA6">
        <w:rPr>
          <w:rFonts w:ascii="Book Antiqua" w:eastAsia="Book Antiqua" w:hAnsi="Book Antiqua" w:cs="Book Antiqua"/>
          <w:lang w:val="es-PR"/>
        </w:rPr>
        <w:t xml:space="preserve"> de 2020”, a los fines de disponer </w:t>
      </w:r>
      <w:r w:rsidR="00B46B2C">
        <w:rPr>
          <w:rFonts w:ascii="Book Antiqua" w:eastAsia="Book Antiqua" w:hAnsi="Book Antiqua" w:cs="Book Antiqua"/>
          <w:lang w:val="es-PR"/>
        </w:rPr>
        <w:t>que,</w:t>
      </w:r>
      <w:r w:rsidR="00411EB7">
        <w:rPr>
          <w:rFonts w:ascii="Book Antiqua" w:eastAsia="Book Antiqua" w:hAnsi="Book Antiqua" w:cs="Book Antiqua"/>
          <w:lang w:val="es-PR"/>
        </w:rPr>
        <w:t xml:space="preserve"> a falta de hermanos o sobrinos, suceden los demás parientes del causante en línea colateral más próximos en grado, hasta el cuarto grado</w:t>
      </w:r>
      <w:r w:rsidR="00810F82">
        <w:rPr>
          <w:rFonts w:ascii="Book Antiqua" w:eastAsia="Book Antiqua" w:hAnsi="Book Antiqua" w:cs="Book Antiqua"/>
          <w:lang w:val="es-PR"/>
        </w:rPr>
        <w:t>;</w:t>
      </w:r>
      <w:r w:rsidR="007F6D70">
        <w:rPr>
          <w:rFonts w:ascii="Book Antiqua" w:eastAsia="Book Antiqua" w:hAnsi="Book Antiqua" w:cs="Book Antiqua"/>
          <w:lang w:val="es-PR"/>
        </w:rPr>
        <w:t xml:space="preserve"> y para otros fines relacionados</w:t>
      </w:r>
      <w:r w:rsidRPr="00A012D9">
        <w:rPr>
          <w:rFonts w:ascii="Book Antiqua" w:eastAsia="Book Antiqua" w:hAnsi="Book Antiqua" w:cs="Book Antiqua"/>
          <w:lang w:val="es-PR"/>
        </w:rPr>
        <w:t>.</w:t>
      </w:r>
    </w:p>
    <w:p w14:paraId="594C2D50" w14:textId="77777777" w:rsidR="00AB067F" w:rsidRPr="009140D9" w:rsidRDefault="00AB067F" w:rsidP="00084515">
      <w:pPr>
        <w:suppressAutoHyphens/>
        <w:jc w:val="center"/>
        <w:rPr>
          <w:rFonts w:ascii="Book Antiqua" w:hAnsi="Book Antiqua"/>
          <w:spacing w:val="-3"/>
          <w:lang w:val="es-ES"/>
        </w:rPr>
      </w:pPr>
    </w:p>
    <w:p w14:paraId="4D547376" w14:textId="35780B09" w:rsidR="00AB067F" w:rsidRPr="008A2FD0" w:rsidRDefault="00AB067F" w:rsidP="00084515">
      <w:pPr>
        <w:suppressAutoHyphens/>
        <w:jc w:val="center"/>
        <w:rPr>
          <w:rFonts w:ascii="Book Antiqua" w:hAnsi="Book Antiqua"/>
          <w:spacing w:val="-3"/>
          <w:lang w:val="es-ES"/>
        </w:rPr>
      </w:pPr>
      <w:r w:rsidRPr="008A2FD0">
        <w:rPr>
          <w:rFonts w:ascii="Book Antiqua" w:hAnsi="Book Antiqua"/>
          <w:spacing w:val="-3"/>
          <w:lang w:val="es-ES"/>
        </w:rPr>
        <w:t>EXPOSICIÓN DE MOTIVOS</w:t>
      </w:r>
    </w:p>
    <w:p w14:paraId="264ED4FC" w14:textId="10F017DC" w:rsidR="00FB319F" w:rsidRDefault="00FB319F" w:rsidP="00084515">
      <w:pPr>
        <w:jc w:val="both"/>
        <w:rPr>
          <w:rFonts w:ascii="Book Antiqua" w:eastAsia="Book Antiqua" w:hAnsi="Book Antiqua" w:cs="Book Antiqua"/>
          <w:lang w:val="es-PR"/>
        </w:rPr>
      </w:pPr>
    </w:p>
    <w:p w14:paraId="2612AFE9" w14:textId="41B1DED1" w:rsidR="009432D2" w:rsidRDefault="00B46B2C" w:rsidP="00084515">
      <w:pPr>
        <w:ind w:firstLine="720"/>
        <w:jc w:val="both"/>
        <w:rPr>
          <w:rFonts w:ascii="Book Antiqua" w:hAnsi="Book Antiqua"/>
          <w:lang w:val="es-ES"/>
        </w:rPr>
      </w:pPr>
      <w:r w:rsidRPr="00FF2C08">
        <w:rPr>
          <w:rFonts w:ascii="Book Antiqua" w:eastAsia="Book Antiqua" w:hAnsi="Book Antiqua" w:cs="Book Antiqua"/>
          <w:lang w:val="es-PR"/>
        </w:rPr>
        <w:t>La Ley 55-2020 se aprobó para implementar un nuevo Código Civil para Puerto Rico. La implementación del Código</w:t>
      </w:r>
      <w:r w:rsidR="003B25A3" w:rsidRPr="00FF2C08">
        <w:rPr>
          <w:rFonts w:ascii="Book Antiqua" w:eastAsia="Book Antiqua" w:hAnsi="Book Antiqua" w:cs="Book Antiqua"/>
          <w:lang w:val="es-PR"/>
        </w:rPr>
        <w:t xml:space="preserve"> trajo consigo </w:t>
      </w:r>
      <w:r w:rsidR="0062161F">
        <w:rPr>
          <w:rFonts w:ascii="Book Antiqua" w:eastAsia="Book Antiqua" w:hAnsi="Book Antiqua" w:cs="Book Antiqua"/>
          <w:lang w:val="es-PR"/>
        </w:rPr>
        <w:t>varios</w:t>
      </w:r>
      <w:r w:rsidR="003B25A3" w:rsidRPr="00FF2C08">
        <w:rPr>
          <w:rFonts w:ascii="Book Antiqua" w:eastAsia="Book Antiqua" w:hAnsi="Book Antiqua" w:cs="Book Antiqua"/>
          <w:lang w:val="es-PR"/>
        </w:rPr>
        <w:t xml:space="preserve"> cambios en la materia del Derecho de Sucesiones y aclaró lagunas sobre la </w:t>
      </w:r>
      <w:r w:rsidR="00562730">
        <w:rPr>
          <w:rFonts w:ascii="Book Antiqua" w:eastAsia="Book Antiqua" w:hAnsi="Book Antiqua" w:cs="Book Antiqua"/>
          <w:lang w:val="es-PR"/>
        </w:rPr>
        <w:t>misma</w:t>
      </w:r>
      <w:r w:rsidR="003B25A3" w:rsidRPr="00FF2C08">
        <w:rPr>
          <w:rFonts w:ascii="Book Antiqua" w:eastAsia="Book Antiqua" w:hAnsi="Book Antiqua" w:cs="Book Antiqua"/>
          <w:lang w:val="es-PR"/>
        </w:rPr>
        <w:t xml:space="preserve">. En cuanto a la sucesión intestada, el Código mantuvo los órdenes </w:t>
      </w:r>
      <w:r w:rsidR="00686A87" w:rsidRPr="00FF2C08">
        <w:rPr>
          <w:rFonts w:ascii="Book Antiqua" w:eastAsia="Book Antiqua" w:hAnsi="Book Antiqua" w:cs="Book Antiqua"/>
          <w:lang w:val="es-PR"/>
        </w:rPr>
        <w:t>hasta donde se extiende el derecho a heredar por parentesco en línea colateral. El Código Civil de 1930 disponía en su Artículo 911 que “</w:t>
      </w:r>
      <w:r w:rsidR="00686A87" w:rsidRPr="00FF2C08">
        <w:rPr>
          <w:rFonts w:ascii="Book Antiqua" w:hAnsi="Book Antiqua"/>
          <w:lang w:val="es-ES"/>
        </w:rPr>
        <w:t>[e]l derecho de heredar ab intestato no se extiende más allá del sexto grado de parentesco en línea colateral”.</w:t>
      </w:r>
      <w:r w:rsidR="006F6669" w:rsidRPr="00FF2C08">
        <w:rPr>
          <w:rFonts w:ascii="Book Antiqua" w:hAnsi="Book Antiqua"/>
          <w:lang w:val="es-ES"/>
        </w:rPr>
        <w:t xml:space="preserve"> Similar disposición contiene el nuevo Código en su Artículo 1726 en cuanto a que “[a] falta de hermanos o sobrinos, suceden los demás parientes del causante en línea colateral más próximos en grado, hasta el sexto grado”.</w:t>
      </w:r>
    </w:p>
    <w:p w14:paraId="2527A2E1" w14:textId="77777777" w:rsidR="00084515" w:rsidRPr="00FF2C08" w:rsidRDefault="00084515" w:rsidP="00084515">
      <w:pPr>
        <w:ind w:firstLine="720"/>
        <w:jc w:val="both"/>
        <w:rPr>
          <w:rFonts w:ascii="Book Antiqua" w:hAnsi="Book Antiqua"/>
          <w:lang w:val="es-ES"/>
        </w:rPr>
      </w:pPr>
    </w:p>
    <w:p w14:paraId="1E0731B4" w14:textId="340A87B9" w:rsidR="00DF2760" w:rsidRDefault="006F6669" w:rsidP="00084515">
      <w:pPr>
        <w:ind w:firstLine="720"/>
        <w:jc w:val="both"/>
        <w:rPr>
          <w:rFonts w:ascii="Book Antiqua" w:hAnsi="Book Antiqua"/>
          <w:lang w:val="es-ES"/>
        </w:rPr>
      </w:pPr>
      <w:r w:rsidRPr="00FF2C08">
        <w:rPr>
          <w:rFonts w:ascii="Book Antiqua" w:hAnsi="Book Antiqua"/>
          <w:lang w:val="es-ES"/>
        </w:rPr>
        <w:t>Además de exponer los grados hasta d</w:t>
      </w:r>
      <w:r w:rsidR="00341D02" w:rsidRPr="00FF2C08">
        <w:rPr>
          <w:rFonts w:ascii="Book Antiqua" w:hAnsi="Book Antiqua"/>
          <w:lang w:val="es-ES"/>
        </w:rPr>
        <w:t>o</w:t>
      </w:r>
      <w:r w:rsidRPr="00FF2C08">
        <w:rPr>
          <w:rFonts w:ascii="Book Antiqua" w:hAnsi="Book Antiqua"/>
          <w:lang w:val="es-ES"/>
        </w:rPr>
        <w:t>nde heredan familiares de un causante, ambos Códigos establecen unos órdenes sucesorales. Dentro de estos</w:t>
      </w:r>
      <w:r w:rsidR="004A32BA" w:rsidRPr="00FF2C08">
        <w:rPr>
          <w:rFonts w:ascii="Book Antiqua" w:hAnsi="Book Antiqua"/>
          <w:lang w:val="es-ES"/>
        </w:rPr>
        <w:t xml:space="preserve"> se reconoce en primer orden a los descendientes y cónyuge supérstite, y en ausencia de estos </w:t>
      </w:r>
      <w:r w:rsidR="00562730" w:rsidRPr="00FF2C08">
        <w:rPr>
          <w:rFonts w:ascii="Book Antiqua" w:hAnsi="Book Antiqua"/>
          <w:lang w:val="es-ES"/>
        </w:rPr>
        <w:t xml:space="preserve">en segundo orden </w:t>
      </w:r>
      <w:r w:rsidR="00341D02" w:rsidRPr="00FF2C08">
        <w:rPr>
          <w:rFonts w:ascii="Book Antiqua" w:hAnsi="Book Antiqua"/>
          <w:lang w:val="es-ES"/>
        </w:rPr>
        <w:t xml:space="preserve">a los </w:t>
      </w:r>
      <w:r w:rsidR="004A32BA" w:rsidRPr="00FF2C08">
        <w:rPr>
          <w:rFonts w:ascii="Book Antiqua" w:hAnsi="Book Antiqua"/>
          <w:lang w:val="es-ES"/>
        </w:rPr>
        <w:t>ascendentes,</w:t>
      </w:r>
      <w:r w:rsidR="00936FC3">
        <w:rPr>
          <w:rFonts w:ascii="Book Antiqua" w:hAnsi="Book Antiqua"/>
          <w:lang w:val="es-ES"/>
        </w:rPr>
        <w:t xml:space="preserve"> a los</w:t>
      </w:r>
      <w:r w:rsidR="004A32BA" w:rsidRPr="00FF2C08">
        <w:rPr>
          <w:rFonts w:ascii="Book Antiqua" w:hAnsi="Book Antiqua"/>
          <w:lang w:val="es-ES"/>
        </w:rPr>
        <w:t xml:space="preserve"> colaterales</w:t>
      </w:r>
      <w:r w:rsidR="00341D02" w:rsidRPr="00FF2C08">
        <w:rPr>
          <w:rFonts w:ascii="Book Antiqua" w:hAnsi="Book Antiqua"/>
          <w:lang w:val="es-ES"/>
        </w:rPr>
        <w:t xml:space="preserve"> en tercer orden y finalmente en cuarto orden al</w:t>
      </w:r>
      <w:r w:rsidR="004A32BA" w:rsidRPr="00FF2C08">
        <w:rPr>
          <w:rFonts w:ascii="Book Antiqua" w:hAnsi="Book Antiqua"/>
          <w:lang w:val="es-ES"/>
        </w:rPr>
        <w:t xml:space="preserve"> Estado.</w:t>
      </w:r>
      <w:r w:rsidR="00341D02" w:rsidRPr="00FF2C08">
        <w:rPr>
          <w:rFonts w:ascii="Book Antiqua" w:hAnsi="Book Antiqua"/>
          <w:lang w:val="es-ES"/>
        </w:rPr>
        <w:t xml:space="preserve"> Sin embargo, esa herencia intestada llega al Estado </w:t>
      </w:r>
      <w:r w:rsidR="00BD6ED4">
        <w:rPr>
          <w:rFonts w:ascii="Book Antiqua" w:hAnsi="Book Antiqua"/>
          <w:lang w:val="es-ES"/>
        </w:rPr>
        <w:t>una vez se agota la búsqueda de aquel</w:t>
      </w:r>
      <w:r w:rsidR="00341D02" w:rsidRPr="00FF2C08">
        <w:rPr>
          <w:rFonts w:ascii="Book Antiqua" w:hAnsi="Book Antiqua"/>
          <w:lang w:val="es-ES"/>
        </w:rPr>
        <w:t xml:space="preserve"> familiar</w:t>
      </w:r>
      <w:r w:rsidR="00DF2760" w:rsidRPr="00FF2C08">
        <w:rPr>
          <w:rFonts w:ascii="Book Antiqua" w:hAnsi="Book Antiqua"/>
          <w:lang w:val="es-ES"/>
        </w:rPr>
        <w:t xml:space="preserve"> en línea colateral hasta el sexto grado. </w:t>
      </w:r>
    </w:p>
    <w:p w14:paraId="5E078AE4" w14:textId="1AF20395" w:rsidR="006107FC" w:rsidRDefault="006107FC" w:rsidP="00084515">
      <w:pPr>
        <w:ind w:firstLine="720"/>
        <w:jc w:val="both"/>
        <w:rPr>
          <w:rFonts w:ascii="Book Antiqua" w:hAnsi="Book Antiqua"/>
          <w:lang w:val="es-ES"/>
        </w:rPr>
      </w:pPr>
      <w:r w:rsidRPr="00FF2C08">
        <w:rPr>
          <w:rFonts w:ascii="Book Antiqua" w:hAnsi="Book Antiqua"/>
          <w:lang w:val="es-ES"/>
        </w:rPr>
        <w:lastRenderedPageBreak/>
        <w:t>Los cambios que se pretenden implementar mediante esta ley no son para aclarar las líneas sucesorales ni establecer nuevos órdenes. La Asamblea Legislativa busca que</w:t>
      </w:r>
      <w:r w:rsidR="00614EC6">
        <w:rPr>
          <w:rFonts w:ascii="Book Antiqua" w:hAnsi="Book Antiqua"/>
          <w:lang w:val="es-ES"/>
        </w:rPr>
        <w:t>,</w:t>
      </w:r>
      <w:r w:rsidRPr="00FF2C08">
        <w:rPr>
          <w:rFonts w:ascii="Book Antiqua" w:hAnsi="Book Antiqua"/>
          <w:lang w:val="es-ES"/>
        </w:rPr>
        <w:t xml:space="preserve"> a través de esta enmienda</w:t>
      </w:r>
      <w:r w:rsidR="00C0558F">
        <w:rPr>
          <w:rFonts w:ascii="Book Antiqua" w:hAnsi="Book Antiqua"/>
          <w:lang w:val="es-ES"/>
        </w:rPr>
        <w:t>,</w:t>
      </w:r>
      <w:r w:rsidRPr="00FF2C08">
        <w:rPr>
          <w:rFonts w:ascii="Book Antiqua" w:hAnsi="Book Antiqua"/>
          <w:lang w:val="es-ES"/>
        </w:rPr>
        <w:t xml:space="preserve"> se limite hasta el cuarto grado de parentesco en línea colateral. Los motivos respecto a la presente enmienda guardan relación con el aumento </w:t>
      </w:r>
      <w:r w:rsidR="00E061E2">
        <w:rPr>
          <w:rFonts w:ascii="Book Antiqua" w:hAnsi="Book Antiqua"/>
          <w:lang w:val="es-ES"/>
        </w:rPr>
        <w:t>en el</w:t>
      </w:r>
      <w:r w:rsidR="000551BF">
        <w:rPr>
          <w:rFonts w:ascii="Book Antiqua" w:hAnsi="Book Antiqua"/>
          <w:lang w:val="es-ES"/>
        </w:rPr>
        <w:t xml:space="preserve"> número </w:t>
      </w:r>
      <w:r w:rsidRPr="00FF2C08">
        <w:rPr>
          <w:rFonts w:ascii="Book Antiqua" w:hAnsi="Book Antiqua"/>
          <w:lang w:val="es-ES"/>
        </w:rPr>
        <w:t>de envejecientes en Puerto Rico que cada año son desatendidos por sus familiares por diversos motivos</w:t>
      </w:r>
      <w:r w:rsidR="000551BF">
        <w:rPr>
          <w:rFonts w:ascii="Book Antiqua" w:hAnsi="Book Antiqua"/>
          <w:lang w:val="es-ES"/>
        </w:rPr>
        <w:t>, q</w:t>
      </w:r>
      <w:r w:rsidRPr="00FF2C08">
        <w:rPr>
          <w:rFonts w:ascii="Book Antiqua" w:hAnsi="Book Antiqua"/>
          <w:lang w:val="es-ES"/>
        </w:rPr>
        <w:t>uedando estos al amparo del Estado y los pocos recursos que se tienen para el cuido de estos.</w:t>
      </w:r>
    </w:p>
    <w:p w14:paraId="044CCACE" w14:textId="77777777" w:rsidR="00084515" w:rsidRDefault="00084515" w:rsidP="00084515">
      <w:pPr>
        <w:ind w:firstLine="720"/>
        <w:jc w:val="both"/>
        <w:rPr>
          <w:rFonts w:ascii="Book Antiqua" w:hAnsi="Book Antiqua"/>
          <w:lang w:val="es-ES"/>
        </w:rPr>
      </w:pPr>
    </w:p>
    <w:p w14:paraId="3670507B" w14:textId="77777777" w:rsidR="00084515" w:rsidRDefault="006107FC" w:rsidP="00084515">
      <w:pPr>
        <w:ind w:firstLine="720"/>
        <w:jc w:val="both"/>
        <w:rPr>
          <w:rFonts w:ascii="Book Antiqua" w:hAnsi="Book Antiqua"/>
          <w:lang w:val="es-ES"/>
        </w:rPr>
      </w:pPr>
      <w:r w:rsidRPr="006107FC">
        <w:rPr>
          <w:rFonts w:ascii="Book Antiqua" w:hAnsi="Book Antiqua"/>
          <w:lang w:val="es-ES"/>
        </w:rPr>
        <w:t>Según los datos de</w:t>
      </w:r>
      <w:r w:rsidR="000551BF">
        <w:rPr>
          <w:rFonts w:ascii="Book Antiqua" w:hAnsi="Book Antiqua"/>
          <w:lang w:val="es-ES"/>
        </w:rPr>
        <w:t xml:space="preserve"> la Administración</w:t>
      </w:r>
      <w:r w:rsidR="00B84C37">
        <w:rPr>
          <w:rFonts w:ascii="Book Antiqua" w:hAnsi="Book Antiqua"/>
          <w:lang w:val="es-ES"/>
        </w:rPr>
        <w:t xml:space="preserve"> de Familia</w:t>
      </w:r>
      <w:r w:rsidR="008800EF">
        <w:rPr>
          <w:rFonts w:ascii="Book Antiqua" w:hAnsi="Book Antiqua"/>
          <w:lang w:val="es-ES"/>
        </w:rPr>
        <w:t>s</w:t>
      </w:r>
      <w:r w:rsidR="00B84C37">
        <w:rPr>
          <w:rFonts w:ascii="Book Antiqua" w:hAnsi="Book Antiqua"/>
          <w:lang w:val="es-ES"/>
        </w:rPr>
        <w:t xml:space="preserve"> y Niños (</w:t>
      </w:r>
      <w:r w:rsidRPr="006107FC">
        <w:rPr>
          <w:rFonts w:ascii="Book Antiqua" w:hAnsi="Book Antiqua"/>
          <w:lang w:val="es-ES"/>
        </w:rPr>
        <w:t>ADFAN</w:t>
      </w:r>
      <w:r w:rsidR="00B84C37">
        <w:rPr>
          <w:rFonts w:ascii="Book Antiqua" w:hAnsi="Book Antiqua"/>
          <w:lang w:val="es-ES"/>
        </w:rPr>
        <w:t>)</w:t>
      </w:r>
      <w:r w:rsidRPr="006107FC">
        <w:rPr>
          <w:rFonts w:ascii="Book Antiqua" w:hAnsi="Book Antiqua"/>
          <w:lang w:val="es-ES"/>
        </w:rPr>
        <w:t>, durante los primeros meses de</w:t>
      </w:r>
      <w:r w:rsidR="008B7E85">
        <w:rPr>
          <w:rFonts w:ascii="Book Antiqua" w:hAnsi="Book Antiqua"/>
          <w:lang w:val="es-ES"/>
        </w:rPr>
        <w:t xml:space="preserve">l </w:t>
      </w:r>
      <w:r w:rsidRPr="006107FC">
        <w:rPr>
          <w:rFonts w:ascii="Book Antiqua" w:hAnsi="Book Antiqua"/>
          <w:lang w:val="es-ES"/>
        </w:rPr>
        <w:t>año</w:t>
      </w:r>
      <w:r w:rsidR="008B7E85">
        <w:rPr>
          <w:rFonts w:ascii="Book Antiqua" w:hAnsi="Book Antiqua"/>
          <w:lang w:val="es-ES"/>
        </w:rPr>
        <w:t xml:space="preserve"> 2023,</w:t>
      </w:r>
      <w:r w:rsidRPr="006107FC">
        <w:rPr>
          <w:rFonts w:ascii="Book Antiqua" w:hAnsi="Book Antiqua"/>
          <w:lang w:val="es-ES"/>
        </w:rPr>
        <w:t xml:space="preserve"> se han recibido 529 referidos de envejecientes abandonados en hospitales a través de toda la Isla, casi el doble de las cifras para los años 2017 a 2019.  En la mayoría de esos casos los costos de hospitalizaciones y cuidados recaen sobre el Estado sin que los familiares atiendan las necesidades de ese envejeciente.  </w:t>
      </w:r>
      <w:r w:rsidR="00C80595">
        <w:rPr>
          <w:rFonts w:ascii="Book Antiqua" w:hAnsi="Book Antiqua"/>
          <w:lang w:val="es-ES"/>
        </w:rPr>
        <w:t xml:space="preserve">Por su parte, el </w:t>
      </w:r>
      <w:r w:rsidRPr="006107FC">
        <w:rPr>
          <w:rFonts w:ascii="Book Antiqua" w:hAnsi="Book Antiqua"/>
          <w:lang w:val="es-ES"/>
        </w:rPr>
        <w:t>Senado</w:t>
      </w:r>
      <w:r w:rsidR="00C80595">
        <w:rPr>
          <w:rFonts w:ascii="Book Antiqua" w:hAnsi="Book Antiqua"/>
          <w:lang w:val="es-ES"/>
        </w:rPr>
        <w:t xml:space="preserve"> de Puerto Rico</w:t>
      </w:r>
      <w:r w:rsidRPr="006107FC">
        <w:rPr>
          <w:rFonts w:ascii="Book Antiqua" w:hAnsi="Book Antiqua"/>
          <w:lang w:val="es-ES"/>
        </w:rPr>
        <w:t xml:space="preserve"> celebró el foro “Es tu familia, no lo abandones” para lidiar con el abandono de envejecientes en facilidades médico-hospitalarias</w:t>
      </w:r>
      <w:r w:rsidR="00C80595">
        <w:rPr>
          <w:rFonts w:ascii="Book Antiqua" w:hAnsi="Book Antiqua"/>
          <w:lang w:val="es-ES"/>
        </w:rPr>
        <w:t>,</w:t>
      </w:r>
      <w:r w:rsidRPr="006107FC">
        <w:rPr>
          <w:rFonts w:ascii="Book Antiqua" w:hAnsi="Book Antiqua"/>
          <w:lang w:val="es-ES"/>
        </w:rPr>
        <w:t xml:space="preserve"> arrojando la precaria situación en la que se encuentran el casi 23</w:t>
      </w:r>
      <w:r w:rsidR="00751619">
        <w:rPr>
          <w:rFonts w:ascii="Book Antiqua" w:hAnsi="Book Antiqua"/>
          <w:lang w:val="es-ES"/>
        </w:rPr>
        <w:t xml:space="preserve"> por ciento</w:t>
      </w:r>
      <w:r w:rsidRPr="006107FC">
        <w:rPr>
          <w:rFonts w:ascii="Book Antiqua" w:hAnsi="Book Antiqua"/>
          <w:lang w:val="es-ES"/>
        </w:rPr>
        <w:t xml:space="preserve"> de la población en Puerto Rico, sobre todo en el caso de que no existen familiares cercanos como hijos o descendientes. </w:t>
      </w:r>
    </w:p>
    <w:p w14:paraId="7FD86FE7" w14:textId="110CE315" w:rsidR="006107FC" w:rsidRDefault="006107FC" w:rsidP="00084515">
      <w:pPr>
        <w:ind w:firstLine="720"/>
        <w:jc w:val="both"/>
        <w:rPr>
          <w:rFonts w:ascii="Book Antiqua" w:hAnsi="Book Antiqua"/>
          <w:lang w:val="es-ES"/>
        </w:rPr>
      </w:pPr>
      <w:r w:rsidRPr="006107FC">
        <w:rPr>
          <w:rFonts w:ascii="Book Antiqua" w:hAnsi="Book Antiqua"/>
          <w:lang w:val="es-ES"/>
        </w:rPr>
        <w:t xml:space="preserve"> </w:t>
      </w:r>
    </w:p>
    <w:p w14:paraId="06585941" w14:textId="3D362DE2" w:rsidR="00232B49" w:rsidRDefault="00232B49" w:rsidP="00084515">
      <w:pPr>
        <w:ind w:firstLine="720"/>
        <w:jc w:val="both"/>
        <w:rPr>
          <w:rFonts w:ascii="Book Antiqua" w:hAnsi="Book Antiqua"/>
          <w:lang w:val="es-ES"/>
        </w:rPr>
      </w:pPr>
      <w:r>
        <w:rPr>
          <w:rFonts w:ascii="Book Antiqua" w:hAnsi="Book Antiqua"/>
          <w:lang w:val="es-ES"/>
        </w:rPr>
        <w:t>La Oficina del Procurador de las Personas de</w:t>
      </w:r>
      <w:r w:rsidR="00C61C84">
        <w:rPr>
          <w:rFonts w:ascii="Book Antiqua" w:hAnsi="Book Antiqua"/>
          <w:lang w:val="es-ES"/>
        </w:rPr>
        <w:t xml:space="preserve"> Edad Avanzada publicó un informe estadístico sobre el “</w:t>
      </w:r>
      <w:bookmarkStart w:id="0" w:name="_Hlk134447248"/>
      <w:r w:rsidR="00C61C84">
        <w:rPr>
          <w:rFonts w:ascii="Book Antiqua" w:hAnsi="Book Antiqua"/>
          <w:lang w:val="es-ES"/>
        </w:rPr>
        <w:t>Perfil Demográfico de la Población de Edad Avanzada: El Mundo y Puerto Rico</w:t>
      </w:r>
      <w:bookmarkEnd w:id="0"/>
      <w:r w:rsidR="00C61C84">
        <w:rPr>
          <w:rFonts w:ascii="Book Antiqua" w:hAnsi="Book Antiqua"/>
          <w:lang w:val="es-ES"/>
        </w:rPr>
        <w:t>”.</w:t>
      </w:r>
      <w:r w:rsidR="00084D4F">
        <w:rPr>
          <w:rStyle w:val="FootnoteReference"/>
          <w:rFonts w:ascii="Book Antiqua" w:hAnsi="Book Antiqua"/>
          <w:lang w:val="es-ES"/>
        </w:rPr>
        <w:footnoteReference w:id="2"/>
      </w:r>
      <w:r w:rsidR="002B5B71">
        <w:rPr>
          <w:rFonts w:ascii="Book Antiqua" w:hAnsi="Book Antiqua"/>
          <w:lang w:val="es-ES"/>
        </w:rPr>
        <w:t xml:space="preserve"> Dicho informe </w:t>
      </w:r>
      <w:r w:rsidR="001668D8">
        <w:rPr>
          <w:rFonts w:ascii="Book Antiqua" w:hAnsi="Book Antiqua"/>
          <w:lang w:val="es-ES"/>
        </w:rPr>
        <w:t>expone</w:t>
      </w:r>
      <w:r w:rsidR="002B5B71">
        <w:rPr>
          <w:rFonts w:ascii="Book Antiqua" w:hAnsi="Book Antiqua"/>
          <w:lang w:val="es-ES"/>
        </w:rPr>
        <w:t xml:space="preserve"> que la expectativa de vida en Puerto Rico</w:t>
      </w:r>
      <w:r w:rsidR="00BD0357">
        <w:rPr>
          <w:rFonts w:ascii="Book Antiqua" w:hAnsi="Book Antiqua"/>
          <w:lang w:val="es-ES"/>
        </w:rPr>
        <w:t xml:space="preserve"> es de 81.3 años. Siendo una expectativa de vida mayor que la de Estados Unidos</w:t>
      </w:r>
      <w:r w:rsidR="00751619">
        <w:rPr>
          <w:rFonts w:ascii="Book Antiqua" w:hAnsi="Book Antiqua"/>
          <w:lang w:val="es-ES"/>
        </w:rPr>
        <w:t>, s</w:t>
      </w:r>
      <w:r w:rsidR="00577FE5">
        <w:rPr>
          <w:rFonts w:ascii="Book Antiqua" w:hAnsi="Book Antiqua"/>
          <w:lang w:val="es-ES"/>
        </w:rPr>
        <w:t>eñala el informe que</w:t>
      </w:r>
      <w:r w:rsidR="00D30011">
        <w:rPr>
          <w:rFonts w:ascii="Book Antiqua" w:hAnsi="Book Antiqua"/>
          <w:lang w:val="es-ES"/>
        </w:rPr>
        <w:t xml:space="preserve"> Puerto Rico se encuentra en un proceso irreversible y único</w:t>
      </w:r>
      <w:r w:rsidR="00214F2B">
        <w:rPr>
          <w:rFonts w:ascii="Book Antiqua" w:hAnsi="Book Antiqua"/>
          <w:lang w:val="es-ES"/>
        </w:rPr>
        <w:t xml:space="preserve"> de población más envejecida. </w:t>
      </w:r>
      <w:r w:rsidR="00C038E4">
        <w:rPr>
          <w:rFonts w:ascii="Book Antiqua" w:hAnsi="Book Antiqua"/>
          <w:lang w:val="es-ES"/>
        </w:rPr>
        <w:t xml:space="preserve">Concluye el informe que el país tiene que </w:t>
      </w:r>
      <w:r w:rsidR="00084D4F">
        <w:rPr>
          <w:rFonts w:ascii="Book Antiqua" w:hAnsi="Book Antiqua"/>
          <w:lang w:val="es-ES"/>
        </w:rPr>
        <w:t>“</w:t>
      </w:r>
      <w:r w:rsidR="00084D4F" w:rsidRPr="00084D4F">
        <w:rPr>
          <w:rFonts w:ascii="Book Antiqua" w:hAnsi="Book Antiqua"/>
          <w:lang w:val="es-ES"/>
        </w:rPr>
        <w:t>estar preparado para ofrecer servicios óptimos de salud que sean capaces de responder a las necesidades de este sector poblacional</w:t>
      </w:r>
      <w:r w:rsidR="00084D4F">
        <w:rPr>
          <w:rFonts w:ascii="Book Antiqua" w:hAnsi="Book Antiqua"/>
          <w:lang w:val="es-ES"/>
        </w:rPr>
        <w:t xml:space="preserve">”. </w:t>
      </w:r>
      <w:r w:rsidR="00084D4F" w:rsidRPr="00084D4F">
        <w:rPr>
          <w:rFonts w:ascii="Book Antiqua" w:hAnsi="Book Antiqua"/>
          <w:i/>
          <w:iCs/>
          <w:lang w:val="es-ES"/>
        </w:rPr>
        <w:t>Id</w:t>
      </w:r>
      <w:r w:rsidR="00084D4F">
        <w:rPr>
          <w:rFonts w:ascii="Book Antiqua" w:hAnsi="Book Antiqua"/>
          <w:lang w:val="es-ES"/>
        </w:rPr>
        <w:t>.</w:t>
      </w:r>
    </w:p>
    <w:p w14:paraId="71AC7286" w14:textId="77777777" w:rsidR="00084515" w:rsidRPr="006107FC" w:rsidRDefault="00084515" w:rsidP="00084515">
      <w:pPr>
        <w:ind w:firstLine="720"/>
        <w:jc w:val="both"/>
        <w:rPr>
          <w:rFonts w:ascii="Book Antiqua" w:hAnsi="Book Antiqua"/>
          <w:lang w:val="es-ES"/>
        </w:rPr>
      </w:pPr>
    </w:p>
    <w:p w14:paraId="4B05FAEB" w14:textId="59E344C6" w:rsidR="00907C05" w:rsidRDefault="00907C05" w:rsidP="00084515">
      <w:pPr>
        <w:ind w:firstLine="720"/>
        <w:jc w:val="both"/>
        <w:rPr>
          <w:rFonts w:ascii="Book Antiqua" w:hAnsi="Book Antiqua"/>
          <w:lang w:val="es-ES"/>
        </w:rPr>
      </w:pPr>
      <w:r w:rsidRPr="00FF2C08">
        <w:rPr>
          <w:rFonts w:ascii="Book Antiqua" w:hAnsi="Book Antiqua"/>
          <w:lang w:val="es-ES"/>
        </w:rPr>
        <w:t xml:space="preserve">La línea sucesoral de parientes en línea colateral hasta el sexto grado conlleva en ocasiones que hereden familiares que, aunque guardan parentesco, nunca tuvieron obligación ni interés en auxiliar a los causantes en momentos de necesidad o enfermedad; siendo una vasta mayoría de los casos una obligación que asume el Estado debido a la ausencia </w:t>
      </w:r>
      <w:r w:rsidR="00E470A9" w:rsidRPr="00FF2C08">
        <w:rPr>
          <w:rFonts w:ascii="Book Antiqua" w:hAnsi="Book Antiqua"/>
          <w:lang w:val="es-ES"/>
        </w:rPr>
        <w:t xml:space="preserve">de </w:t>
      </w:r>
      <w:r w:rsidR="00E470A9">
        <w:rPr>
          <w:rFonts w:ascii="Book Antiqua" w:hAnsi="Book Antiqua"/>
          <w:lang w:val="es-ES"/>
        </w:rPr>
        <w:t>descendientes</w:t>
      </w:r>
      <w:r w:rsidR="00817874">
        <w:rPr>
          <w:rFonts w:ascii="Book Antiqua" w:hAnsi="Book Antiqua"/>
          <w:lang w:val="es-ES"/>
        </w:rPr>
        <w:t>,</w:t>
      </w:r>
      <w:r w:rsidRPr="00FF2C08">
        <w:rPr>
          <w:rFonts w:ascii="Book Antiqua" w:hAnsi="Book Antiqua"/>
          <w:lang w:val="es-ES"/>
        </w:rPr>
        <w:t xml:space="preserve"> cónyuge supérstite</w:t>
      </w:r>
      <w:r w:rsidR="00E470A9">
        <w:rPr>
          <w:rFonts w:ascii="Book Antiqua" w:hAnsi="Book Antiqua"/>
          <w:lang w:val="es-ES"/>
        </w:rPr>
        <w:t>, ascendientes</w:t>
      </w:r>
      <w:r w:rsidRPr="00FF2C08">
        <w:rPr>
          <w:rFonts w:ascii="Book Antiqua" w:hAnsi="Book Antiqua"/>
          <w:lang w:val="es-ES"/>
        </w:rPr>
        <w:t xml:space="preserve"> </w:t>
      </w:r>
      <w:r w:rsidR="00817874">
        <w:rPr>
          <w:rFonts w:ascii="Book Antiqua" w:hAnsi="Book Antiqua"/>
          <w:lang w:val="es-ES"/>
        </w:rPr>
        <w:t xml:space="preserve">y </w:t>
      </w:r>
      <w:r w:rsidRPr="00FF2C08">
        <w:rPr>
          <w:rFonts w:ascii="Book Antiqua" w:hAnsi="Book Antiqua"/>
          <w:lang w:val="es-ES"/>
        </w:rPr>
        <w:t xml:space="preserve">hermanos. </w:t>
      </w:r>
    </w:p>
    <w:p w14:paraId="3B2EAEA6" w14:textId="77777777" w:rsidR="00084515" w:rsidRPr="00FF2C08" w:rsidRDefault="00084515" w:rsidP="00084515">
      <w:pPr>
        <w:ind w:firstLine="720"/>
        <w:jc w:val="both"/>
        <w:rPr>
          <w:rFonts w:ascii="Book Antiqua" w:hAnsi="Book Antiqua"/>
          <w:lang w:val="es-ES"/>
        </w:rPr>
      </w:pPr>
    </w:p>
    <w:p w14:paraId="6B9375B3" w14:textId="3FD9661A" w:rsidR="006107FC" w:rsidRPr="00FF2C08" w:rsidRDefault="006107FC" w:rsidP="00084515">
      <w:pPr>
        <w:ind w:firstLine="720"/>
        <w:jc w:val="both"/>
        <w:rPr>
          <w:rFonts w:ascii="Book Antiqua" w:hAnsi="Book Antiqua"/>
          <w:lang w:val="es-ES"/>
        </w:rPr>
      </w:pPr>
      <w:r w:rsidRPr="006107FC">
        <w:rPr>
          <w:rFonts w:ascii="Book Antiqua" w:hAnsi="Book Antiqua"/>
          <w:lang w:val="es-ES"/>
        </w:rPr>
        <w:t>Las normas del Derecho de familia</w:t>
      </w:r>
      <w:r w:rsidR="00073648">
        <w:rPr>
          <w:rFonts w:ascii="Book Antiqua" w:hAnsi="Book Antiqua"/>
          <w:lang w:val="es-ES"/>
        </w:rPr>
        <w:t xml:space="preserve"> en el Código Civil</w:t>
      </w:r>
      <w:r w:rsidRPr="006107FC">
        <w:rPr>
          <w:rFonts w:ascii="Book Antiqua" w:hAnsi="Book Antiqua"/>
          <w:lang w:val="es-ES"/>
        </w:rPr>
        <w:t xml:space="preserve"> solo permiten que los ascendientes, descendientes y/o hermanos estén obligados a prestar alimentos al envejeciente.  Por lo que otros familiares </w:t>
      </w:r>
      <w:r w:rsidR="00E470A9">
        <w:rPr>
          <w:rFonts w:ascii="Book Antiqua" w:hAnsi="Book Antiqua"/>
          <w:lang w:val="es-ES"/>
        </w:rPr>
        <w:t>hasta el</w:t>
      </w:r>
      <w:r w:rsidRPr="006107FC">
        <w:rPr>
          <w:rFonts w:ascii="Book Antiqua" w:hAnsi="Book Antiqua"/>
          <w:lang w:val="es-ES"/>
        </w:rPr>
        <w:t xml:space="preserve"> sexto grado de consanguinidad</w:t>
      </w:r>
      <w:r w:rsidR="009F2B44">
        <w:rPr>
          <w:rFonts w:ascii="Book Antiqua" w:hAnsi="Book Antiqua"/>
          <w:lang w:val="es-ES"/>
        </w:rPr>
        <w:t>,</w:t>
      </w:r>
      <w:r w:rsidRPr="006107FC">
        <w:rPr>
          <w:rFonts w:ascii="Book Antiqua" w:hAnsi="Book Antiqua"/>
          <w:lang w:val="es-ES"/>
        </w:rPr>
        <w:t xml:space="preserve"> como primos y/o sobrinos nietos no se les puede obligar a prestar </w:t>
      </w:r>
      <w:r w:rsidR="004036B4" w:rsidRPr="006107FC">
        <w:rPr>
          <w:rFonts w:ascii="Book Antiqua" w:hAnsi="Book Antiqua"/>
          <w:lang w:val="es-ES"/>
        </w:rPr>
        <w:t>alimentos,</w:t>
      </w:r>
      <w:r w:rsidRPr="006107FC">
        <w:rPr>
          <w:rFonts w:ascii="Book Antiqua" w:hAnsi="Book Antiqua"/>
          <w:lang w:val="es-ES"/>
        </w:rPr>
        <w:t xml:space="preserve"> pero s</w:t>
      </w:r>
      <w:r w:rsidR="0044357C">
        <w:rPr>
          <w:rFonts w:ascii="Book Antiqua" w:hAnsi="Book Antiqua"/>
          <w:lang w:val="es-ES"/>
        </w:rPr>
        <w:t>í</w:t>
      </w:r>
      <w:r w:rsidRPr="006107FC">
        <w:rPr>
          <w:rFonts w:ascii="Book Antiqua" w:hAnsi="Book Antiqua"/>
          <w:lang w:val="es-ES"/>
        </w:rPr>
        <w:t xml:space="preserve"> tiene</w:t>
      </w:r>
      <w:r w:rsidR="0062161F">
        <w:rPr>
          <w:rFonts w:ascii="Book Antiqua" w:hAnsi="Book Antiqua"/>
          <w:lang w:val="es-ES"/>
        </w:rPr>
        <w:t>n</w:t>
      </w:r>
      <w:r w:rsidRPr="006107FC">
        <w:rPr>
          <w:rFonts w:ascii="Book Antiqua" w:hAnsi="Book Antiqua"/>
          <w:lang w:val="es-ES"/>
        </w:rPr>
        <w:t xml:space="preserve"> derecho a reclamar la herencia del envejeciente que no atendieron y </w:t>
      </w:r>
      <w:r w:rsidR="002E752E" w:rsidRPr="006107FC">
        <w:rPr>
          <w:rFonts w:ascii="Book Antiqua" w:hAnsi="Book Antiqua"/>
          <w:lang w:val="es-ES"/>
        </w:rPr>
        <w:t>cuidaron</w:t>
      </w:r>
      <w:r w:rsidR="002E752E">
        <w:rPr>
          <w:rFonts w:ascii="Book Antiqua" w:hAnsi="Book Antiqua"/>
          <w:lang w:val="es-ES"/>
        </w:rPr>
        <w:t xml:space="preserve">, </w:t>
      </w:r>
      <w:r w:rsidR="002E752E" w:rsidRPr="006107FC">
        <w:rPr>
          <w:rFonts w:ascii="Book Antiqua" w:hAnsi="Book Antiqua"/>
          <w:lang w:val="es-ES"/>
        </w:rPr>
        <w:t>incluso</w:t>
      </w:r>
      <w:r w:rsidRPr="006107FC">
        <w:rPr>
          <w:rFonts w:ascii="Book Antiqua" w:hAnsi="Book Antiqua"/>
          <w:lang w:val="es-ES"/>
        </w:rPr>
        <w:t xml:space="preserve"> por encima del Pueblo de Puerto Rico</w:t>
      </w:r>
      <w:r w:rsidR="0062161F">
        <w:rPr>
          <w:rFonts w:ascii="Book Antiqua" w:hAnsi="Book Antiqua"/>
          <w:lang w:val="es-ES"/>
        </w:rPr>
        <w:t>, quien</w:t>
      </w:r>
      <w:r w:rsidRPr="006107FC">
        <w:rPr>
          <w:rFonts w:ascii="Book Antiqua" w:hAnsi="Book Antiqua"/>
          <w:lang w:val="es-ES"/>
        </w:rPr>
        <w:t xml:space="preserve"> tuvo que asumir el peso económico de la precaria situación del adulto mayor. </w:t>
      </w:r>
    </w:p>
    <w:p w14:paraId="72CA74A5" w14:textId="53EFF842" w:rsidR="007032DA" w:rsidRDefault="007032DA" w:rsidP="00084515">
      <w:pPr>
        <w:ind w:firstLine="720"/>
        <w:jc w:val="both"/>
        <w:rPr>
          <w:rFonts w:ascii="Book Antiqua" w:eastAsia="Book Antiqua" w:hAnsi="Book Antiqua" w:cs="Book Antiqua"/>
          <w:lang w:val="es-ES"/>
        </w:rPr>
      </w:pPr>
      <w:r>
        <w:rPr>
          <w:rFonts w:ascii="Book Antiqua" w:eastAsia="Book Antiqua" w:hAnsi="Book Antiqua" w:cs="Book Antiqua"/>
          <w:lang w:val="es-ES"/>
        </w:rPr>
        <w:lastRenderedPageBreak/>
        <w:t xml:space="preserve">Esta Asamblea Legislativa entiende que la sucesión intestada debe extenderse solamente en línea colateral hasta el cuarto grado de parentesco y permitiendo que el Estado herede luego de dichos parientes. </w:t>
      </w:r>
      <w:r w:rsidR="002E752E">
        <w:rPr>
          <w:rFonts w:ascii="Book Antiqua" w:eastAsia="Book Antiqua" w:hAnsi="Book Antiqua" w:cs="Book Antiqua"/>
          <w:lang w:val="es-ES"/>
        </w:rPr>
        <w:t>En algunas j</w:t>
      </w:r>
      <w:r>
        <w:rPr>
          <w:rFonts w:ascii="Book Antiqua" w:eastAsia="Book Antiqua" w:hAnsi="Book Antiqua" w:cs="Book Antiqua"/>
          <w:lang w:val="es-ES"/>
        </w:rPr>
        <w:t>urisdicciones civilistas</w:t>
      </w:r>
      <w:r w:rsidR="00D54046">
        <w:rPr>
          <w:rFonts w:ascii="Book Antiqua" w:eastAsia="Book Antiqua" w:hAnsi="Book Antiqua" w:cs="Book Antiqua"/>
          <w:lang w:val="es-ES"/>
        </w:rPr>
        <w:t xml:space="preserve">, </w:t>
      </w:r>
      <w:r>
        <w:rPr>
          <w:rFonts w:ascii="Book Antiqua" w:eastAsia="Book Antiqua" w:hAnsi="Book Antiqua" w:cs="Book Antiqua"/>
          <w:lang w:val="es-ES"/>
        </w:rPr>
        <w:t>como España</w:t>
      </w:r>
      <w:r w:rsidR="00D54046">
        <w:rPr>
          <w:rFonts w:ascii="Book Antiqua" w:eastAsia="Book Antiqua" w:hAnsi="Book Antiqua" w:cs="Book Antiqua"/>
          <w:lang w:val="es-ES"/>
        </w:rPr>
        <w:t>,</w:t>
      </w:r>
      <w:r>
        <w:rPr>
          <w:rFonts w:ascii="Book Antiqua" w:eastAsia="Book Antiqua" w:hAnsi="Book Antiqua" w:cs="Book Antiqua"/>
          <w:lang w:val="es-ES"/>
        </w:rPr>
        <w:t xml:space="preserve"> disponen en su Código Civil</w:t>
      </w:r>
      <w:r w:rsidR="009411AA">
        <w:rPr>
          <w:rFonts w:ascii="Book Antiqua" w:eastAsia="Book Antiqua" w:hAnsi="Book Antiqua" w:cs="Book Antiqua"/>
          <w:lang w:val="es-ES"/>
        </w:rPr>
        <w:t xml:space="preserve"> un</w:t>
      </w:r>
      <w:r>
        <w:rPr>
          <w:rFonts w:ascii="Book Antiqua" w:eastAsia="Book Antiqua" w:hAnsi="Book Antiqua" w:cs="Book Antiqua"/>
          <w:lang w:val="es-ES"/>
        </w:rPr>
        <w:t xml:space="preserve"> lenguaje similar al que se pretende incluir en nuestro ordenamiento jurídico. </w:t>
      </w:r>
      <w:r w:rsidR="00D54046">
        <w:rPr>
          <w:rFonts w:ascii="Book Antiqua" w:eastAsia="Book Antiqua" w:hAnsi="Book Antiqua" w:cs="Book Antiqua"/>
          <w:lang w:val="es-ES"/>
        </w:rPr>
        <w:t>Por ejemplo, el</w:t>
      </w:r>
      <w:r>
        <w:rPr>
          <w:rFonts w:ascii="Book Antiqua" w:eastAsia="Book Antiqua" w:hAnsi="Book Antiqua" w:cs="Book Antiqua"/>
          <w:lang w:val="es-ES"/>
        </w:rPr>
        <w:t xml:space="preserve"> Código Civil Español dispone en su Artículo 954 que “[n]o</w:t>
      </w:r>
      <w:r w:rsidRPr="007032DA">
        <w:rPr>
          <w:rFonts w:ascii="Book Antiqua" w:eastAsia="Book Antiqua" w:hAnsi="Book Antiqua" w:cs="Book Antiqua"/>
          <w:lang w:val="es-ES"/>
        </w:rPr>
        <w:t xml:space="preserve"> habiendo cónyuge supérstite, ni hermanos ni hijos de hermanos, sucederán en la herencia del difunto los demás parientes del mismo en línea colateral hasta el cuarto grado, más allá del cual no se extiende el derecho de heredar abintestato</w:t>
      </w:r>
      <w:r>
        <w:rPr>
          <w:rFonts w:ascii="Book Antiqua" w:eastAsia="Book Antiqua" w:hAnsi="Book Antiqua" w:cs="Book Antiqua"/>
          <w:lang w:val="es-ES"/>
        </w:rPr>
        <w:t>.”</w:t>
      </w:r>
      <w:r w:rsidR="007947CD">
        <w:rPr>
          <w:rStyle w:val="FootnoteReference"/>
          <w:rFonts w:ascii="Book Antiqua" w:eastAsia="Book Antiqua" w:hAnsi="Book Antiqua" w:cs="Book Antiqua"/>
          <w:lang w:val="es-ES"/>
        </w:rPr>
        <w:footnoteReference w:id="3"/>
      </w:r>
      <w:r w:rsidR="007947CD">
        <w:rPr>
          <w:rFonts w:ascii="Book Antiqua" w:eastAsia="Book Antiqua" w:hAnsi="Book Antiqua" w:cs="Book Antiqua"/>
          <w:lang w:val="es-ES"/>
        </w:rPr>
        <w:t xml:space="preserve"> Igualmente, el Código Civil Federal de México establece en su Artículo 1634 “[a]</w:t>
      </w:r>
      <w:r w:rsidR="007947CD" w:rsidRPr="007947CD">
        <w:rPr>
          <w:rFonts w:ascii="Book Antiqua" w:eastAsia="Book Antiqua" w:hAnsi="Book Antiqua" w:cs="Book Antiqua"/>
          <w:lang w:val="es-ES"/>
        </w:rPr>
        <w:t xml:space="preserve"> falta de los llamados en los artículos anteriores, sucederán los parientes más próximos dentro del cuarto grado, sin distinción de línea, ni consideración al doble vínculo, y heredarán por partes iguales</w:t>
      </w:r>
      <w:r w:rsidR="007947CD">
        <w:rPr>
          <w:rFonts w:ascii="Book Antiqua" w:eastAsia="Book Antiqua" w:hAnsi="Book Antiqua" w:cs="Book Antiqua"/>
          <w:lang w:val="es-ES"/>
        </w:rPr>
        <w:t>”.</w:t>
      </w:r>
      <w:r w:rsidR="007947CD">
        <w:rPr>
          <w:rStyle w:val="FootnoteReference"/>
          <w:rFonts w:ascii="Book Antiqua" w:eastAsia="Book Antiqua" w:hAnsi="Book Antiqua" w:cs="Book Antiqua"/>
          <w:lang w:val="es-ES"/>
        </w:rPr>
        <w:footnoteReference w:id="4"/>
      </w:r>
    </w:p>
    <w:p w14:paraId="526582C4" w14:textId="77777777" w:rsidR="00084515" w:rsidRDefault="00084515" w:rsidP="00084515">
      <w:pPr>
        <w:ind w:firstLine="720"/>
        <w:jc w:val="both"/>
        <w:rPr>
          <w:rFonts w:ascii="Book Antiqua" w:eastAsia="Book Antiqua" w:hAnsi="Book Antiqua" w:cs="Book Antiqua"/>
          <w:lang w:val="es-ES"/>
        </w:rPr>
      </w:pPr>
    </w:p>
    <w:p w14:paraId="105F3D04" w14:textId="6080343B" w:rsidR="005909CC" w:rsidRDefault="005A229C" w:rsidP="00084515">
      <w:pPr>
        <w:ind w:firstLine="720"/>
        <w:jc w:val="both"/>
        <w:rPr>
          <w:rFonts w:ascii="Book Antiqua" w:hAnsi="Book Antiqua"/>
          <w:lang w:val="es-ES"/>
        </w:rPr>
      </w:pPr>
      <w:r>
        <w:rPr>
          <w:rFonts w:ascii="Book Antiqua" w:eastAsia="Book Antiqua" w:hAnsi="Book Antiqua" w:cs="Book Antiqua"/>
          <w:lang w:val="es-ES"/>
        </w:rPr>
        <w:t>El cambio</w:t>
      </w:r>
      <w:r w:rsidR="00A44566">
        <w:rPr>
          <w:rFonts w:ascii="Book Antiqua" w:eastAsia="Book Antiqua" w:hAnsi="Book Antiqua" w:cs="Book Antiqua"/>
          <w:lang w:val="es-ES"/>
        </w:rPr>
        <w:t xml:space="preserve"> que se pr</w:t>
      </w:r>
      <w:r w:rsidR="00F1567F">
        <w:rPr>
          <w:rFonts w:ascii="Book Antiqua" w:eastAsia="Book Antiqua" w:hAnsi="Book Antiqua" w:cs="Book Antiqua"/>
          <w:lang w:val="es-ES"/>
        </w:rPr>
        <w:t>opone</w:t>
      </w:r>
      <w:r w:rsidR="00A44566">
        <w:rPr>
          <w:rFonts w:ascii="Book Antiqua" w:eastAsia="Book Antiqua" w:hAnsi="Book Antiqua" w:cs="Book Antiqua"/>
          <w:lang w:val="es-ES"/>
        </w:rPr>
        <w:t xml:space="preserve"> </w:t>
      </w:r>
      <w:r w:rsidR="008219B6">
        <w:rPr>
          <w:rFonts w:ascii="Book Antiqua" w:eastAsia="Book Antiqua" w:hAnsi="Book Antiqua" w:cs="Book Antiqua"/>
          <w:lang w:val="es-ES"/>
        </w:rPr>
        <w:t>añadir a nuestro Código Civil no es uno extraño entre las comunidades jurídicas civilistas</w:t>
      </w:r>
      <w:r>
        <w:rPr>
          <w:rFonts w:ascii="Book Antiqua" w:eastAsia="Book Antiqua" w:hAnsi="Book Antiqua" w:cs="Book Antiqua"/>
          <w:lang w:val="es-ES"/>
        </w:rPr>
        <w:t>.</w:t>
      </w:r>
      <w:r w:rsidR="006B77E1">
        <w:rPr>
          <w:rFonts w:ascii="Book Antiqua" w:eastAsia="Book Antiqua" w:hAnsi="Book Antiqua" w:cs="Book Antiqua"/>
          <w:lang w:val="es-ES"/>
        </w:rPr>
        <w:t xml:space="preserve"> Las mencionadas jurisdicciones permiten al Estado heredar </w:t>
      </w:r>
      <w:r w:rsidR="00944BEE">
        <w:rPr>
          <w:rFonts w:ascii="Book Antiqua" w:eastAsia="Book Antiqua" w:hAnsi="Book Antiqua" w:cs="Book Antiqua"/>
          <w:lang w:val="es-ES"/>
        </w:rPr>
        <w:t>luego</w:t>
      </w:r>
      <w:r w:rsidR="005909CC">
        <w:rPr>
          <w:rFonts w:ascii="Book Antiqua" w:eastAsia="Book Antiqua" w:hAnsi="Book Antiqua" w:cs="Book Antiqua"/>
          <w:lang w:val="es-ES"/>
        </w:rPr>
        <w:t xml:space="preserve"> de los </w:t>
      </w:r>
      <w:r w:rsidR="00944BEE">
        <w:rPr>
          <w:rFonts w:ascii="Book Antiqua" w:eastAsia="Book Antiqua" w:hAnsi="Book Antiqua" w:cs="Book Antiqua"/>
          <w:lang w:val="es-ES"/>
        </w:rPr>
        <w:t>parientes</w:t>
      </w:r>
      <w:r w:rsidR="005909CC">
        <w:rPr>
          <w:rFonts w:ascii="Book Antiqua" w:eastAsia="Book Antiqua" w:hAnsi="Book Antiqua" w:cs="Book Antiqua"/>
          <w:lang w:val="es-ES"/>
        </w:rPr>
        <w:t xml:space="preserve"> del cuarto grado.</w:t>
      </w:r>
      <w:r>
        <w:rPr>
          <w:rFonts w:ascii="Book Antiqua" w:eastAsia="Book Antiqua" w:hAnsi="Book Antiqua" w:cs="Book Antiqua"/>
          <w:lang w:val="es-ES"/>
        </w:rPr>
        <w:t xml:space="preserve"> </w:t>
      </w:r>
      <w:r w:rsidR="00944BEE" w:rsidRPr="006107FC">
        <w:rPr>
          <w:rFonts w:ascii="Book Antiqua" w:hAnsi="Book Antiqua"/>
          <w:lang w:val="es-ES"/>
        </w:rPr>
        <w:t>Est</w:t>
      </w:r>
      <w:r w:rsidR="00F1567F">
        <w:rPr>
          <w:rFonts w:ascii="Book Antiqua" w:hAnsi="Book Antiqua"/>
          <w:lang w:val="es-ES"/>
        </w:rPr>
        <w:t xml:space="preserve">a </w:t>
      </w:r>
      <w:r w:rsidR="00944BEE" w:rsidRPr="006107FC">
        <w:rPr>
          <w:rFonts w:ascii="Book Antiqua" w:hAnsi="Book Antiqua"/>
          <w:lang w:val="es-ES"/>
        </w:rPr>
        <w:t xml:space="preserve">Ley permite que el Estado herede en la intestada justo después </w:t>
      </w:r>
      <w:r w:rsidR="004E7324">
        <w:rPr>
          <w:rFonts w:ascii="Book Antiqua" w:hAnsi="Book Antiqua"/>
          <w:lang w:val="es-ES"/>
        </w:rPr>
        <w:t xml:space="preserve">de </w:t>
      </w:r>
      <w:r w:rsidR="0042294E">
        <w:rPr>
          <w:rFonts w:ascii="Book Antiqua" w:eastAsia="Book Antiqua" w:hAnsi="Book Antiqua" w:cs="Book Antiqua"/>
          <w:lang w:val="es-ES"/>
        </w:rPr>
        <w:t>los parientes del cuarto grado</w:t>
      </w:r>
      <w:r w:rsidR="00944BEE" w:rsidRPr="006107FC">
        <w:rPr>
          <w:rFonts w:ascii="Book Antiqua" w:hAnsi="Book Antiqua"/>
          <w:lang w:val="es-ES"/>
        </w:rPr>
        <w:t>, permitiendo que el causante pueda disponer otra cosa por testamento. Para proteger los intereses del Pueblo de Puerto</w:t>
      </w:r>
      <w:r w:rsidR="004E7324">
        <w:rPr>
          <w:rFonts w:ascii="Book Antiqua" w:hAnsi="Book Antiqua"/>
          <w:lang w:val="es-ES"/>
        </w:rPr>
        <w:t xml:space="preserve"> Rico</w:t>
      </w:r>
      <w:r w:rsidR="00B22424">
        <w:rPr>
          <w:rFonts w:ascii="Book Antiqua" w:hAnsi="Book Antiqua"/>
          <w:lang w:val="es-ES"/>
        </w:rPr>
        <w:t xml:space="preserve"> en su deber de proteger aquellos ciudadanos </w:t>
      </w:r>
      <w:r w:rsidR="000C041C">
        <w:rPr>
          <w:rFonts w:ascii="Book Antiqua" w:hAnsi="Book Antiqua"/>
          <w:lang w:val="es-ES"/>
        </w:rPr>
        <w:t>envejecientes en el desamparo,</w:t>
      </w:r>
      <w:r w:rsidR="00944BEE" w:rsidRPr="006107FC">
        <w:rPr>
          <w:rFonts w:ascii="Book Antiqua" w:hAnsi="Book Antiqua"/>
          <w:lang w:val="es-ES"/>
        </w:rPr>
        <w:t xml:space="preserve"> </w:t>
      </w:r>
      <w:r w:rsidR="0062161F">
        <w:rPr>
          <w:rFonts w:ascii="Book Antiqua" w:hAnsi="Book Antiqua"/>
          <w:lang w:val="es-ES"/>
        </w:rPr>
        <w:t xml:space="preserve">esta Asamblea Legislativa propone </w:t>
      </w:r>
      <w:r w:rsidR="00944BEE" w:rsidRPr="006107FC">
        <w:rPr>
          <w:rFonts w:ascii="Book Antiqua" w:hAnsi="Book Antiqua"/>
          <w:lang w:val="es-ES"/>
        </w:rPr>
        <w:t xml:space="preserve">se </w:t>
      </w:r>
      <w:r w:rsidR="00944BEE">
        <w:rPr>
          <w:rFonts w:ascii="Book Antiqua" w:hAnsi="Book Antiqua"/>
          <w:lang w:val="es-ES"/>
        </w:rPr>
        <w:t>enmienda</w:t>
      </w:r>
      <w:r w:rsidR="00944BEE" w:rsidRPr="006107FC">
        <w:rPr>
          <w:rFonts w:ascii="Book Antiqua" w:hAnsi="Book Antiqua"/>
          <w:lang w:val="es-ES"/>
        </w:rPr>
        <w:t xml:space="preserve"> así el </w:t>
      </w:r>
      <w:r w:rsidR="004E7324">
        <w:rPr>
          <w:rFonts w:ascii="Book Antiqua" w:hAnsi="Book Antiqua"/>
          <w:lang w:val="es-ES"/>
        </w:rPr>
        <w:t>A</w:t>
      </w:r>
      <w:r w:rsidR="00944BEE" w:rsidRPr="006107FC">
        <w:rPr>
          <w:rFonts w:ascii="Book Antiqua" w:hAnsi="Book Antiqua"/>
          <w:lang w:val="es-ES"/>
        </w:rPr>
        <w:t xml:space="preserve">rtículo 1726 del Código </w:t>
      </w:r>
      <w:r w:rsidR="00944BEE">
        <w:rPr>
          <w:rFonts w:ascii="Book Antiqua" w:hAnsi="Book Antiqua"/>
          <w:lang w:val="es-ES"/>
        </w:rPr>
        <w:t>C</w:t>
      </w:r>
      <w:r w:rsidR="00944BEE" w:rsidRPr="006107FC">
        <w:rPr>
          <w:rFonts w:ascii="Book Antiqua" w:hAnsi="Book Antiqua"/>
          <w:lang w:val="es-ES"/>
        </w:rPr>
        <w:t>ivil.</w:t>
      </w:r>
    </w:p>
    <w:p w14:paraId="21010A21" w14:textId="77777777" w:rsidR="00931A00" w:rsidRDefault="00931A00" w:rsidP="00084515">
      <w:pPr>
        <w:ind w:firstLine="720"/>
        <w:jc w:val="both"/>
        <w:rPr>
          <w:rFonts w:ascii="Book Antiqua" w:eastAsia="Book Antiqua" w:hAnsi="Book Antiqua" w:cs="Book Antiqua"/>
          <w:lang w:val="es-ES"/>
        </w:rPr>
      </w:pPr>
    </w:p>
    <w:p w14:paraId="33A026F3" w14:textId="2BD315B1" w:rsidR="007B4F57" w:rsidRDefault="007B4F57" w:rsidP="00084515">
      <w:pPr>
        <w:spacing w:line="480" w:lineRule="auto"/>
        <w:ind w:left="720" w:hanging="720"/>
        <w:jc w:val="both"/>
        <w:rPr>
          <w:rFonts w:ascii="Book Antiqua" w:hAnsi="Book Antiqua"/>
          <w:i/>
          <w:lang w:val="es-ES_tradnl"/>
        </w:rPr>
      </w:pPr>
      <w:r w:rsidRPr="00A012D9">
        <w:rPr>
          <w:rFonts w:ascii="Book Antiqua" w:eastAsia="Book Antiqua" w:hAnsi="Book Antiqua" w:cs="Book Antiqua"/>
          <w:lang w:val="es-PR"/>
        </w:rPr>
        <w:t xml:space="preserve"> </w:t>
      </w:r>
      <w:bookmarkStart w:id="1" w:name="_heading=h.xgsd0f5wtm02" w:colFirst="0" w:colLast="0"/>
      <w:bookmarkEnd w:id="1"/>
      <w:r w:rsidR="00240D0A">
        <w:rPr>
          <w:rFonts w:ascii="Book Antiqua" w:hAnsi="Book Antiqua"/>
          <w:i/>
          <w:lang w:val="es-ES_tradnl"/>
        </w:rPr>
        <w:t>DECRÉTASE</w:t>
      </w:r>
      <w:r>
        <w:rPr>
          <w:rFonts w:ascii="Book Antiqua" w:hAnsi="Book Antiqua"/>
          <w:i/>
          <w:lang w:val="es-ES_tradnl"/>
        </w:rPr>
        <w:t xml:space="preserve"> POR LA </w:t>
      </w:r>
      <w:r w:rsidR="00995D4D">
        <w:rPr>
          <w:rFonts w:ascii="Book Antiqua" w:hAnsi="Book Antiqua"/>
          <w:i/>
          <w:lang w:val="es-ES_tradnl"/>
        </w:rPr>
        <w:t>ASAMBLEA LEGISLATIVA DE PUERTO RICO</w:t>
      </w:r>
      <w:r>
        <w:rPr>
          <w:rFonts w:ascii="Book Antiqua" w:hAnsi="Book Antiqua"/>
          <w:i/>
          <w:lang w:val="es-ES_tradnl"/>
        </w:rPr>
        <w:t>:</w:t>
      </w:r>
    </w:p>
    <w:p w14:paraId="2202F4BF" w14:textId="77777777" w:rsidR="007B4F57" w:rsidRDefault="007B4F57" w:rsidP="007B4F57">
      <w:pPr>
        <w:spacing w:line="480" w:lineRule="auto"/>
        <w:jc w:val="both"/>
        <w:rPr>
          <w:rFonts w:ascii="Book Antiqua" w:hAnsi="Book Antiqua"/>
          <w:lang w:val="es-ES_tradnl"/>
        </w:rPr>
        <w:sectPr w:rsidR="007B4F57">
          <w:headerReference w:type="default" r:id="rId12"/>
          <w:type w:val="continuous"/>
          <w:pgSz w:w="12240" w:h="15840" w:code="1"/>
          <w:pgMar w:top="1440" w:right="1440" w:bottom="1440" w:left="1440" w:header="720" w:footer="720" w:gutter="0"/>
          <w:cols w:space="720"/>
          <w:titlePg/>
        </w:sectPr>
      </w:pPr>
    </w:p>
    <w:p w14:paraId="57FB8CA2" w14:textId="7CB9029E" w:rsidR="00C311A7" w:rsidRDefault="007B4F57" w:rsidP="007B4F57">
      <w:pPr>
        <w:spacing w:line="480" w:lineRule="auto"/>
        <w:ind w:firstLine="360"/>
        <w:jc w:val="both"/>
        <w:rPr>
          <w:rFonts w:ascii="Book Antiqua" w:eastAsia="Book Antiqua" w:hAnsi="Book Antiqua" w:cs="Book Antiqua"/>
          <w:lang w:val="es-PR"/>
        </w:rPr>
      </w:pPr>
      <w:r w:rsidRPr="00A012D9">
        <w:rPr>
          <w:rFonts w:ascii="Book Antiqua" w:eastAsia="Book Antiqua" w:hAnsi="Book Antiqua" w:cs="Book Antiqua"/>
          <w:lang w:val="es-PR"/>
        </w:rPr>
        <w:t xml:space="preserve">Sección 1. </w:t>
      </w:r>
      <w:r w:rsidR="00F904FA">
        <w:rPr>
          <w:rFonts w:ascii="Book Antiqua" w:eastAsia="Book Antiqua" w:hAnsi="Book Antiqua" w:cs="Book Antiqua"/>
          <w:lang w:val="es-PR"/>
        </w:rPr>
        <w:t>–</w:t>
      </w:r>
      <w:r w:rsidRPr="00A012D9">
        <w:rPr>
          <w:rFonts w:ascii="Book Antiqua" w:eastAsia="Book Antiqua" w:hAnsi="Book Antiqua" w:cs="Book Antiqua"/>
          <w:lang w:val="es-PR"/>
        </w:rPr>
        <w:t xml:space="preserve"> </w:t>
      </w:r>
      <w:r w:rsidR="00E26D96">
        <w:rPr>
          <w:rFonts w:ascii="Book Antiqua" w:eastAsia="Book Antiqua" w:hAnsi="Book Antiqua" w:cs="Book Antiqua"/>
          <w:lang w:val="es-PR"/>
        </w:rPr>
        <w:t xml:space="preserve">Se </w:t>
      </w:r>
      <w:r w:rsidR="00B46B2C">
        <w:rPr>
          <w:rFonts w:ascii="Book Antiqua" w:eastAsia="Book Antiqua" w:hAnsi="Book Antiqua" w:cs="Book Antiqua"/>
          <w:lang w:val="es-PR"/>
        </w:rPr>
        <w:t>enmienda el Artículo 1726 de la Ley Núm. 55-2020, según enmendada, conocida como el “Código Civil de Puerto Rico</w:t>
      </w:r>
      <w:r w:rsidR="000C041C">
        <w:rPr>
          <w:rFonts w:ascii="Book Antiqua" w:eastAsia="Book Antiqua" w:hAnsi="Book Antiqua" w:cs="Book Antiqua"/>
          <w:lang w:val="es-PR"/>
        </w:rPr>
        <w:t xml:space="preserve"> de 2020</w:t>
      </w:r>
      <w:r w:rsidR="00B46B2C">
        <w:rPr>
          <w:rFonts w:ascii="Book Antiqua" w:eastAsia="Book Antiqua" w:hAnsi="Book Antiqua" w:cs="Book Antiqua"/>
          <w:lang w:val="es-PR"/>
        </w:rPr>
        <w:t>” para que lea como sigue:</w:t>
      </w:r>
    </w:p>
    <w:p w14:paraId="5725889E" w14:textId="1D15D76F" w:rsidR="00B46B2C" w:rsidRDefault="00B46B2C" w:rsidP="007B4F57">
      <w:pPr>
        <w:spacing w:line="480" w:lineRule="auto"/>
        <w:ind w:firstLine="360"/>
        <w:jc w:val="both"/>
        <w:rPr>
          <w:rFonts w:ascii="Book Antiqua" w:eastAsia="Book Antiqua" w:hAnsi="Book Antiqua" w:cs="Book Antiqua"/>
          <w:lang w:val="es-PR"/>
        </w:rPr>
      </w:pPr>
      <w:r>
        <w:rPr>
          <w:rFonts w:ascii="Book Antiqua" w:eastAsia="Book Antiqua" w:hAnsi="Book Antiqua" w:cs="Book Antiqua"/>
          <w:lang w:val="es-PR"/>
        </w:rPr>
        <w:t>“Artículo 1276.- Sucesión en favor de otros colaterales.</w:t>
      </w:r>
    </w:p>
    <w:p w14:paraId="2A1D7AEF" w14:textId="77777777" w:rsidR="003B25A3" w:rsidRDefault="00B46B2C" w:rsidP="008739F4">
      <w:pPr>
        <w:spacing w:line="480" w:lineRule="auto"/>
        <w:ind w:firstLine="360"/>
        <w:jc w:val="both"/>
        <w:rPr>
          <w:rFonts w:ascii="Book Antiqua" w:eastAsia="Book Antiqua" w:hAnsi="Book Antiqua" w:cs="Book Antiqua"/>
          <w:lang w:val="es-ES"/>
        </w:rPr>
      </w:pPr>
      <w:r w:rsidRPr="00B46B2C">
        <w:rPr>
          <w:rFonts w:ascii="Book Antiqua" w:eastAsia="Book Antiqua" w:hAnsi="Book Antiqua" w:cs="Book Antiqua"/>
          <w:lang w:val="es-ES"/>
        </w:rPr>
        <w:t xml:space="preserve">A falta de hermanos o sobrinos, suceden los demás parientes del causante en línea colateral más próximos en grado, hasta el </w:t>
      </w:r>
      <w:r w:rsidRPr="003B25A3">
        <w:rPr>
          <w:rFonts w:ascii="Book Antiqua" w:eastAsia="Book Antiqua" w:hAnsi="Book Antiqua" w:cs="Book Antiqua"/>
          <w:b/>
          <w:bCs/>
          <w:lang w:val="es-ES"/>
        </w:rPr>
        <w:t>[sexto]</w:t>
      </w:r>
      <w:r>
        <w:rPr>
          <w:rFonts w:ascii="Book Antiqua" w:eastAsia="Book Antiqua" w:hAnsi="Book Antiqua" w:cs="Book Antiqua"/>
          <w:lang w:val="es-ES"/>
        </w:rPr>
        <w:t xml:space="preserve"> </w:t>
      </w:r>
      <w:r w:rsidRPr="003B25A3">
        <w:rPr>
          <w:rFonts w:ascii="Book Antiqua" w:eastAsia="Book Antiqua" w:hAnsi="Book Antiqua" w:cs="Book Antiqua"/>
          <w:i/>
          <w:iCs/>
          <w:lang w:val="es-ES"/>
        </w:rPr>
        <w:t>cuarto</w:t>
      </w:r>
      <w:r w:rsidRPr="00B46B2C">
        <w:rPr>
          <w:rFonts w:ascii="Book Antiqua" w:eastAsia="Book Antiqua" w:hAnsi="Book Antiqua" w:cs="Book Antiqua"/>
          <w:lang w:val="es-ES"/>
        </w:rPr>
        <w:t xml:space="preserve"> grado.</w:t>
      </w:r>
      <w:r w:rsidR="003B25A3">
        <w:rPr>
          <w:rFonts w:ascii="Book Antiqua" w:eastAsia="Book Antiqua" w:hAnsi="Book Antiqua" w:cs="Book Antiqua"/>
          <w:lang w:val="es-ES"/>
        </w:rPr>
        <w:t>”</w:t>
      </w:r>
    </w:p>
    <w:p w14:paraId="51D7F15B" w14:textId="1CA77646" w:rsidR="00C93477" w:rsidRPr="007B4F57" w:rsidRDefault="008739F4" w:rsidP="008D0B58">
      <w:pPr>
        <w:spacing w:line="480" w:lineRule="auto"/>
        <w:ind w:firstLine="360"/>
        <w:jc w:val="both"/>
        <w:rPr>
          <w:rFonts w:ascii="Book Antiqua" w:eastAsia="Book Antiqua" w:hAnsi="Book Antiqua" w:cs="Book Antiqua"/>
          <w:lang w:val="es-PR"/>
        </w:rPr>
      </w:pPr>
      <w:bookmarkStart w:id="2" w:name="_Hlk134447729"/>
      <w:r>
        <w:rPr>
          <w:rFonts w:ascii="Book Antiqua" w:eastAsia="Book Antiqua" w:hAnsi="Book Antiqua" w:cs="Book Antiqua"/>
          <w:lang w:val="es-PR"/>
        </w:rPr>
        <w:t>Sección 2.-</w:t>
      </w:r>
      <w:r w:rsidR="00780A33">
        <w:rPr>
          <w:rFonts w:ascii="Book Antiqua" w:eastAsia="Book Antiqua" w:hAnsi="Book Antiqua" w:cs="Book Antiqua"/>
          <w:lang w:val="es-PR"/>
        </w:rPr>
        <w:t xml:space="preserve"> </w:t>
      </w:r>
      <w:bookmarkEnd w:id="2"/>
      <w:r w:rsidR="00780A33">
        <w:rPr>
          <w:rFonts w:ascii="Book Antiqua" w:eastAsia="Book Antiqua" w:hAnsi="Book Antiqua" w:cs="Book Antiqua"/>
          <w:lang w:val="es-PR"/>
        </w:rPr>
        <w:t>Esta</w:t>
      </w:r>
      <w:r w:rsidR="003B25A3">
        <w:rPr>
          <w:rFonts w:ascii="Book Antiqua" w:eastAsia="Book Antiqua" w:hAnsi="Book Antiqua" w:cs="Book Antiqua"/>
          <w:lang w:val="es-PR"/>
        </w:rPr>
        <w:t xml:space="preserve"> Ley comenzará a regir inmediatamente después de su aprobación.</w:t>
      </w:r>
    </w:p>
    <w:sectPr w:rsidR="00C93477" w:rsidRPr="007B4F57" w:rsidSect="007B4F5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489CF" w14:textId="77777777" w:rsidR="00EC4D25" w:rsidRDefault="00EC4D25">
      <w:r>
        <w:separator/>
      </w:r>
    </w:p>
  </w:endnote>
  <w:endnote w:type="continuationSeparator" w:id="0">
    <w:p w14:paraId="43F27989" w14:textId="77777777" w:rsidR="00EC4D25" w:rsidRDefault="00EC4D25">
      <w:r>
        <w:continuationSeparator/>
      </w:r>
    </w:p>
  </w:endnote>
  <w:endnote w:type="continuationNotice" w:id="1">
    <w:p w14:paraId="0F99C240" w14:textId="77777777" w:rsidR="00EC4D25" w:rsidRDefault="00EC4D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75069" w14:textId="77777777" w:rsidR="00EC4D25" w:rsidRDefault="00EC4D25">
      <w:r>
        <w:separator/>
      </w:r>
    </w:p>
  </w:footnote>
  <w:footnote w:type="continuationSeparator" w:id="0">
    <w:p w14:paraId="626EF620" w14:textId="77777777" w:rsidR="00EC4D25" w:rsidRDefault="00EC4D25">
      <w:r>
        <w:continuationSeparator/>
      </w:r>
    </w:p>
  </w:footnote>
  <w:footnote w:type="continuationNotice" w:id="1">
    <w:p w14:paraId="4EEAD095" w14:textId="77777777" w:rsidR="00EC4D25" w:rsidRDefault="00EC4D25"/>
  </w:footnote>
  <w:footnote w:id="2">
    <w:p w14:paraId="703CF1B6" w14:textId="33207880" w:rsidR="00084D4F" w:rsidRPr="00084D4F" w:rsidRDefault="00084D4F">
      <w:pPr>
        <w:pStyle w:val="FootnoteText"/>
        <w:rPr>
          <w:lang w:val="es-ES"/>
        </w:rPr>
      </w:pPr>
      <w:r>
        <w:rPr>
          <w:rStyle w:val="FootnoteReference"/>
        </w:rPr>
        <w:footnoteRef/>
      </w:r>
      <w:r w:rsidRPr="00084D4F">
        <w:rPr>
          <w:lang w:val="es-ES"/>
        </w:rPr>
        <w:t xml:space="preserve"> </w:t>
      </w:r>
      <w:r>
        <w:rPr>
          <w:rFonts w:ascii="Book Antiqua" w:hAnsi="Book Antiqua"/>
          <w:lang w:val="es-ES"/>
        </w:rPr>
        <w:t>Perfil Demográfico de la Población de Edad Avanzada: El Mundo y Puerto Rico.</w:t>
      </w:r>
      <w:r w:rsidR="002E752E">
        <w:rPr>
          <w:rFonts w:ascii="Book Antiqua" w:hAnsi="Book Antiqua"/>
          <w:lang w:val="es-ES"/>
        </w:rPr>
        <w:t xml:space="preserve"> Recuperado de: </w:t>
      </w:r>
      <w:hyperlink r:id="rId1" w:history="1">
        <w:r w:rsidR="002E752E" w:rsidRPr="00D835F6">
          <w:rPr>
            <w:rStyle w:val="Hyperlink"/>
            <w:rFonts w:ascii="Book Antiqua" w:hAnsi="Book Antiqua"/>
            <w:lang w:val="es-ES"/>
          </w:rPr>
          <w:t>https://estadisticas.pr/files/Inventario/publicaciones/Perfil%20PR%20y%20El%20Mundo%202021.pdf</w:t>
        </w:r>
      </w:hyperlink>
      <w:r w:rsidR="002E752E">
        <w:rPr>
          <w:rFonts w:ascii="Book Antiqua" w:hAnsi="Book Antiqua"/>
          <w:lang w:val="es-ES"/>
        </w:rPr>
        <w:t xml:space="preserve"> (última visita 8 de mayo de 2023)</w:t>
      </w:r>
    </w:p>
  </w:footnote>
  <w:footnote w:id="3">
    <w:p w14:paraId="0F91B661" w14:textId="129FFDCC" w:rsidR="007947CD" w:rsidRPr="009411AA" w:rsidRDefault="007947CD">
      <w:pPr>
        <w:pStyle w:val="FootnoteText"/>
        <w:rPr>
          <w:lang w:val="es-ES"/>
        </w:rPr>
      </w:pPr>
      <w:r>
        <w:rPr>
          <w:rStyle w:val="FootnoteReference"/>
        </w:rPr>
        <w:footnoteRef/>
      </w:r>
      <w:r w:rsidRPr="00515A48">
        <w:rPr>
          <w:lang w:val="es-ES"/>
        </w:rPr>
        <w:t xml:space="preserve"> </w:t>
      </w:r>
      <w:r w:rsidR="009411AA">
        <w:rPr>
          <w:lang w:val="es-ES"/>
        </w:rPr>
        <w:t>Código Civil y Legislación Complementaria</w:t>
      </w:r>
      <w:r w:rsidR="00515A48" w:rsidRPr="00515A48">
        <w:rPr>
          <w:lang w:val="es-ES"/>
        </w:rPr>
        <w:t xml:space="preserve">, </w:t>
      </w:r>
      <w:r w:rsidR="00422EDD">
        <w:rPr>
          <w:lang w:val="es-ES"/>
        </w:rPr>
        <w:t>A</w:t>
      </w:r>
      <w:r w:rsidR="00515A48" w:rsidRPr="00515A48">
        <w:rPr>
          <w:lang w:val="es-ES"/>
        </w:rPr>
        <w:t xml:space="preserve">rt. </w:t>
      </w:r>
      <w:r w:rsidR="009411AA">
        <w:rPr>
          <w:lang w:val="es-ES"/>
        </w:rPr>
        <w:t>954</w:t>
      </w:r>
      <w:r w:rsidR="00515A48" w:rsidRPr="009411AA">
        <w:rPr>
          <w:lang w:val="es-ES"/>
        </w:rPr>
        <w:t xml:space="preserve"> (</w:t>
      </w:r>
      <w:r w:rsidR="009411AA">
        <w:rPr>
          <w:lang w:val="es-ES"/>
        </w:rPr>
        <w:t>BOE</w:t>
      </w:r>
      <w:r w:rsidR="00515A48" w:rsidRPr="009411AA">
        <w:rPr>
          <w:lang w:val="es-ES"/>
        </w:rPr>
        <w:t xml:space="preserve"> </w:t>
      </w:r>
      <w:r w:rsidR="009411AA">
        <w:rPr>
          <w:lang w:val="es-ES"/>
        </w:rPr>
        <w:t>última actualización 3 de marzo de 2023).</w:t>
      </w:r>
    </w:p>
  </w:footnote>
  <w:footnote w:id="4">
    <w:p w14:paraId="5EA58A1B" w14:textId="7A5E9213" w:rsidR="007947CD" w:rsidRPr="007947CD" w:rsidRDefault="007947CD">
      <w:pPr>
        <w:pStyle w:val="FootnoteText"/>
        <w:rPr>
          <w:lang w:val="es-ES"/>
        </w:rPr>
      </w:pPr>
      <w:r>
        <w:rPr>
          <w:rStyle w:val="FootnoteReference"/>
        </w:rPr>
        <w:footnoteRef/>
      </w:r>
      <w:r w:rsidRPr="007947CD">
        <w:rPr>
          <w:lang w:val="es-ES"/>
        </w:rPr>
        <w:t xml:space="preserve"> Capítulo V. </w:t>
      </w:r>
      <w:r>
        <w:rPr>
          <w:lang w:val="es-ES"/>
        </w:rPr>
        <w:t xml:space="preserve">De la Sucesión de los Colaterales. </w:t>
      </w:r>
      <w:r w:rsidRPr="007947CD">
        <w:rPr>
          <w:lang w:val="es-ES"/>
        </w:rPr>
        <w:t xml:space="preserve">Art. 1634 Cod. Civ. Federal de México. </w:t>
      </w:r>
      <w:r>
        <w:rPr>
          <w:lang w:val="es-ES"/>
        </w:rPr>
        <w:t xml:space="preserve">Recuperado de: </w:t>
      </w:r>
      <w:hyperlink r:id="rId2" w:history="1">
        <w:r w:rsidRPr="003551DF">
          <w:rPr>
            <w:rStyle w:val="Hyperlink"/>
            <w:lang w:val="es-ES"/>
          </w:rPr>
          <w:t>https://www.oas.org/dil/esp/C%C3%B3digo%20Civil%20Federal%20Mexico.pdf</w:t>
        </w:r>
      </w:hyperlink>
      <w:r>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8362A" w14:textId="77777777" w:rsidR="00E01028" w:rsidRDefault="00E01028">
    <w:pPr>
      <w:pStyle w:val="Header"/>
      <w:jc w:val="center"/>
    </w:pPr>
    <w:r>
      <w:rPr>
        <w:rStyle w:val="PageNumber"/>
      </w:rPr>
      <w:fldChar w:fldCharType="begin"/>
    </w:r>
    <w:r>
      <w:rPr>
        <w:rStyle w:val="PageNumber"/>
      </w:rPr>
      <w:instrText xml:space="preserve"> PAGE </w:instrText>
    </w:r>
    <w:r>
      <w:rPr>
        <w:rStyle w:val="PageNumber"/>
      </w:rPr>
      <w:fldChar w:fldCharType="separate"/>
    </w:r>
    <w:r w:rsidR="000C023C">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E77AA"/>
    <w:multiLevelType w:val="hybridMultilevel"/>
    <w:tmpl w:val="D4D81554"/>
    <w:lvl w:ilvl="0" w:tplc="856018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72416"/>
    <w:multiLevelType w:val="multilevel"/>
    <w:tmpl w:val="228234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74EF3A2E"/>
    <w:multiLevelType w:val="multilevel"/>
    <w:tmpl w:val="60F40C9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713044659">
    <w:abstractNumId w:val="1"/>
  </w:num>
  <w:num w:numId="2" w16cid:durableId="32772657">
    <w:abstractNumId w:val="2"/>
  </w:num>
  <w:num w:numId="3" w16cid:durableId="89666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4F57"/>
    <w:rsid w:val="000007EB"/>
    <w:rsid w:val="00003F93"/>
    <w:rsid w:val="00012CEB"/>
    <w:rsid w:val="00015834"/>
    <w:rsid w:val="0002037A"/>
    <w:rsid w:val="00020BBB"/>
    <w:rsid w:val="0003019B"/>
    <w:rsid w:val="00033274"/>
    <w:rsid w:val="0003591B"/>
    <w:rsid w:val="00044151"/>
    <w:rsid w:val="000458F1"/>
    <w:rsid w:val="00050413"/>
    <w:rsid w:val="00053A3E"/>
    <w:rsid w:val="000551BF"/>
    <w:rsid w:val="00056024"/>
    <w:rsid w:val="000563A0"/>
    <w:rsid w:val="000720DA"/>
    <w:rsid w:val="00073648"/>
    <w:rsid w:val="00084515"/>
    <w:rsid w:val="00084D4F"/>
    <w:rsid w:val="000866BD"/>
    <w:rsid w:val="00095AE1"/>
    <w:rsid w:val="000A3FC9"/>
    <w:rsid w:val="000A6B6C"/>
    <w:rsid w:val="000B0DBB"/>
    <w:rsid w:val="000B260B"/>
    <w:rsid w:val="000B425E"/>
    <w:rsid w:val="000B6ADD"/>
    <w:rsid w:val="000C023C"/>
    <w:rsid w:val="000C041C"/>
    <w:rsid w:val="000D1A57"/>
    <w:rsid w:val="000E1BA8"/>
    <w:rsid w:val="000E20DD"/>
    <w:rsid w:val="000E6802"/>
    <w:rsid w:val="000F0020"/>
    <w:rsid w:val="00111306"/>
    <w:rsid w:val="00111E71"/>
    <w:rsid w:val="00113923"/>
    <w:rsid w:val="00120B92"/>
    <w:rsid w:val="00127C6A"/>
    <w:rsid w:val="00130910"/>
    <w:rsid w:val="0013553C"/>
    <w:rsid w:val="00135F60"/>
    <w:rsid w:val="001363FE"/>
    <w:rsid w:val="0014517C"/>
    <w:rsid w:val="00152979"/>
    <w:rsid w:val="00153B7B"/>
    <w:rsid w:val="00154DF4"/>
    <w:rsid w:val="0016389A"/>
    <w:rsid w:val="001668D8"/>
    <w:rsid w:val="00166BB6"/>
    <w:rsid w:val="0017132B"/>
    <w:rsid w:val="00172244"/>
    <w:rsid w:val="00172E9B"/>
    <w:rsid w:val="00176B2C"/>
    <w:rsid w:val="00181CF3"/>
    <w:rsid w:val="0018624C"/>
    <w:rsid w:val="001905A3"/>
    <w:rsid w:val="001A043E"/>
    <w:rsid w:val="001A3E50"/>
    <w:rsid w:val="001C0027"/>
    <w:rsid w:val="001C23D3"/>
    <w:rsid w:val="001C5041"/>
    <w:rsid w:val="001C53BB"/>
    <w:rsid w:val="001D2FA6"/>
    <w:rsid w:val="001D5793"/>
    <w:rsid w:val="001F277A"/>
    <w:rsid w:val="001F37DB"/>
    <w:rsid w:val="001F4CA3"/>
    <w:rsid w:val="001F612A"/>
    <w:rsid w:val="001F7CC4"/>
    <w:rsid w:val="00202EF7"/>
    <w:rsid w:val="002030F5"/>
    <w:rsid w:val="00205A75"/>
    <w:rsid w:val="002072A3"/>
    <w:rsid w:val="00211396"/>
    <w:rsid w:val="00214559"/>
    <w:rsid w:val="00214F2B"/>
    <w:rsid w:val="00215835"/>
    <w:rsid w:val="0022068E"/>
    <w:rsid w:val="00224755"/>
    <w:rsid w:val="00226AE6"/>
    <w:rsid w:val="00232B49"/>
    <w:rsid w:val="00240D0A"/>
    <w:rsid w:val="002451E3"/>
    <w:rsid w:val="00245B34"/>
    <w:rsid w:val="00246827"/>
    <w:rsid w:val="002544CE"/>
    <w:rsid w:val="002616AE"/>
    <w:rsid w:val="00261B14"/>
    <w:rsid w:val="00263355"/>
    <w:rsid w:val="00263DA9"/>
    <w:rsid w:val="00265655"/>
    <w:rsid w:val="00270F88"/>
    <w:rsid w:val="00273792"/>
    <w:rsid w:val="00274CE6"/>
    <w:rsid w:val="00277789"/>
    <w:rsid w:val="0028035C"/>
    <w:rsid w:val="00286901"/>
    <w:rsid w:val="002909F0"/>
    <w:rsid w:val="00297CF0"/>
    <w:rsid w:val="002A7503"/>
    <w:rsid w:val="002A757F"/>
    <w:rsid w:val="002B0042"/>
    <w:rsid w:val="002B5B71"/>
    <w:rsid w:val="002B6CEE"/>
    <w:rsid w:val="002B7618"/>
    <w:rsid w:val="002B7A5C"/>
    <w:rsid w:val="002C3B0B"/>
    <w:rsid w:val="002C507D"/>
    <w:rsid w:val="002D215E"/>
    <w:rsid w:val="002D39C8"/>
    <w:rsid w:val="002D4AC8"/>
    <w:rsid w:val="002D6CA4"/>
    <w:rsid w:val="002E5816"/>
    <w:rsid w:val="002E752E"/>
    <w:rsid w:val="002F04A0"/>
    <w:rsid w:val="002F0947"/>
    <w:rsid w:val="002F0C5B"/>
    <w:rsid w:val="00301245"/>
    <w:rsid w:val="00320D78"/>
    <w:rsid w:val="0033581E"/>
    <w:rsid w:val="00336859"/>
    <w:rsid w:val="00341D02"/>
    <w:rsid w:val="003427B5"/>
    <w:rsid w:val="0035001B"/>
    <w:rsid w:val="003553C4"/>
    <w:rsid w:val="00357EC2"/>
    <w:rsid w:val="00376D31"/>
    <w:rsid w:val="00377C41"/>
    <w:rsid w:val="00380FE5"/>
    <w:rsid w:val="003824D2"/>
    <w:rsid w:val="00383A13"/>
    <w:rsid w:val="00387E10"/>
    <w:rsid w:val="003924DD"/>
    <w:rsid w:val="00394FCB"/>
    <w:rsid w:val="003963F4"/>
    <w:rsid w:val="00396459"/>
    <w:rsid w:val="003A17D7"/>
    <w:rsid w:val="003A62B8"/>
    <w:rsid w:val="003B25A3"/>
    <w:rsid w:val="003B5254"/>
    <w:rsid w:val="003B75A6"/>
    <w:rsid w:val="003C4A1A"/>
    <w:rsid w:val="003C4D3E"/>
    <w:rsid w:val="003D4E49"/>
    <w:rsid w:val="003E171F"/>
    <w:rsid w:val="003E3B35"/>
    <w:rsid w:val="003E4FC2"/>
    <w:rsid w:val="003F0CDA"/>
    <w:rsid w:val="003F0FFF"/>
    <w:rsid w:val="004019F9"/>
    <w:rsid w:val="004036B4"/>
    <w:rsid w:val="00404482"/>
    <w:rsid w:val="00405960"/>
    <w:rsid w:val="004061CA"/>
    <w:rsid w:val="004117D1"/>
    <w:rsid w:val="00411EB7"/>
    <w:rsid w:val="00415689"/>
    <w:rsid w:val="0042294E"/>
    <w:rsid w:val="00422EDD"/>
    <w:rsid w:val="00424ECE"/>
    <w:rsid w:val="004279D6"/>
    <w:rsid w:val="0044257D"/>
    <w:rsid w:val="0044357C"/>
    <w:rsid w:val="004440CB"/>
    <w:rsid w:val="00445BCB"/>
    <w:rsid w:val="00457DBB"/>
    <w:rsid w:val="004713D2"/>
    <w:rsid w:val="00476694"/>
    <w:rsid w:val="004A0B05"/>
    <w:rsid w:val="004A1749"/>
    <w:rsid w:val="004A32BA"/>
    <w:rsid w:val="004A4EA4"/>
    <w:rsid w:val="004A6665"/>
    <w:rsid w:val="004B3729"/>
    <w:rsid w:val="004C5ABC"/>
    <w:rsid w:val="004D1A22"/>
    <w:rsid w:val="004D455D"/>
    <w:rsid w:val="004D4E80"/>
    <w:rsid w:val="004E2EB9"/>
    <w:rsid w:val="004E535E"/>
    <w:rsid w:val="004E7324"/>
    <w:rsid w:val="00515A48"/>
    <w:rsid w:val="00521639"/>
    <w:rsid w:val="005252CC"/>
    <w:rsid w:val="00532BB7"/>
    <w:rsid w:val="00532C16"/>
    <w:rsid w:val="005332E4"/>
    <w:rsid w:val="0053550C"/>
    <w:rsid w:val="00555018"/>
    <w:rsid w:val="00562730"/>
    <w:rsid w:val="005723DC"/>
    <w:rsid w:val="00573BEB"/>
    <w:rsid w:val="00577FE5"/>
    <w:rsid w:val="005806A4"/>
    <w:rsid w:val="005818F0"/>
    <w:rsid w:val="005830D7"/>
    <w:rsid w:val="0058333D"/>
    <w:rsid w:val="00585389"/>
    <w:rsid w:val="00585AB3"/>
    <w:rsid w:val="005909CC"/>
    <w:rsid w:val="005918F2"/>
    <w:rsid w:val="005926DE"/>
    <w:rsid w:val="00594B87"/>
    <w:rsid w:val="00595CA7"/>
    <w:rsid w:val="00597C52"/>
    <w:rsid w:val="005A229C"/>
    <w:rsid w:val="005B1F0E"/>
    <w:rsid w:val="005C473D"/>
    <w:rsid w:val="005C63C8"/>
    <w:rsid w:val="005C68D3"/>
    <w:rsid w:val="005D2887"/>
    <w:rsid w:val="005D6E4E"/>
    <w:rsid w:val="005E0AAD"/>
    <w:rsid w:val="005E2FB6"/>
    <w:rsid w:val="005F4FA4"/>
    <w:rsid w:val="00607254"/>
    <w:rsid w:val="006107FC"/>
    <w:rsid w:val="006147A8"/>
    <w:rsid w:val="00614EC6"/>
    <w:rsid w:val="00617647"/>
    <w:rsid w:val="006210DC"/>
    <w:rsid w:val="0062134B"/>
    <w:rsid w:val="0062161F"/>
    <w:rsid w:val="00621EA6"/>
    <w:rsid w:val="00634CBE"/>
    <w:rsid w:val="00637113"/>
    <w:rsid w:val="00642270"/>
    <w:rsid w:val="0064349D"/>
    <w:rsid w:val="00652D78"/>
    <w:rsid w:val="00653EED"/>
    <w:rsid w:val="0066031F"/>
    <w:rsid w:val="006606A8"/>
    <w:rsid w:val="00671D87"/>
    <w:rsid w:val="00672164"/>
    <w:rsid w:val="0067748F"/>
    <w:rsid w:val="00685549"/>
    <w:rsid w:val="00685B72"/>
    <w:rsid w:val="00686A87"/>
    <w:rsid w:val="0068703E"/>
    <w:rsid w:val="006942CC"/>
    <w:rsid w:val="006A1272"/>
    <w:rsid w:val="006A46B6"/>
    <w:rsid w:val="006A4B14"/>
    <w:rsid w:val="006B05D1"/>
    <w:rsid w:val="006B203F"/>
    <w:rsid w:val="006B7365"/>
    <w:rsid w:val="006B77E1"/>
    <w:rsid w:val="006C038D"/>
    <w:rsid w:val="006C0C00"/>
    <w:rsid w:val="006C2D81"/>
    <w:rsid w:val="006C5FA4"/>
    <w:rsid w:val="006C7DF8"/>
    <w:rsid w:val="006D21BE"/>
    <w:rsid w:val="006D3FA2"/>
    <w:rsid w:val="006D632F"/>
    <w:rsid w:val="006D6ACE"/>
    <w:rsid w:val="006D6DF1"/>
    <w:rsid w:val="006D6F2C"/>
    <w:rsid w:val="006E0E7A"/>
    <w:rsid w:val="006E468E"/>
    <w:rsid w:val="006F2958"/>
    <w:rsid w:val="006F3001"/>
    <w:rsid w:val="006F3CEF"/>
    <w:rsid w:val="006F4EF4"/>
    <w:rsid w:val="006F6669"/>
    <w:rsid w:val="007020EF"/>
    <w:rsid w:val="007028D6"/>
    <w:rsid w:val="00702CC3"/>
    <w:rsid w:val="007032DA"/>
    <w:rsid w:val="00703889"/>
    <w:rsid w:val="00711D7D"/>
    <w:rsid w:val="00713670"/>
    <w:rsid w:val="0072218F"/>
    <w:rsid w:val="00722971"/>
    <w:rsid w:val="00725B0B"/>
    <w:rsid w:val="00727059"/>
    <w:rsid w:val="00735DB0"/>
    <w:rsid w:val="00737141"/>
    <w:rsid w:val="0074677B"/>
    <w:rsid w:val="00750869"/>
    <w:rsid w:val="00750FC8"/>
    <w:rsid w:val="00751619"/>
    <w:rsid w:val="007533D0"/>
    <w:rsid w:val="00755069"/>
    <w:rsid w:val="0076056E"/>
    <w:rsid w:val="007611AA"/>
    <w:rsid w:val="00762C11"/>
    <w:rsid w:val="0076339C"/>
    <w:rsid w:val="00764BAE"/>
    <w:rsid w:val="007732AF"/>
    <w:rsid w:val="007775C5"/>
    <w:rsid w:val="00777C39"/>
    <w:rsid w:val="00780A33"/>
    <w:rsid w:val="0078338E"/>
    <w:rsid w:val="0078795E"/>
    <w:rsid w:val="00791671"/>
    <w:rsid w:val="00793D35"/>
    <w:rsid w:val="007947CD"/>
    <w:rsid w:val="0079507A"/>
    <w:rsid w:val="00796D5E"/>
    <w:rsid w:val="007A4AB7"/>
    <w:rsid w:val="007A51C3"/>
    <w:rsid w:val="007A5F11"/>
    <w:rsid w:val="007B0660"/>
    <w:rsid w:val="007B4F57"/>
    <w:rsid w:val="007B7673"/>
    <w:rsid w:val="007C4F62"/>
    <w:rsid w:val="007D4720"/>
    <w:rsid w:val="007D7A82"/>
    <w:rsid w:val="007E3868"/>
    <w:rsid w:val="007F47A8"/>
    <w:rsid w:val="007F6D70"/>
    <w:rsid w:val="007F7E2B"/>
    <w:rsid w:val="0080007B"/>
    <w:rsid w:val="00810B5A"/>
    <w:rsid w:val="00810F82"/>
    <w:rsid w:val="00813327"/>
    <w:rsid w:val="00814023"/>
    <w:rsid w:val="008150DC"/>
    <w:rsid w:val="00817874"/>
    <w:rsid w:val="00820C41"/>
    <w:rsid w:val="00821143"/>
    <w:rsid w:val="00821915"/>
    <w:rsid w:val="008219B6"/>
    <w:rsid w:val="0082510E"/>
    <w:rsid w:val="008269C5"/>
    <w:rsid w:val="008327F9"/>
    <w:rsid w:val="00833786"/>
    <w:rsid w:val="00847267"/>
    <w:rsid w:val="00847FB0"/>
    <w:rsid w:val="00850256"/>
    <w:rsid w:val="00853AA8"/>
    <w:rsid w:val="00854131"/>
    <w:rsid w:val="0086064F"/>
    <w:rsid w:val="00867410"/>
    <w:rsid w:val="008703AE"/>
    <w:rsid w:val="0087303B"/>
    <w:rsid w:val="008739F4"/>
    <w:rsid w:val="00875835"/>
    <w:rsid w:val="00877BC1"/>
    <w:rsid w:val="008800EF"/>
    <w:rsid w:val="00885B61"/>
    <w:rsid w:val="008A2FD0"/>
    <w:rsid w:val="008A6199"/>
    <w:rsid w:val="008A6CD3"/>
    <w:rsid w:val="008B00A5"/>
    <w:rsid w:val="008B0A6A"/>
    <w:rsid w:val="008B2EA8"/>
    <w:rsid w:val="008B6D5A"/>
    <w:rsid w:val="008B7E85"/>
    <w:rsid w:val="008C2C3E"/>
    <w:rsid w:val="008D0B58"/>
    <w:rsid w:val="008D0D55"/>
    <w:rsid w:val="008F7695"/>
    <w:rsid w:val="008F7A1C"/>
    <w:rsid w:val="00907C05"/>
    <w:rsid w:val="009140D9"/>
    <w:rsid w:val="009204FB"/>
    <w:rsid w:val="00922DD1"/>
    <w:rsid w:val="00922F05"/>
    <w:rsid w:val="00931A00"/>
    <w:rsid w:val="0093310F"/>
    <w:rsid w:val="0093686F"/>
    <w:rsid w:val="00936FC3"/>
    <w:rsid w:val="009411AA"/>
    <w:rsid w:val="009416D3"/>
    <w:rsid w:val="00942BCF"/>
    <w:rsid w:val="00942FD4"/>
    <w:rsid w:val="009432D2"/>
    <w:rsid w:val="00944BEE"/>
    <w:rsid w:val="00946E9E"/>
    <w:rsid w:val="00950161"/>
    <w:rsid w:val="00951997"/>
    <w:rsid w:val="00960235"/>
    <w:rsid w:val="009654B0"/>
    <w:rsid w:val="0097086F"/>
    <w:rsid w:val="00971267"/>
    <w:rsid w:val="00971808"/>
    <w:rsid w:val="00977436"/>
    <w:rsid w:val="009902A4"/>
    <w:rsid w:val="00990352"/>
    <w:rsid w:val="00992219"/>
    <w:rsid w:val="00995D4D"/>
    <w:rsid w:val="009A000E"/>
    <w:rsid w:val="009A19C8"/>
    <w:rsid w:val="009B1829"/>
    <w:rsid w:val="009C3950"/>
    <w:rsid w:val="009C4D23"/>
    <w:rsid w:val="009D53A4"/>
    <w:rsid w:val="009E365D"/>
    <w:rsid w:val="009E5735"/>
    <w:rsid w:val="009F11A6"/>
    <w:rsid w:val="009F1D04"/>
    <w:rsid w:val="009F22AA"/>
    <w:rsid w:val="009F2B44"/>
    <w:rsid w:val="00A00C13"/>
    <w:rsid w:val="00A03405"/>
    <w:rsid w:val="00A06545"/>
    <w:rsid w:val="00A06A75"/>
    <w:rsid w:val="00A13CAE"/>
    <w:rsid w:val="00A1528A"/>
    <w:rsid w:val="00A1720F"/>
    <w:rsid w:val="00A249B4"/>
    <w:rsid w:val="00A26539"/>
    <w:rsid w:val="00A331F1"/>
    <w:rsid w:val="00A33918"/>
    <w:rsid w:val="00A3649A"/>
    <w:rsid w:val="00A37698"/>
    <w:rsid w:val="00A4198C"/>
    <w:rsid w:val="00A42EFE"/>
    <w:rsid w:val="00A4447A"/>
    <w:rsid w:val="00A44566"/>
    <w:rsid w:val="00A54F77"/>
    <w:rsid w:val="00A57463"/>
    <w:rsid w:val="00A57D85"/>
    <w:rsid w:val="00A57E95"/>
    <w:rsid w:val="00A6309C"/>
    <w:rsid w:val="00A7235E"/>
    <w:rsid w:val="00A75736"/>
    <w:rsid w:val="00A7629F"/>
    <w:rsid w:val="00A76FCE"/>
    <w:rsid w:val="00A815DD"/>
    <w:rsid w:val="00A85D70"/>
    <w:rsid w:val="00A915ED"/>
    <w:rsid w:val="00A94966"/>
    <w:rsid w:val="00AA12DF"/>
    <w:rsid w:val="00AA2031"/>
    <w:rsid w:val="00AA2318"/>
    <w:rsid w:val="00AB067F"/>
    <w:rsid w:val="00AB11D3"/>
    <w:rsid w:val="00AC301C"/>
    <w:rsid w:val="00AC3610"/>
    <w:rsid w:val="00AD331E"/>
    <w:rsid w:val="00AE62F3"/>
    <w:rsid w:val="00AF0CEE"/>
    <w:rsid w:val="00AF13BA"/>
    <w:rsid w:val="00AF1E1E"/>
    <w:rsid w:val="00AF1E4C"/>
    <w:rsid w:val="00AF39B5"/>
    <w:rsid w:val="00AF3FDE"/>
    <w:rsid w:val="00AF451B"/>
    <w:rsid w:val="00B11015"/>
    <w:rsid w:val="00B12944"/>
    <w:rsid w:val="00B16B5E"/>
    <w:rsid w:val="00B1795C"/>
    <w:rsid w:val="00B17F93"/>
    <w:rsid w:val="00B21E11"/>
    <w:rsid w:val="00B22424"/>
    <w:rsid w:val="00B24135"/>
    <w:rsid w:val="00B34BEE"/>
    <w:rsid w:val="00B44712"/>
    <w:rsid w:val="00B46B2C"/>
    <w:rsid w:val="00B50894"/>
    <w:rsid w:val="00B55773"/>
    <w:rsid w:val="00B667AD"/>
    <w:rsid w:val="00B7684B"/>
    <w:rsid w:val="00B81A86"/>
    <w:rsid w:val="00B84C37"/>
    <w:rsid w:val="00B84C38"/>
    <w:rsid w:val="00B86C00"/>
    <w:rsid w:val="00B90429"/>
    <w:rsid w:val="00B947F6"/>
    <w:rsid w:val="00B969CC"/>
    <w:rsid w:val="00BA58BB"/>
    <w:rsid w:val="00BA6F9A"/>
    <w:rsid w:val="00BB16A9"/>
    <w:rsid w:val="00BB36E4"/>
    <w:rsid w:val="00BB7E61"/>
    <w:rsid w:val="00BD0357"/>
    <w:rsid w:val="00BD6ED4"/>
    <w:rsid w:val="00BE6B83"/>
    <w:rsid w:val="00BF16AA"/>
    <w:rsid w:val="00BF44A5"/>
    <w:rsid w:val="00BF6163"/>
    <w:rsid w:val="00C013FF"/>
    <w:rsid w:val="00C034DB"/>
    <w:rsid w:val="00C038E4"/>
    <w:rsid w:val="00C0558F"/>
    <w:rsid w:val="00C079AD"/>
    <w:rsid w:val="00C123A7"/>
    <w:rsid w:val="00C23871"/>
    <w:rsid w:val="00C311A7"/>
    <w:rsid w:val="00C34263"/>
    <w:rsid w:val="00C354B8"/>
    <w:rsid w:val="00C35DEB"/>
    <w:rsid w:val="00C41758"/>
    <w:rsid w:val="00C44524"/>
    <w:rsid w:val="00C4506C"/>
    <w:rsid w:val="00C52517"/>
    <w:rsid w:val="00C60921"/>
    <w:rsid w:val="00C61C84"/>
    <w:rsid w:val="00C62936"/>
    <w:rsid w:val="00C653F2"/>
    <w:rsid w:val="00C679E6"/>
    <w:rsid w:val="00C77B70"/>
    <w:rsid w:val="00C80595"/>
    <w:rsid w:val="00C83300"/>
    <w:rsid w:val="00C87648"/>
    <w:rsid w:val="00C908F9"/>
    <w:rsid w:val="00C93477"/>
    <w:rsid w:val="00CA0917"/>
    <w:rsid w:val="00CA0CFA"/>
    <w:rsid w:val="00CA1099"/>
    <w:rsid w:val="00CA2A43"/>
    <w:rsid w:val="00CB2CF3"/>
    <w:rsid w:val="00CC39EA"/>
    <w:rsid w:val="00CC4571"/>
    <w:rsid w:val="00CD24F6"/>
    <w:rsid w:val="00CD763F"/>
    <w:rsid w:val="00CE74B6"/>
    <w:rsid w:val="00CF1F72"/>
    <w:rsid w:val="00CF22DD"/>
    <w:rsid w:val="00CF2609"/>
    <w:rsid w:val="00D0518A"/>
    <w:rsid w:val="00D12DB4"/>
    <w:rsid w:val="00D15484"/>
    <w:rsid w:val="00D20675"/>
    <w:rsid w:val="00D30011"/>
    <w:rsid w:val="00D33E66"/>
    <w:rsid w:val="00D40515"/>
    <w:rsid w:val="00D417C2"/>
    <w:rsid w:val="00D4227A"/>
    <w:rsid w:val="00D52BAB"/>
    <w:rsid w:val="00D54046"/>
    <w:rsid w:val="00D54220"/>
    <w:rsid w:val="00D60936"/>
    <w:rsid w:val="00D65C82"/>
    <w:rsid w:val="00D709EB"/>
    <w:rsid w:val="00D71EF6"/>
    <w:rsid w:val="00D73289"/>
    <w:rsid w:val="00D74714"/>
    <w:rsid w:val="00D81D2C"/>
    <w:rsid w:val="00D82C61"/>
    <w:rsid w:val="00D82F3F"/>
    <w:rsid w:val="00D85683"/>
    <w:rsid w:val="00D8791B"/>
    <w:rsid w:val="00D909CF"/>
    <w:rsid w:val="00D921C6"/>
    <w:rsid w:val="00D94F15"/>
    <w:rsid w:val="00D958C2"/>
    <w:rsid w:val="00DA13ED"/>
    <w:rsid w:val="00DA211E"/>
    <w:rsid w:val="00DA6D1B"/>
    <w:rsid w:val="00DC3DF5"/>
    <w:rsid w:val="00DD1524"/>
    <w:rsid w:val="00DE7335"/>
    <w:rsid w:val="00DF070C"/>
    <w:rsid w:val="00DF2760"/>
    <w:rsid w:val="00DF2B04"/>
    <w:rsid w:val="00DF60A1"/>
    <w:rsid w:val="00E00EBD"/>
    <w:rsid w:val="00E01028"/>
    <w:rsid w:val="00E04AB5"/>
    <w:rsid w:val="00E061E2"/>
    <w:rsid w:val="00E13C38"/>
    <w:rsid w:val="00E15961"/>
    <w:rsid w:val="00E15C5C"/>
    <w:rsid w:val="00E26D96"/>
    <w:rsid w:val="00E32C7E"/>
    <w:rsid w:val="00E363C4"/>
    <w:rsid w:val="00E470A9"/>
    <w:rsid w:val="00E50EEA"/>
    <w:rsid w:val="00E51D26"/>
    <w:rsid w:val="00E52F58"/>
    <w:rsid w:val="00E56F81"/>
    <w:rsid w:val="00E570D9"/>
    <w:rsid w:val="00E60CBE"/>
    <w:rsid w:val="00E76712"/>
    <w:rsid w:val="00E97ADA"/>
    <w:rsid w:val="00EA065A"/>
    <w:rsid w:val="00EA4595"/>
    <w:rsid w:val="00EB798E"/>
    <w:rsid w:val="00EC08F6"/>
    <w:rsid w:val="00EC1EA6"/>
    <w:rsid w:val="00EC26AA"/>
    <w:rsid w:val="00EC3493"/>
    <w:rsid w:val="00EC4BCA"/>
    <w:rsid w:val="00EC4D25"/>
    <w:rsid w:val="00ED09BB"/>
    <w:rsid w:val="00ED428B"/>
    <w:rsid w:val="00ED4D3A"/>
    <w:rsid w:val="00ED4FC3"/>
    <w:rsid w:val="00ED7A53"/>
    <w:rsid w:val="00EE2E1D"/>
    <w:rsid w:val="00EE4273"/>
    <w:rsid w:val="00EF1949"/>
    <w:rsid w:val="00F00F2A"/>
    <w:rsid w:val="00F02004"/>
    <w:rsid w:val="00F02EFE"/>
    <w:rsid w:val="00F042CB"/>
    <w:rsid w:val="00F04F26"/>
    <w:rsid w:val="00F126FA"/>
    <w:rsid w:val="00F1567F"/>
    <w:rsid w:val="00F43080"/>
    <w:rsid w:val="00F43A6B"/>
    <w:rsid w:val="00F464B9"/>
    <w:rsid w:val="00F60A20"/>
    <w:rsid w:val="00F61D19"/>
    <w:rsid w:val="00F620E8"/>
    <w:rsid w:val="00F66714"/>
    <w:rsid w:val="00F72FF2"/>
    <w:rsid w:val="00F75857"/>
    <w:rsid w:val="00F771E1"/>
    <w:rsid w:val="00F82860"/>
    <w:rsid w:val="00F86608"/>
    <w:rsid w:val="00F86EFF"/>
    <w:rsid w:val="00F8771B"/>
    <w:rsid w:val="00F904FA"/>
    <w:rsid w:val="00F90F6F"/>
    <w:rsid w:val="00F9110C"/>
    <w:rsid w:val="00FA65F3"/>
    <w:rsid w:val="00FB207A"/>
    <w:rsid w:val="00FB3168"/>
    <w:rsid w:val="00FB319F"/>
    <w:rsid w:val="00FC0A95"/>
    <w:rsid w:val="00FC2839"/>
    <w:rsid w:val="00FC31E6"/>
    <w:rsid w:val="00FC379A"/>
    <w:rsid w:val="00FC3D9C"/>
    <w:rsid w:val="00FC47A2"/>
    <w:rsid w:val="00FD01AE"/>
    <w:rsid w:val="00FD261C"/>
    <w:rsid w:val="00FD44E3"/>
    <w:rsid w:val="00FD58D1"/>
    <w:rsid w:val="00FD62FD"/>
    <w:rsid w:val="00FE0798"/>
    <w:rsid w:val="00FE09B5"/>
    <w:rsid w:val="00FE3AA2"/>
    <w:rsid w:val="00FF0153"/>
    <w:rsid w:val="00FF2C08"/>
    <w:rsid w:val="00FF4DD7"/>
    <w:rsid w:val="00FF6BD2"/>
    <w:rsid w:val="22E232DE"/>
    <w:rsid w:val="2EC5383E"/>
    <w:rsid w:val="38919022"/>
    <w:rsid w:val="3DE7673F"/>
    <w:rsid w:val="59716917"/>
    <w:rsid w:val="5D0D1D72"/>
    <w:rsid w:val="6BD919B2"/>
    <w:rsid w:val="6DDF1937"/>
    <w:rsid w:val="7F0FE1E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A8DC8"/>
  <w15:chartTrackingRefBased/>
  <w15:docId w15:val="{B4280450-10B8-43D4-B96F-A63D27082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7B4F57"/>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7B4F57"/>
    <w:rPr>
      <w:rFonts w:ascii="Segoe UI" w:hAnsi="Segoe UI" w:cs="Segoe UI"/>
      <w:sz w:val="18"/>
      <w:szCs w:val="18"/>
    </w:rPr>
  </w:style>
  <w:style w:type="paragraph" w:styleId="FootnoteText">
    <w:name w:val="footnote text"/>
    <w:basedOn w:val="Normal"/>
    <w:link w:val="FootnoteTextChar"/>
    <w:uiPriority w:val="99"/>
    <w:semiHidden/>
    <w:unhideWhenUsed/>
    <w:rsid w:val="00637113"/>
    <w:rPr>
      <w:sz w:val="20"/>
    </w:rPr>
  </w:style>
  <w:style w:type="character" w:customStyle="1" w:styleId="FootnoteTextChar">
    <w:name w:val="Footnote Text Char"/>
    <w:basedOn w:val="DefaultParagraphFont"/>
    <w:link w:val="FootnoteText"/>
    <w:uiPriority w:val="99"/>
    <w:semiHidden/>
    <w:rsid w:val="00637113"/>
  </w:style>
  <w:style w:type="character" w:styleId="FootnoteReference">
    <w:name w:val="footnote reference"/>
    <w:basedOn w:val="DefaultParagraphFont"/>
    <w:uiPriority w:val="99"/>
    <w:semiHidden/>
    <w:unhideWhenUsed/>
    <w:rsid w:val="00637113"/>
    <w:rPr>
      <w:vertAlign w:val="superscript"/>
    </w:rPr>
  </w:style>
  <w:style w:type="paragraph" w:styleId="CommentText">
    <w:name w:val="annotation text"/>
    <w:basedOn w:val="Normal"/>
    <w:link w:val="CommentTextChar"/>
    <w:uiPriority w:val="99"/>
    <w:semiHidden/>
    <w:unhideWhenUsed/>
    <w:rsid w:val="00702CC3"/>
    <w:rPr>
      <w:sz w:val="20"/>
    </w:rPr>
  </w:style>
  <w:style w:type="character" w:customStyle="1" w:styleId="CommentTextChar">
    <w:name w:val="Comment Text Char"/>
    <w:basedOn w:val="DefaultParagraphFont"/>
    <w:link w:val="CommentText"/>
    <w:uiPriority w:val="99"/>
    <w:semiHidden/>
    <w:rsid w:val="00702CC3"/>
  </w:style>
  <w:style w:type="character" w:styleId="CommentReference">
    <w:name w:val="annotation reference"/>
    <w:basedOn w:val="DefaultParagraphFont"/>
    <w:uiPriority w:val="99"/>
    <w:semiHidden/>
    <w:unhideWhenUsed/>
    <w:rsid w:val="00702CC3"/>
    <w:rPr>
      <w:sz w:val="16"/>
      <w:szCs w:val="16"/>
    </w:rPr>
  </w:style>
  <w:style w:type="paragraph" w:styleId="Revision">
    <w:name w:val="Revision"/>
    <w:hidden/>
    <w:uiPriority w:val="99"/>
    <w:semiHidden/>
    <w:rsid w:val="004A4EA4"/>
    <w:rPr>
      <w:sz w:val="24"/>
    </w:rPr>
  </w:style>
  <w:style w:type="character" w:styleId="Hyperlink">
    <w:name w:val="Hyperlink"/>
    <w:basedOn w:val="DefaultParagraphFont"/>
    <w:uiPriority w:val="99"/>
    <w:unhideWhenUsed/>
    <w:rsid w:val="007947CD"/>
    <w:rPr>
      <w:color w:val="0563C1" w:themeColor="hyperlink"/>
      <w:u w:val="single"/>
    </w:rPr>
  </w:style>
  <w:style w:type="character" w:styleId="UnresolvedMention">
    <w:name w:val="Unresolved Mention"/>
    <w:basedOn w:val="DefaultParagraphFont"/>
    <w:uiPriority w:val="99"/>
    <w:semiHidden/>
    <w:unhideWhenUsed/>
    <w:rsid w:val="007947CD"/>
    <w:rPr>
      <w:color w:val="605E5C"/>
      <w:shd w:val="clear" w:color="auto" w:fill="E1DFDD"/>
    </w:rPr>
  </w:style>
  <w:style w:type="paragraph" w:styleId="ListParagraph">
    <w:name w:val="List Paragraph"/>
    <w:basedOn w:val="Normal"/>
    <w:uiPriority w:val="34"/>
    <w:qFormat/>
    <w:rsid w:val="00C44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75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oas.org/dil/esp/C%C3%B3digo%20Civil%20Federal%20Mexico.pdf" TargetMode="External"/><Relationship Id="rId1" Type="http://schemas.openxmlformats.org/officeDocument/2006/relationships/hyperlink" Target="https://estadisticas.pr/files/Inventario/publicaciones/Perfil%20PR%20y%20El%20Mundo%20202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b6ff2e9-7bd1-4327-9299-03124963524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DAB8FB7F9EC4A47B248142729D13085" ma:contentTypeVersion="8" ma:contentTypeDescription="Create a new document." ma:contentTypeScope="" ma:versionID="bd18c82c30cab6a4049755fc31b91eed">
  <xsd:schema xmlns:xsd="http://www.w3.org/2001/XMLSchema" xmlns:xs="http://www.w3.org/2001/XMLSchema" xmlns:p="http://schemas.microsoft.com/office/2006/metadata/properties" xmlns:ns3="eb6ff2e9-7bd1-4327-9299-031249635246" xmlns:ns4="be92dab3-0464-441a-aec0-c363d13c5794" targetNamespace="http://schemas.microsoft.com/office/2006/metadata/properties" ma:root="true" ma:fieldsID="bb42cd8e82f79f0ea445f5a32e008097" ns3:_="" ns4:_="">
    <xsd:import namespace="eb6ff2e9-7bd1-4327-9299-031249635246"/>
    <xsd:import namespace="be92dab3-0464-441a-aec0-c363d13c579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6ff2e9-7bd1-4327-9299-0312496352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92dab3-0464-441a-aec0-c363d13c579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05477F1-B61C-4297-ADDC-DD2C817BA635}">
  <ds:schemaRefs>
    <ds:schemaRef ds:uri="http://schemas.openxmlformats.org/officeDocument/2006/bibliography"/>
  </ds:schemaRefs>
</ds:datastoreItem>
</file>

<file path=customXml/itemProps3.xml><?xml version="1.0" encoding="utf-8"?>
<ds:datastoreItem xmlns:ds="http://schemas.openxmlformats.org/officeDocument/2006/customXml" ds:itemID="{E4650F00-26CF-4687-84E4-EB8BEF83ED76}">
  <ds:schemaRefs>
    <ds:schemaRef ds:uri="http://schemas.microsoft.com/office/2006/metadata/properties"/>
    <ds:schemaRef ds:uri="http://schemas.microsoft.com/office/infopath/2007/PartnerControls"/>
    <ds:schemaRef ds:uri="eb6ff2e9-7bd1-4327-9299-031249635246"/>
  </ds:schemaRefs>
</ds:datastoreItem>
</file>

<file path=customXml/itemProps4.xml><?xml version="1.0" encoding="utf-8"?>
<ds:datastoreItem xmlns:ds="http://schemas.openxmlformats.org/officeDocument/2006/customXml" ds:itemID="{6ACBB02F-116E-4747-806C-9A7EBC6895FE}">
  <ds:schemaRefs>
    <ds:schemaRef ds:uri="http://schemas.microsoft.com/sharepoint/v3/contenttype/forms"/>
  </ds:schemaRefs>
</ds:datastoreItem>
</file>

<file path=customXml/itemProps5.xml><?xml version="1.0" encoding="utf-8"?>
<ds:datastoreItem xmlns:ds="http://schemas.openxmlformats.org/officeDocument/2006/customXml" ds:itemID="{A09C6385-F72A-412B-972D-E0D331419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6ff2e9-7bd1-4327-9299-031249635246"/>
    <ds:schemaRef ds:uri="be92dab3-0464-441a-aec0-c363d13c57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3</TotalTime>
  <Pages>3</Pages>
  <Words>1097</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6776</CharactersWithSpaces>
  <SharedDoc>false</SharedDoc>
  <HLinks>
    <vt:vector size="18" baseType="variant">
      <vt:variant>
        <vt:i4>7798889</vt:i4>
      </vt:variant>
      <vt:variant>
        <vt:i4>9</vt:i4>
      </vt:variant>
      <vt:variant>
        <vt:i4>0</vt:i4>
      </vt:variant>
      <vt:variant>
        <vt:i4>5</vt:i4>
      </vt:variant>
      <vt:variant>
        <vt:lpwstr>https://www.elnuevodia.com/noticias/politica/notas/presidente-de-la-cee-saca-del-cargo-a-la-presidenta-de-la-java/</vt:lpwstr>
      </vt:variant>
      <vt:variant>
        <vt:lpwstr/>
      </vt:variant>
      <vt:variant>
        <vt:i4>458757</vt:i4>
      </vt:variant>
      <vt:variant>
        <vt:i4>6</vt:i4>
      </vt:variant>
      <vt:variant>
        <vt:i4>0</vt:i4>
      </vt:variant>
      <vt:variant>
        <vt:i4>5</vt:i4>
      </vt:variant>
      <vt:variant>
        <vt:lpwstr>https://www.elnuevodia.com/noticias/politica/notas/por-que-la-comision-estatal-de-elecciones-todavia-sigue-contando-votos-ausentes-y-adelantados/</vt:lpwstr>
      </vt:variant>
      <vt:variant>
        <vt:lpwstr/>
      </vt:variant>
      <vt:variant>
        <vt:i4>3866668</vt:i4>
      </vt:variant>
      <vt:variant>
        <vt:i4>3</vt:i4>
      </vt:variant>
      <vt:variant>
        <vt:i4>0</vt:i4>
      </vt:variant>
      <vt:variant>
        <vt:i4>5</vt:i4>
      </vt:variant>
      <vt:variant>
        <vt:lpwstr>https://www.metro.pr/pr/noticias/2020/11/08/ppd-denuncia-sustancial-descuadre-papeletas-voto-adelantado-2.html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Effie A. Acevedo Guasp</dc:creator>
  <cp:keywords/>
  <cp:lastModifiedBy>Gladys J. Burgos Torres</cp:lastModifiedBy>
  <cp:revision>4</cp:revision>
  <cp:lastPrinted>2024-12-30T18:07:00Z</cp:lastPrinted>
  <dcterms:created xsi:type="dcterms:W3CDTF">2025-01-02T15:52:00Z</dcterms:created>
  <dcterms:modified xsi:type="dcterms:W3CDTF">2025-01-10T15:38:00Z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0x0101006DAB8FB7F9EC4A47B248142729D13085</vt:lpwstr>
  </property>
</Properties>
</file>