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66524" w14:textId="77777777" w:rsidR="00CD7D11" w:rsidRDefault="00CD7D11" w:rsidP="00CD7D11">
      <w:pPr>
        <w:pStyle w:val="Title"/>
        <w:jc w:val="center"/>
        <w:rPr>
          <w:rFonts w:ascii="Book Antiqua" w:hAnsi="Book Antiqua"/>
          <w:b/>
          <w:sz w:val="28"/>
          <w:szCs w:val="28"/>
        </w:rPr>
      </w:pPr>
      <w:r>
        <w:rPr>
          <w:rFonts w:ascii="Book Antiqua" w:hAnsi="Book Antiqua"/>
          <w:sz w:val="28"/>
          <w:szCs w:val="28"/>
        </w:rPr>
        <w:t xml:space="preserve">GOBIERNO DE </w:t>
      </w:r>
      <w:r w:rsidRPr="00C40F63">
        <w:rPr>
          <w:rFonts w:ascii="Book Antiqua" w:hAnsi="Book Antiqua"/>
          <w:sz w:val="28"/>
          <w:szCs w:val="28"/>
        </w:rPr>
        <w:t>PUERTO RICO</w:t>
      </w:r>
    </w:p>
    <w:p w14:paraId="7DE2FE9A" w14:textId="77777777" w:rsidR="00CD7D11" w:rsidRDefault="00CD7D11" w:rsidP="00CD7D11">
      <w:pPr>
        <w:pStyle w:val="Title"/>
        <w:rPr>
          <w:rFonts w:ascii="Book Antiqua" w:hAnsi="Book Antiqua"/>
          <w:b/>
          <w:sz w:val="28"/>
          <w:szCs w:val="28"/>
        </w:rPr>
      </w:pPr>
    </w:p>
    <w:p w14:paraId="084E42B3" w14:textId="77777777" w:rsidR="00CD7D11" w:rsidRPr="00C40F63" w:rsidRDefault="00CD7D11" w:rsidP="00CD7D11">
      <w:pPr>
        <w:pStyle w:val="Title"/>
        <w:rPr>
          <w:rFonts w:ascii="Book Antiqua" w:hAnsi="Book Antiqua"/>
          <w:b/>
          <w:sz w:val="28"/>
          <w:szCs w:val="28"/>
        </w:rPr>
      </w:pPr>
    </w:p>
    <w:p w14:paraId="3D617E1B" w14:textId="77777777" w:rsidR="00CD7D11" w:rsidRPr="00ED5788" w:rsidRDefault="00CD7D11" w:rsidP="00CD7D11">
      <w:pPr>
        <w:pStyle w:val="Title2"/>
        <w:tabs>
          <w:tab w:val="clear" w:pos="648"/>
          <w:tab w:val="left" w:pos="600"/>
        </w:tabs>
        <w:rPr>
          <w:rFonts w:ascii="Book Antiqua" w:hAnsi="Book Antiqua"/>
          <w:szCs w:val="24"/>
          <w:lang w:val="es-ES_tradnl"/>
        </w:rPr>
      </w:pPr>
      <w:r>
        <w:rPr>
          <w:rFonts w:ascii="Book Antiqua" w:hAnsi="Book Antiqua"/>
          <w:szCs w:val="24"/>
          <w:lang w:val="es-ES_tradnl"/>
        </w:rPr>
        <w:t xml:space="preserve">20ma. </w:t>
      </w:r>
      <w:r w:rsidRPr="00ED5788">
        <w:rPr>
          <w:rFonts w:ascii="Book Antiqua" w:hAnsi="Book Antiqua"/>
          <w:szCs w:val="24"/>
          <w:lang w:val="es-ES_tradnl"/>
        </w:rPr>
        <w:t>Asamblea</w:t>
      </w:r>
      <w:r w:rsidRPr="00ED5788">
        <w:rPr>
          <w:rFonts w:ascii="Book Antiqua" w:hAnsi="Book Antiqua"/>
          <w:szCs w:val="24"/>
          <w:lang w:val="es-ES_tradnl"/>
        </w:rPr>
        <w:tab/>
      </w:r>
      <w:r>
        <w:rPr>
          <w:rFonts w:ascii="Book Antiqua" w:hAnsi="Book Antiqua"/>
          <w:szCs w:val="24"/>
          <w:lang w:val="es-ES_tradnl"/>
        </w:rPr>
        <w:t>3ra.</w:t>
      </w:r>
      <w:r w:rsidRPr="00ED5788">
        <w:rPr>
          <w:rFonts w:ascii="Book Antiqua" w:hAnsi="Book Antiqua"/>
          <w:szCs w:val="24"/>
          <w:lang w:val="es-ES_tradnl"/>
        </w:rPr>
        <w:tab/>
        <w:t>Sesión</w:t>
      </w:r>
    </w:p>
    <w:p w14:paraId="602FAAAC" w14:textId="77777777" w:rsidR="00CD7D11" w:rsidRPr="00ED5788" w:rsidRDefault="00CD7D11" w:rsidP="00CD7D11">
      <w:pPr>
        <w:pStyle w:val="Title2"/>
        <w:tabs>
          <w:tab w:val="clear" w:pos="648"/>
          <w:tab w:val="left" w:pos="600"/>
        </w:tabs>
        <w:rPr>
          <w:rFonts w:ascii="Book Antiqua" w:hAnsi="Book Antiqua"/>
          <w:szCs w:val="24"/>
          <w:lang w:val="es-ES_tradnl"/>
        </w:rPr>
      </w:pPr>
      <w:r w:rsidRPr="00ED5788">
        <w:rPr>
          <w:rFonts w:ascii="Book Antiqua" w:hAnsi="Book Antiqua"/>
          <w:szCs w:val="24"/>
          <w:lang w:val="es-ES_tradnl"/>
        </w:rPr>
        <w:tab/>
        <w:t>Legislativa</w:t>
      </w:r>
      <w:r w:rsidRPr="00ED5788">
        <w:rPr>
          <w:rFonts w:ascii="Book Antiqua" w:hAnsi="Book Antiqua"/>
          <w:szCs w:val="24"/>
          <w:lang w:val="es-ES_tradnl"/>
        </w:rPr>
        <w:tab/>
      </w:r>
      <w:r w:rsidRPr="00ED5788">
        <w:rPr>
          <w:rFonts w:ascii="Book Antiqua" w:hAnsi="Book Antiqua"/>
          <w:szCs w:val="24"/>
          <w:lang w:val="es-ES_tradnl"/>
        </w:rPr>
        <w:tab/>
        <w:t>Ordinaria</w:t>
      </w:r>
    </w:p>
    <w:p w14:paraId="1FB372A9" w14:textId="77777777" w:rsidR="00CD7D11" w:rsidRPr="00ED5788" w:rsidRDefault="00CD7D11" w:rsidP="00CD7D11">
      <w:pPr>
        <w:jc w:val="center"/>
        <w:rPr>
          <w:rFonts w:ascii="Book Antiqua" w:hAnsi="Book Antiqua"/>
          <w:b/>
          <w:lang w:val="es-ES_tradnl"/>
        </w:rPr>
      </w:pPr>
    </w:p>
    <w:p w14:paraId="42427FA2" w14:textId="77777777" w:rsidR="00CD7D11" w:rsidRPr="00CD7D11" w:rsidRDefault="00CD7D11" w:rsidP="00CD7D11">
      <w:pPr>
        <w:jc w:val="center"/>
        <w:rPr>
          <w:rFonts w:ascii="Book Antiqua" w:hAnsi="Book Antiqua"/>
          <w:b/>
          <w:sz w:val="28"/>
          <w:szCs w:val="28"/>
          <w:lang w:val="es-ES_tradnl"/>
        </w:rPr>
      </w:pPr>
      <w:r w:rsidRPr="00CD7D11">
        <w:rPr>
          <w:rFonts w:ascii="Book Antiqua" w:hAnsi="Book Antiqua"/>
          <w:b/>
          <w:sz w:val="28"/>
          <w:szCs w:val="28"/>
          <w:lang w:val="es-ES_tradnl"/>
        </w:rPr>
        <w:t>CÁMARA DE REPRESENTANTES</w:t>
      </w:r>
    </w:p>
    <w:p w14:paraId="56E44B6C" w14:textId="0B8D0D92" w:rsidR="00CD7D11" w:rsidRDefault="00CD7D11" w:rsidP="00CD7D11">
      <w:pPr>
        <w:jc w:val="center"/>
        <w:rPr>
          <w:rFonts w:ascii="Book Antiqua" w:hAnsi="Book Antiqua"/>
          <w:b/>
          <w:sz w:val="48"/>
          <w:szCs w:val="48"/>
        </w:rPr>
      </w:pPr>
      <w:r>
        <w:rPr>
          <w:rFonts w:ascii="Book Antiqua" w:hAnsi="Book Antiqua"/>
          <w:b/>
          <w:sz w:val="48"/>
          <w:szCs w:val="48"/>
        </w:rPr>
        <w:t xml:space="preserve">P. </w:t>
      </w:r>
      <w:r w:rsidRPr="00AD69A6">
        <w:rPr>
          <w:rFonts w:ascii="Book Antiqua" w:hAnsi="Book Antiqua"/>
          <w:b/>
          <w:sz w:val="48"/>
          <w:szCs w:val="48"/>
        </w:rPr>
        <w:t>de</w:t>
      </w:r>
      <w:r w:rsidR="00A858C4">
        <w:rPr>
          <w:rFonts w:ascii="Book Antiqua" w:hAnsi="Book Antiqua"/>
          <w:b/>
          <w:sz w:val="48"/>
          <w:szCs w:val="48"/>
        </w:rPr>
        <w:t xml:space="preserve">l S. </w:t>
      </w:r>
      <w:r>
        <w:rPr>
          <w:rFonts w:ascii="Book Antiqua" w:hAnsi="Book Antiqua"/>
          <w:b/>
          <w:sz w:val="48"/>
          <w:szCs w:val="48"/>
        </w:rPr>
        <w:t>1</w:t>
      </w:r>
      <w:r w:rsidR="00A858C4">
        <w:rPr>
          <w:rFonts w:ascii="Book Antiqua" w:hAnsi="Book Antiqua"/>
          <w:b/>
          <w:sz w:val="48"/>
          <w:szCs w:val="48"/>
        </w:rPr>
        <w:t>11</w:t>
      </w:r>
      <w:r>
        <w:rPr>
          <w:rFonts w:ascii="Book Antiqua" w:hAnsi="Book Antiqua"/>
          <w:b/>
          <w:sz w:val="48"/>
          <w:szCs w:val="48"/>
        </w:rPr>
        <w:t xml:space="preserve"> </w:t>
      </w:r>
      <w:r w:rsidRPr="00AD69A6">
        <w:rPr>
          <w:rFonts w:ascii="Book Antiqua" w:hAnsi="Book Antiqua"/>
          <w:b/>
          <w:sz w:val="48"/>
          <w:szCs w:val="48"/>
        </w:rPr>
        <w:t xml:space="preserve"> </w:t>
      </w:r>
    </w:p>
    <w:p w14:paraId="0F2E5FE7" w14:textId="77777777" w:rsidR="00CD7D11" w:rsidRPr="00A959E7" w:rsidRDefault="00CD7D11" w:rsidP="00CD7D11">
      <w:pPr>
        <w:jc w:val="center"/>
        <w:rPr>
          <w:rFonts w:ascii="Book Antiqua" w:hAnsi="Book Antiqua"/>
          <w:b/>
          <w:sz w:val="22"/>
          <w:szCs w:val="28"/>
          <w:lang w:val="es-ES_tradnl"/>
        </w:rPr>
      </w:pPr>
      <w:r w:rsidRPr="00AD69A6">
        <w:rPr>
          <w:rFonts w:ascii="Book Antiqua" w:hAnsi="Book Antiqua"/>
          <w:b/>
          <w:sz w:val="48"/>
          <w:szCs w:val="48"/>
        </w:rPr>
        <w:t xml:space="preserve">Informe </w:t>
      </w:r>
      <w:r>
        <w:rPr>
          <w:rFonts w:ascii="Book Antiqua" w:hAnsi="Book Antiqua"/>
          <w:b/>
          <w:sz w:val="48"/>
          <w:szCs w:val="48"/>
        </w:rPr>
        <w:t>Positivo</w:t>
      </w:r>
    </w:p>
    <w:p w14:paraId="0D05B407" w14:textId="2A979173" w:rsidR="00CD7D11" w:rsidRPr="00ED5788" w:rsidRDefault="00B27F33" w:rsidP="00CD7D11">
      <w:pPr>
        <w:jc w:val="center"/>
        <w:rPr>
          <w:rFonts w:ascii="Book Antiqua" w:hAnsi="Book Antiqua"/>
          <w:bCs/>
          <w:lang w:val="es-ES_tradnl"/>
        </w:rPr>
      </w:pPr>
      <w:r>
        <w:rPr>
          <w:rFonts w:ascii="Book Antiqua" w:hAnsi="Book Antiqua"/>
          <w:bCs/>
          <w:lang w:val="es-ES_tradnl"/>
        </w:rPr>
        <w:t>23</w:t>
      </w:r>
      <w:r w:rsidR="00CD7D11">
        <w:rPr>
          <w:rFonts w:ascii="Book Antiqua" w:hAnsi="Book Antiqua"/>
          <w:bCs/>
          <w:lang w:val="es-ES_tradnl"/>
        </w:rPr>
        <w:t xml:space="preserve"> de junio de 2025</w:t>
      </w:r>
    </w:p>
    <w:p w14:paraId="2ED81C74" w14:textId="77777777" w:rsidR="00CD7D11" w:rsidRPr="00ED5788" w:rsidRDefault="00CD7D11" w:rsidP="00CD7D11">
      <w:pPr>
        <w:rPr>
          <w:rFonts w:ascii="Book Antiqua" w:hAnsi="Book Antiqua"/>
          <w:b/>
          <w:bCs/>
          <w:lang w:val="es-ES_tradnl"/>
        </w:rPr>
      </w:pPr>
    </w:p>
    <w:p w14:paraId="33C85E0D" w14:textId="77777777" w:rsidR="00CD7D11" w:rsidRDefault="00CD7D11" w:rsidP="00CD7D11">
      <w:pPr>
        <w:rPr>
          <w:rFonts w:ascii="Book Antiqua" w:hAnsi="Book Antiqua"/>
          <w:b/>
          <w:bCs/>
          <w:lang w:val="es-ES_tradnl"/>
        </w:rPr>
      </w:pPr>
      <w:r>
        <w:rPr>
          <w:rFonts w:ascii="Book Antiqua" w:hAnsi="Book Antiqua"/>
          <w:b/>
          <w:bCs/>
          <w:lang w:val="es-ES_tradnl"/>
        </w:rPr>
        <w:t xml:space="preserve"> A LA CÁMARA DE REPRESENTANTES </w:t>
      </w:r>
      <w:r w:rsidRPr="00ED5788">
        <w:rPr>
          <w:rFonts w:ascii="Book Antiqua" w:hAnsi="Book Antiqua"/>
          <w:b/>
          <w:bCs/>
          <w:lang w:val="es-ES_tradnl"/>
        </w:rPr>
        <w:t xml:space="preserve">DE PUERTO RICO: </w:t>
      </w:r>
    </w:p>
    <w:p w14:paraId="5AC5B16F" w14:textId="77C5A973" w:rsidR="00CD7D11" w:rsidRDefault="00CD7D11" w:rsidP="00CD7D11">
      <w:pPr>
        <w:rPr>
          <w:rFonts w:ascii="Book Antiqua" w:eastAsia="Book Antiqua" w:hAnsi="Book Antiqua" w:cs="Book Antiqua"/>
        </w:rPr>
      </w:pPr>
      <w:r w:rsidRPr="00863370">
        <w:rPr>
          <w:rFonts w:ascii="Book Antiqua" w:hAnsi="Book Antiqua"/>
        </w:rPr>
        <w:t>La Comisión de Hacienda</w:t>
      </w:r>
      <w:r>
        <w:rPr>
          <w:rFonts w:ascii="Book Antiqua" w:hAnsi="Book Antiqua"/>
        </w:rPr>
        <w:t xml:space="preserve"> </w:t>
      </w:r>
      <w:r w:rsidRPr="00863370">
        <w:rPr>
          <w:rFonts w:ascii="Book Antiqua" w:hAnsi="Book Antiqua"/>
        </w:rPr>
        <w:t>de la Cámara de Representantes</w:t>
      </w:r>
      <w:r>
        <w:rPr>
          <w:rFonts w:ascii="Book Antiqua" w:hAnsi="Book Antiqua"/>
        </w:rPr>
        <w:t xml:space="preserve"> del Gobierno de </w:t>
      </w:r>
      <w:r w:rsidRPr="00863370">
        <w:rPr>
          <w:rFonts w:ascii="Book Antiqua" w:hAnsi="Book Antiqua"/>
        </w:rPr>
        <w:t>Puerto Rico, tiene el honor de recomendar a este Honorable Cuerpo la aprobación de</w:t>
      </w:r>
      <w:r>
        <w:rPr>
          <w:rFonts w:ascii="Book Antiqua" w:hAnsi="Book Antiqua"/>
        </w:rPr>
        <w:t xml:space="preserve">l Proyecto del Senado </w:t>
      </w:r>
      <w:r>
        <w:rPr>
          <w:rFonts w:ascii="Book Antiqua" w:hAnsi="Book Antiqua"/>
          <w:lang w:val="es-ES_tradnl"/>
        </w:rPr>
        <w:t xml:space="preserve">111, </w:t>
      </w:r>
      <w:r w:rsidRPr="0004572D">
        <w:rPr>
          <w:rFonts w:ascii="Book Antiqua" w:hAnsi="Book Antiqua"/>
        </w:rPr>
        <w:t>con las enmiendas incluidas</w:t>
      </w:r>
      <w:r>
        <w:rPr>
          <w:rFonts w:ascii="Book Antiqua" w:hAnsi="Book Antiqua"/>
        </w:rPr>
        <w:t xml:space="preserve"> </w:t>
      </w:r>
      <w:r w:rsidRPr="0004572D">
        <w:rPr>
          <w:rFonts w:ascii="Book Antiqua" w:hAnsi="Book Antiqua"/>
        </w:rPr>
        <w:t xml:space="preserve">en el </w:t>
      </w:r>
      <w:proofErr w:type="spellStart"/>
      <w:r w:rsidRPr="0004572D">
        <w:rPr>
          <w:rFonts w:ascii="Book Antiqua" w:hAnsi="Book Antiqua"/>
        </w:rPr>
        <w:t>ent</w:t>
      </w:r>
      <w:r>
        <w:rPr>
          <w:rFonts w:ascii="Book Antiqua" w:hAnsi="Book Antiqua"/>
        </w:rPr>
        <w:t>iril</w:t>
      </w:r>
      <w:r w:rsidRPr="0004572D">
        <w:rPr>
          <w:rFonts w:ascii="Book Antiqua" w:hAnsi="Book Antiqua"/>
        </w:rPr>
        <w:t>lado</w:t>
      </w:r>
      <w:proofErr w:type="spellEnd"/>
      <w:r w:rsidRPr="0004572D">
        <w:rPr>
          <w:rFonts w:ascii="Book Antiqua" w:hAnsi="Book Antiqua"/>
        </w:rPr>
        <w:t xml:space="preserve"> electr</w:t>
      </w:r>
      <w:r>
        <w:rPr>
          <w:rFonts w:ascii="Book Antiqua" w:hAnsi="Book Antiqua"/>
        </w:rPr>
        <w:t>ó</w:t>
      </w:r>
      <w:r w:rsidRPr="0004572D">
        <w:rPr>
          <w:rFonts w:ascii="Book Antiqua" w:hAnsi="Book Antiqua"/>
        </w:rPr>
        <w:t xml:space="preserve">nico que se </w:t>
      </w:r>
      <w:r>
        <w:rPr>
          <w:rFonts w:ascii="Book Antiqua" w:hAnsi="Book Antiqua"/>
        </w:rPr>
        <w:t>a</w:t>
      </w:r>
      <w:r w:rsidRPr="0004572D">
        <w:rPr>
          <w:rFonts w:ascii="Book Antiqua" w:hAnsi="Book Antiqua"/>
        </w:rPr>
        <w:t>compaña.</w:t>
      </w:r>
      <w:r>
        <w:rPr>
          <w:rFonts w:ascii="Book Antiqua" w:hAnsi="Book Antiqua"/>
        </w:rPr>
        <w:t xml:space="preserve"> </w:t>
      </w:r>
      <w:r w:rsidRPr="00700566">
        <w:rPr>
          <w:rFonts w:ascii="Book Antiqua" w:eastAsia="Book Antiqua" w:hAnsi="Book Antiqua" w:cs="Book Antiqua"/>
        </w:rPr>
        <w:t xml:space="preserve"> </w:t>
      </w:r>
    </w:p>
    <w:p w14:paraId="728F3191" w14:textId="77777777" w:rsidR="00036B91" w:rsidRPr="00700566" w:rsidRDefault="00036B91" w:rsidP="00CD7D11">
      <w:pPr>
        <w:rPr>
          <w:rFonts w:ascii="Book Antiqua" w:eastAsia="Book Antiqua" w:hAnsi="Book Antiqua" w:cs="Book Antiqua"/>
        </w:rPr>
      </w:pPr>
    </w:p>
    <w:p w14:paraId="452754C2" w14:textId="77777777" w:rsidR="00495D03" w:rsidRPr="00CD7D11" w:rsidRDefault="00495D03" w:rsidP="00CD7D11">
      <w:pPr>
        <w:pStyle w:val="BodyText"/>
        <w:spacing w:line="240" w:lineRule="auto"/>
        <w:jc w:val="center"/>
        <w:outlineLvl w:val="0"/>
        <w:rPr>
          <w:rFonts w:ascii="Book Antiqua" w:hAnsi="Book Antiqua"/>
          <w:b/>
          <w:bCs/>
          <w:szCs w:val="24"/>
        </w:rPr>
      </w:pPr>
      <w:r w:rsidRPr="00CD7D11">
        <w:rPr>
          <w:rFonts w:ascii="Book Antiqua" w:hAnsi="Book Antiqua"/>
          <w:b/>
          <w:bCs/>
          <w:szCs w:val="24"/>
        </w:rPr>
        <w:t>ALCANCE DE LA MEDIDA</w:t>
      </w:r>
    </w:p>
    <w:p w14:paraId="18D3E872" w14:textId="77777777" w:rsidR="00134915" w:rsidRPr="00CD7D11" w:rsidRDefault="00134915" w:rsidP="00CD7D11">
      <w:pPr>
        <w:pStyle w:val="BodyText"/>
        <w:spacing w:line="240" w:lineRule="auto"/>
        <w:jc w:val="center"/>
        <w:outlineLvl w:val="0"/>
        <w:rPr>
          <w:rFonts w:ascii="Book Antiqua" w:hAnsi="Book Antiqua"/>
          <w:b/>
          <w:bCs/>
          <w:szCs w:val="24"/>
        </w:rPr>
      </w:pPr>
    </w:p>
    <w:p w14:paraId="10EB7843" w14:textId="77777777" w:rsidR="00495D03" w:rsidRPr="00CD7D11" w:rsidRDefault="00495D03"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 xml:space="preserve">El P. del S. 111 propone enmendar el inciso (a) del Artículo 21 de la Ley Núm. 83 de 2 de julio de 1987, según enmendada, conocida como la “Ley de la Industria y el Deporte Hípico de Puerto Rico”, con el propósito de ajustar la distribución del ingreso neto de operaciones del Sistema de Vídeo Juego Electrónico (SVJ) para destinar </w:t>
      </w:r>
      <w:proofErr w:type="gramStart"/>
      <w:r w:rsidRPr="00CD7D11">
        <w:rPr>
          <w:rFonts w:ascii="Book Antiqua" w:eastAsia="Times New Roman" w:hAnsi="Book Antiqua" w:cs="Times New Roman"/>
          <w:kern w:val="0"/>
          <w:lang w:val="es-ES"/>
          <w14:ligatures w14:val="none"/>
        </w:rPr>
        <w:t>un cero punto</w:t>
      </w:r>
      <w:proofErr w:type="gramEnd"/>
      <w:r w:rsidRPr="00CD7D11">
        <w:rPr>
          <w:rFonts w:ascii="Book Antiqua" w:eastAsia="Times New Roman" w:hAnsi="Book Antiqua" w:cs="Times New Roman"/>
          <w:kern w:val="0"/>
          <w:lang w:val="es-ES"/>
          <w14:ligatures w14:val="none"/>
        </w:rPr>
        <w:t xml:space="preserve"> cinco por ciento (0.5%) al Fondo de Criadores de Caballos Purasangre de Puerto Rico. La medida no crea asignaciones nuevas al Fondo General ni impone desembolsos adicionales del erario; su efecto se limita a una redistribución interna de los ingresos del SVJ con la finalidad de fortalecer la crianza nativa y la cadena productiva vinculada al hipismo.</w:t>
      </w:r>
    </w:p>
    <w:p w14:paraId="68EC916A" w14:textId="77777777" w:rsidR="00134915" w:rsidRPr="00CA6787" w:rsidRDefault="00134915" w:rsidP="00BD2A29">
      <w:pPr>
        <w:jc w:val="both"/>
      </w:pPr>
    </w:p>
    <w:p w14:paraId="42CB7A6D" w14:textId="6CA7CBEC" w:rsidR="00EF19B5" w:rsidRPr="00CD7D11" w:rsidRDefault="00EF19B5"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El deporte hípico constituye una de las tradiciones más antiguas y arraigadas en Puerto Rico</w:t>
      </w:r>
      <w:r w:rsidR="00633590" w:rsidRPr="00CD7D11">
        <w:rPr>
          <w:rFonts w:ascii="Book Antiqua" w:eastAsia="Times New Roman" w:hAnsi="Book Antiqua" w:cs="Times New Roman"/>
          <w:kern w:val="0"/>
          <w:lang w:val="es-ES"/>
          <w14:ligatures w14:val="none"/>
        </w:rPr>
        <w:t xml:space="preserve"> </w:t>
      </w:r>
      <w:r w:rsidRPr="00CD7D11">
        <w:rPr>
          <w:rFonts w:ascii="Book Antiqua" w:eastAsia="Times New Roman" w:hAnsi="Book Antiqua" w:cs="Times New Roman"/>
          <w:kern w:val="0"/>
          <w:lang w:val="es-ES"/>
          <w14:ligatures w14:val="none"/>
        </w:rPr>
        <w:t xml:space="preserve">y que ha evolucionado hasta convertirse en un componente de actividad económica </w:t>
      </w:r>
      <w:r w:rsidR="00DD0326" w:rsidRPr="00CD7D11">
        <w:rPr>
          <w:rFonts w:ascii="Book Antiqua" w:eastAsia="Times New Roman" w:hAnsi="Book Antiqua" w:cs="Times New Roman"/>
          <w:kern w:val="0"/>
          <w:lang w:val="es-ES"/>
          <w14:ligatures w14:val="none"/>
        </w:rPr>
        <w:t>en la isla</w:t>
      </w:r>
      <w:r w:rsidRPr="00CD7D11">
        <w:rPr>
          <w:rFonts w:ascii="Book Antiqua" w:eastAsia="Times New Roman" w:hAnsi="Book Antiqua" w:cs="Times New Roman"/>
          <w:kern w:val="0"/>
          <w:lang w:val="es-ES"/>
          <w14:ligatures w14:val="none"/>
        </w:rPr>
        <w:t>.</w:t>
      </w:r>
      <w:r w:rsidR="00DD0326" w:rsidRPr="00CD7D11">
        <w:rPr>
          <w:rFonts w:ascii="Book Antiqua" w:eastAsia="Times New Roman" w:hAnsi="Book Antiqua" w:cs="Times New Roman"/>
          <w:kern w:val="0"/>
          <w:lang w:val="es-ES"/>
          <w14:ligatures w14:val="none"/>
        </w:rPr>
        <w:t xml:space="preserve">  </w:t>
      </w:r>
      <w:r w:rsidRPr="00CD7D11">
        <w:rPr>
          <w:rFonts w:ascii="Book Antiqua" w:eastAsia="Times New Roman" w:hAnsi="Book Antiqua" w:cs="Times New Roman"/>
          <w:kern w:val="0"/>
          <w:lang w:val="es-ES"/>
          <w14:ligatures w14:val="none"/>
        </w:rPr>
        <w:t xml:space="preserve">La industria genera entre cuatro mil (4,000) y ocho mil (8,000) empleos directos, </w:t>
      </w:r>
      <w:r w:rsidRPr="00CD7D11">
        <w:rPr>
          <w:rFonts w:ascii="Book Antiqua" w:eastAsia="Times New Roman" w:hAnsi="Book Antiqua" w:cs="Times New Roman"/>
          <w:kern w:val="0"/>
          <w:lang w:val="es-ES"/>
          <w14:ligatures w14:val="none"/>
        </w:rPr>
        <w:lastRenderedPageBreak/>
        <w:t>además de miles de empleos indirectos vinculados a operaciones del hipódromo, agencias hípicas, servicios veterinarios, fincas de crianza y oficios especializados.</w:t>
      </w:r>
    </w:p>
    <w:p w14:paraId="13247CF2" w14:textId="47136D61" w:rsidR="00EF19B5" w:rsidRPr="00CD7D11" w:rsidRDefault="00EF19B5"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 xml:space="preserve">La crianza de equinos nativos es el eje central de esta industria. Sin embargo, durante las últimas décadas, los </w:t>
      </w:r>
      <w:r w:rsidR="00942BB1" w:rsidRPr="00CD7D11">
        <w:rPr>
          <w:rFonts w:ascii="Book Antiqua" w:eastAsia="Times New Roman" w:hAnsi="Book Antiqua" w:cs="Times New Roman"/>
          <w:kern w:val="0"/>
          <w:lang w:val="es-ES"/>
          <w14:ligatures w14:val="none"/>
        </w:rPr>
        <w:t>criadores</w:t>
      </w:r>
      <w:r w:rsidRPr="00CD7D11">
        <w:rPr>
          <w:rFonts w:ascii="Book Antiqua" w:eastAsia="Times New Roman" w:hAnsi="Book Antiqua" w:cs="Times New Roman"/>
          <w:kern w:val="0"/>
          <w:lang w:val="es-ES"/>
          <w14:ligatures w14:val="none"/>
        </w:rPr>
        <w:t xml:space="preserve"> bona fide dedicados a esta actividad han enfrentado retos sustanciales que han provocado el cierre de fincas de criadores, reduciéndose de más de treinta (30)</w:t>
      </w:r>
      <w:r w:rsidR="00DD0326" w:rsidRPr="00CD7D11">
        <w:rPr>
          <w:rFonts w:ascii="Book Antiqua" w:eastAsia="Times New Roman" w:hAnsi="Book Antiqua" w:cs="Times New Roman"/>
          <w:kern w:val="0"/>
          <w:lang w:val="es-ES"/>
          <w14:ligatures w14:val="none"/>
        </w:rPr>
        <w:t xml:space="preserve"> que </w:t>
      </w:r>
      <w:r w:rsidR="00BD2A29" w:rsidRPr="00CD7D11">
        <w:rPr>
          <w:rFonts w:ascii="Book Antiqua" w:eastAsia="Times New Roman" w:hAnsi="Book Antiqua" w:cs="Times New Roman"/>
          <w:kern w:val="0"/>
          <w:lang w:val="es-ES"/>
          <w14:ligatures w14:val="none"/>
        </w:rPr>
        <w:t>había</w:t>
      </w:r>
      <w:r w:rsidR="00DD0326" w:rsidRPr="00CD7D11">
        <w:rPr>
          <w:rFonts w:ascii="Book Antiqua" w:eastAsia="Times New Roman" w:hAnsi="Book Antiqua" w:cs="Times New Roman"/>
          <w:kern w:val="0"/>
          <w:lang w:val="es-ES"/>
          <w14:ligatures w14:val="none"/>
        </w:rPr>
        <w:t xml:space="preserve"> en el </w:t>
      </w:r>
      <w:r w:rsidR="00BD2A29" w:rsidRPr="00CD7D11">
        <w:rPr>
          <w:rFonts w:ascii="Book Antiqua" w:eastAsia="Times New Roman" w:hAnsi="Book Antiqua" w:cs="Times New Roman"/>
          <w:kern w:val="0"/>
          <w:lang w:val="es-ES"/>
          <w14:ligatures w14:val="none"/>
        </w:rPr>
        <w:t>pasado</w:t>
      </w:r>
      <w:r w:rsidR="00DD0326" w:rsidRPr="00CD7D11">
        <w:rPr>
          <w:rFonts w:ascii="Book Antiqua" w:eastAsia="Times New Roman" w:hAnsi="Book Antiqua" w:cs="Times New Roman"/>
          <w:kern w:val="0"/>
          <w:lang w:val="es-ES"/>
          <w14:ligatures w14:val="none"/>
        </w:rPr>
        <w:t>,</w:t>
      </w:r>
      <w:r w:rsidRPr="00CD7D11">
        <w:rPr>
          <w:rFonts w:ascii="Book Antiqua" w:eastAsia="Times New Roman" w:hAnsi="Book Antiqua" w:cs="Times New Roman"/>
          <w:kern w:val="0"/>
          <w:lang w:val="es-ES"/>
          <w14:ligatures w14:val="none"/>
        </w:rPr>
        <w:t xml:space="preserve"> a solo ocho (8) en la actualidad. Esta contracción amenaza la estabilidad y el futuro de la industria hípica en Puerto Rico.</w:t>
      </w:r>
    </w:p>
    <w:p w14:paraId="7D6D10B6" w14:textId="77777777" w:rsidR="00DD0326" w:rsidRPr="00CD7D11" w:rsidRDefault="00DD0326" w:rsidP="00CD7D11">
      <w:pPr>
        <w:spacing w:after="0"/>
        <w:jc w:val="both"/>
        <w:rPr>
          <w:rFonts w:ascii="Book Antiqua" w:eastAsia="Times New Roman" w:hAnsi="Book Antiqua" w:cs="Times New Roman"/>
          <w:kern w:val="0"/>
          <w:lang w:val="es-ES"/>
          <w14:ligatures w14:val="none"/>
        </w:rPr>
      </w:pPr>
    </w:p>
    <w:p w14:paraId="79D9FF1E" w14:textId="77777777" w:rsidR="00EF19B5" w:rsidRPr="00CD7D11" w:rsidRDefault="00EF19B5"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El Artículo 21 de la Ley Núm. 83</w:t>
      </w:r>
      <w:r w:rsidRPr="00CD7D11">
        <w:rPr>
          <w:rFonts w:ascii="Book Antiqua" w:eastAsia="Times New Roman" w:hAnsi="Book Antiqua" w:cs="Times New Roman"/>
          <w:kern w:val="0"/>
          <w:lang w:val="es-ES"/>
          <w14:ligatures w14:val="none"/>
        </w:rPr>
        <w:noBreakHyphen/>
        <w:t xml:space="preserve">1987 establece la estructura de distribución del ingreso neto de operaciones del Sistema de Vídeo Juego Electrónico. La medida propone añadir un nuevo </w:t>
      </w:r>
      <w:proofErr w:type="spellStart"/>
      <w:r w:rsidRPr="00CD7D11">
        <w:rPr>
          <w:rFonts w:ascii="Book Antiqua" w:eastAsia="Times New Roman" w:hAnsi="Book Antiqua" w:cs="Times New Roman"/>
          <w:kern w:val="0"/>
          <w:lang w:val="es-ES"/>
          <w14:ligatures w14:val="none"/>
        </w:rPr>
        <w:t>subinciso</w:t>
      </w:r>
      <w:proofErr w:type="spellEnd"/>
      <w:r w:rsidRPr="00CD7D11">
        <w:rPr>
          <w:rFonts w:ascii="Book Antiqua" w:eastAsia="Times New Roman" w:hAnsi="Book Antiqua" w:cs="Times New Roman"/>
          <w:kern w:val="0"/>
          <w:lang w:val="es-ES"/>
          <w14:ligatures w14:val="none"/>
        </w:rPr>
        <w:t xml:space="preserve"> para asignar el 0.5% de dichos ingresos al Fondo de Criadores, creando así una fuente de financiamiento recurrente y dirigida específicamente a fortalecer la crianza de caballos purasangre.</w:t>
      </w:r>
    </w:p>
    <w:p w14:paraId="3B1D0C5F" w14:textId="7B7A7C40" w:rsidR="00EF19B5" w:rsidRPr="00CD7D11" w:rsidRDefault="00EF19B5"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 xml:space="preserve">Es importante destacar que esta enmienda no altera la obligación estatutaria </w:t>
      </w:r>
      <w:r w:rsidR="0001076C" w:rsidRPr="00CD7D11">
        <w:rPr>
          <w:rFonts w:ascii="Book Antiqua" w:eastAsia="Times New Roman" w:hAnsi="Book Antiqua" w:cs="Times New Roman"/>
          <w:kern w:val="0"/>
          <w:lang w:val="es-ES"/>
          <w14:ligatures w14:val="none"/>
        </w:rPr>
        <w:t>que establece</w:t>
      </w:r>
      <w:r w:rsidR="002711DA" w:rsidRPr="00CD7D11">
        <w:rPr>
          <w:rFonts w:ascii="Book Antiqua" w:eastAsia="Times New Roman" w:hAnsi="Book Antiqua" w:cs="Times New Roman"/>
          <w:kern w:val="0"/>
          <w:lang w:val="es-ES"/>
          <w14:ligatures w14:val="none"/>
        </w:rPr>
        <w:t>,</w:t>
      </w:r>
      <w:r w:rsidRPr="00CD7D11">
        <w:rPr>
          <w:rFonts w:ascii="Book Antiqua" w:eastAsia="Times New Roman" w:hAnsi="Book Antiqua" w:cs="Times New Roman"/>
          <w:kern w:val="0"/>
          <w:lang w:val="es-ES"/>
          <w14:ligatures w14:val="none"/>
        </w:rPr>
        <w:t xml:space="preserve"> que no menos del ochenta y tres por ciento (83%) del valor total de las jugadas se destine a premios para los jugadores, preservando la integridad operacional del sistema.</w:t>
      </w:r>
    </w:p>
    <w:p w14:paraId="77C45A5C" w14:textId="17F071E0" w:rsidR="00EF19B5" w:rsidRDefault="00EF19B5"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La asignación propuesta representa una herramienta fiscalmente responsable que no impone cargas adicionales al Estado y que, a su vez, promueve la revitalización de un sector agrícola y deportivo que forma parte integral de la cultura y economía puertorriqueña.</w:t>
      </w:r>
    </w:p>
    <w:p w14:paraId="453988D2" w14:textId="77777777" w:rsidR="00036B91" w:rsidRPr="00CA6787" w:rsidRDefault="00036B91" w:rsidP="00036B91">
      <w:pPr>
        <w:jc w:val="both"/>
      </w:pPr>
    </w:p>
    <w:p w14:paraId="4B42B0C3" w14:textId="77777777" w:rsidR="00036B91" w:rsidRPr="00CD7D11" w:rsidRDefault="00036B91" w:rsidP="00036B91">
      <w:pPr>
        <w:pStyle w:val="BodyText"/>
        <w:spacing w:line="240" w:lineRule="auto"/>
        <w:jc w:val="center"/>
        <w:outlineLvl w:val="0"/>
        <w:rPr>
          <w:rFonts w:ascii="Book Antiqua" w:hAnsi="Book Antiqua"/>
          <w:b/>
          <w:bCs/>
          <w:szCs w:val="24"/>
        </w:rPr>
      </w:pPr>
      <w:r w:rsidRPr="00CD7D11">
        <w:rPr>
          <w:rFonts w:ascii="Book Antiqua" w:hAnsi="Book Antiqua"/>
          <w:b/>
          <w:bCs/>
          <w:szCs w:val="24"/>
        </w:rPr>
        <w:t>ANÁLISIS DE LA MEDIDA</w:t>
      </w:r>
    </w:p>
    <w:p w14:paraId="7910156E" w14:textId="77777777" w:rsidR="00B4663B" w:rsidRPr="00CD7D11" w:rsidRDefault="00B4663B" w:rsidP="00CD7D11">
      <w:pPr>
        <w:spacing w:after="0"/>
        <w:jc w:val="both"/>
        <w:rPr>
          <w:rFonts w:ascii="Book Antiqua" w:eastAsia="Times New Roman" w:hAnsi="Book Antiqua" w:cs="Times New Roman"/>
          <w:kern w:val="0"/>
          <w:lang w:val="es-ES"/>
          <w14:ligatures w14:val="none"/>
        </w:rPr>
      </w:pPr>
    </w:p>
    <w:p w14:paraId="7B3261E1" w14:textId="0D9B9B2E" w:rsidR="00495D03" w:rsidRDefault="005626B2"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 xml:space="preserve">Como parte del análisis realizado por esta Comisión, se solicitaron y recibieron </w:t>
      </w:r>
      <w:r w:rsidR="00530324" w:rsidRPr="00CD7D11">
        <w:rPr>
          <w:rFonts w:ascii="Book Antiqua" w:eastAsia="Times New Roman" w:hAnsi="Book Antiqua" w:cs="Times New Roman"/>
          <w:kern w:val="0"/>
          <w:lang w:val="es-ES"/>
          <w14:ligatures w14:val="none"/>
        </w:rPr>
        <w:t xml:space="preserve">memoriales </w:t>
      </w:r>
      <w:r w:rsidRPr="00CD7D11">
        <w:rPr>
          <w:rFonts w:ascii="Book Antiqua" w:eastAsia="Times New Roman" w:hAnsi="Book Antiqua" w:cs="Times New Roman"/>
          <w:kern w:val="0"/>
          <w:lang w:val="es-ES"/>
          <w14:ligatures w14:val="none"/>
        </w:rPr>
        <w:t xml:space="preserve">y </w:t>
      </w:r>
      <w:r w:rsidR="00530324" w:rsidRPr="00CD7D11">
        <w:rPr>
          <w:rFonts w:ascii="Book Antiqua" w:eastAsia="Times New Roman" w:hAnsi="Book Antiqua" w:cs="Times New Roman"/>
          <w:kern w:val="0"/>
          <w:lang w:val="es-ES"/>
          <w14:ligatures w14:val="none"/>
        </w:rPr>
        <w:t>ponencias</w:t>
      </w:r>
      <w:r w:rsidRPr="00CD7D11">
        <w:rPr>
          <w:rFonts w:ascii="Book Antiqua" w:eastAsia="Times New Roman" w:hAnsi="Book Antiqua" w:cs="Times New Roman"/>
          <w:kern w:val="0"/>
          <w:lang w:val="es-ES"/>
          <w14:ligatures w14:val="none"/>
        </w:rPr>
        <w:t xml:space="preserve">, y se celebró una </w:t>
      </w:r>
      <w:r w:rsidR="00155131">
        <w:rPr>
          <w:rFonts w:ascii="Book Antiqua" w:eastAsia="Times New Roman" w:hAnsi="Book Antiqua" w:cs="Times New Roman"/>
          <w:kern w:val="0"/>
          <w:lang w:val="es-ES"/>
          <w14:ligatures w14:val="none"/>
        </w:rPr>
        <w:t xml:space="preserve">Vista Pública el </w:t>
      </w:r>
      <w:r w:rsidRPr="00CD7D11">
        <w:rPr>
          <w:rFonts w:ascii="Book Antiqua" w:eastAsia="Times New Roman" w:hAnsi="Book Antiqua" w:cs="Times New Roman"/>
          <w:kern w:val="0"/>
          <w:lang w:val="es-ES"/>
          <w14:ligatures w14:val="none"/>
        </w:rPr>
        <w:t>29 de septiembre de 2025. A continuación, se presentan los comentarios y aportaciones de cada entidad que envió sus informes y/o presentaciones, así como los asuntos más relevantes discutidos en la audiencia pública.</w:t>
      </w:r>
    </w:p>
    <w:p w14:paraId="458442FA" w14:textId="77777777" w:rsidR="0019258C" w:rsidRDefault="0019258C" w:rsidP="00CD7D11">
      <w:pPr>
        <w:spacing w:after="0"/>
        <w:jc w:val="both"/>
        <w:rPr>
          <w:rFonts w:ascii="Book Antiqua" w:eastAsia="Times New Roman" w:hAnsi="Book Antiqua" w:cs="Times New Roman"/>
          <w:kern w:val="0"/>
          <w:lang w:val="es-ES"/>
          <w14:ligatures w14:val="none"/>
        </w:rPr>
      </w:pPr>
    </w:p>
    <w:p w14:paraId="0A45E930" w14:textId="5A8F052D" w:rsidR="00530324" w:rsidRDefault="00495D03" w:rsidP="00CD7D11">
      <w:pPr>
        <w:suppressLineNumbers/>
        <w:spacing w:after="0"/>
        <w:jc w:val="center"/>
        <w:rPr>
          <w:rFonts w:ascii="Book Antiqua" w:eastAsia="Times New Roman" w:hAnsi="Book Antiqua" w:cs="Times New Roman"/>
          <w:b/>
          <w:bCs/>
          <w:kern w:val="0"/>
          <w:u w:val="single"/>
          <w:lang w:val="es-ES"/>
          <w14:ligatures w14:val="none"/>
        </w:rPr>
      </w:pPr>
      <w:r w:rsidRPr="00CD7D11">
        <w:rPr>
          <w:rFonts w:ascii="Book Antiqua" w:eastAsia="Times New Roman" w:hAnsi="Book Antiqua" w:cs="Times New Roman"/>
          <w:b/>
          <w:bCs/>
          <w:kern w:val="0"/>
          <w:u w:val="single"/>
          <w:lang w:val="es-ES"/>
          <w14:ligatures w14:val="none"/>
        </w:rPr>
        <w:t>Oficina de Gerencia y Presupuesto (OGP)</w:t>
      </w:r>
    </w:p>
    <w:p w14:paraId="46B83CDC" w14:textId="77777777" w:rsidR="00CD7D11" w:rsidRPr="00CD7D11" w:rsidRDefault="00CD7D11" w:rsidP="00CD7D11">
      <w:pPr>
        <w:suppressLineNumbers/>
        <w:spacing w:after="0"/>
        <w:jc w:val="center"/>
        <w:rPr>
          <w:rFonts w:ascii="Book Antiqua" w:eastAsia="Times New Roman" w:hAnsi="Book Antiqua" w:cs="Times New Roman"/>
          <w:b/>
          <w:bCs/>
          <w:kern w:val="0"/>
          <w:u w:val="single"/>
          <w:lang w:val="es-ES"/>
          <w14:ligatures w14:val="none"/>
        </w:rPr>
      </w:pPr>
    </w:p>
    <w:p w14:paraId="56E1EAAD" w14:textId="00C6CF7C" w:rsidR="00495D03" w:rsidRPr="00CD7D11" w:rsidRDefault="00495D03"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OGP señaló que el P. del S. 111 no dispone de asignaciones presupuestarias</w:t>
      </w:r>
      <w:r w:rsidR="00026415" w:rsidRPr="00CD7D11">
        <w:rPr>
          <w:rFonts w:ascii="Book Antiqua" w:eastAsia="Times New Roman" w:hAnsi="Book Antiqua" w:cs="Times New Roman"/>
          <w:kern w:val="0"/>
          <w:lang w:val="es-ES"/>
          <w14:ligatures w14:val="none"/>
        </w:rPr>
        <w:t xml:space="preserve">, </w:t>
      </w:r>
      <w:r w:rsidRPr="00CD7D11">
        <w:rPr>
          <w:rFonts w:ascii="Book Antiqua" w:eastAsia="Times New Roman" w:hAnsi="Book Antiqua" w:cs="Times New Roman"/>
          <w:kern w:val="0"/>
          <w:lang w:val="es-ES"/>
          <w14:ligatures w14:val="none"/>
        </w:rPr>
        <w:t xml:space="preserve">ni genera obligaciones directas al Fondo General, pues la propuesta consiste en una redistribución de partidas dentro del SVJ. La Oficina recomendó deferir a la Comisión de Juegos la evaluación operativa y reglamentaria, y sugirió que se acompañe la medida de mecanismos de fiscalización que garanticen que los recursos destinados al Fondo de </w:t>
      </w:r>
      <w:r w:rsidRPr="00CD7D11">
        <w:rPr>
          <w:rFonts w:ascii="Book Antiqua" w:eastAsia="Times New Roman" w:hAnsi="Book Antiqua" w:cs="Times New Roman"/>
          <w:kern w:val="0"/>
          <w:lang w:val="es-ES"/>
          <w14:ligatures w14:val="none"/>
        </w:rPr>
        <w:lastRenderedPageBreak/>
        <w:t>Criadores se traduzcan en resultados concretos</w:t>
      </w:r>
      <w:r w:rsidR="002978C2" w:rsidRPr="00CD7D11">
        <w:rPr>
          <w:rFonts w:ascii="Book Antiqua" w:eastAsia="Times New Roman" w:hAnsi="Book Antiqua" w:cs="Times New Roman"/>
          <w:kern w:val="0"/>
          <w:lang w:val="es-ES"/>
          <w14:ligatures w14:val="none"/>
        </w:rPr>
        <w:t>, tales como</w:t>
      </w:r>
      <w:r w:rsidRPr="00CD7D11">
        <w:rPr>
          <w:rFonts w:ascii="Book Antiqua" w:eastAsia="Times New Roman" w:hAnsi="Book Antiqua" w:cs="Times New Roman"/>
          <w:kern w:val="0"/>
          <w:lang w:val="es-ES"/>
          <w14:ligatures w14:val="none"/>
        </w:rPr>
        <w:t>: incremento de fincas activas, aumento de nacimientos y creación de empleos agrícolas. OGP también recomendó la participación de AAFAF y de la Oficina de Presupuesto de la Asamblea Legislativa para efectos y evaluación del cumplimiento con el Plan Fiscal cuando corresponda</w:t>
      </w:r>
      <w:r w:rsidR="001E5DC0" w:rsidRPr="00CD7D11">
        <w:rPr>
          <w:rFonts w:ascii="Book Antiqua" w:eastAsia="Times New Roman" w:hAnsi="Book Antiqua" w:cs="Times New Roman"/>
          <w:kern w:val="0"/>
          <w:lang w:val="es-ES"/>
          <w14:ligatures w14:val="none"/>
        </w:rPr>
        <w:t xml:space="preserve"> y su impacto fiscal</w:t>
      </w:r>
      <w:r w:rsidRPr="00CD7D11">
        <w:rPr>
          <w:rFonts w:ascii="Book Antiqua" w:eastAsia="Times New Roman" w:hAnsi="Book Antiqua" w:cs="Times New Roman"/>
          <w:kern w:val="0"/>
          <w:lang w:val="es-ES"/>
          <w14:ligatures w14:val="none"/>
        </w:rPr>
        <w:t>.</w:t>
      </w:r>
    </w:p>
    <w:p w14:paraId="672A88EB" w14:textId="77777777" w:rsidR="00BD2A29" w:rsidRPr="00CA6787" w:rsidRDefault="00BD2A29" w:rsidP="00BD2A29">
      <w:pPr>
        <w:jc w:val="both"/>
      </w:pPr>
    </w:p>
    <w:p w14:paraId="6A27C7CF" w14:textId="77777777" w:rsidR="00530324" w:rsidRDefault="00495D03" w:rsidP="00EB0097">
      <w:pPr>
        <w:suppressLineNumbers/>
        <w:spacing w:after="0"/>
        <w:jc w:val="center"/>
        <w:rPr>
          <w:rFonts w:ascii="Book Antiqua" w:eastAsia="Times New Roman" w:hAnsi="Book Antiqua" w:cs="Times New Roman"/>
          <w:b/>
          <w:bCs/>
          <w:kern w:val="0"/>
          <w:u w:val="single"/>
          <w:lang w:val="es-ES"/>
          <w14:ligatures w14:val="none"/>
        </w:rPr>
      </w:pPr>
      <w:r w:rsidRPr="00EB0097">
        <w:rPr>
          <w:rFonts w:ascii="Book Antiqua" w:eastAsia="Times New Roman" w:hAnsi="Book Antiqua" w:cs="Times New Roman"/>
          <w:b/>
          <w:bCs/>
          <w:kern w:val="0"/>
          <w:u w:val="single"/>
          <w:lang w:val="es-ES"/>
          <w14:ligatures w14:val="none"/>
        </w:rPr>
        <w:t xml:space="preserve">Asociación de Criadores de Caballos Purasangre de Puerto Rico, Inc. </w:t>
      </w:r>
    </w:p>
    <w:p w14:paraId="6D781AAD" w14:textId="77777777" w:rsidR="00EB0097" w:rsidRPr="00EB0097" w:rsidRDefault="00EB0097" w:rsidP="00EB0097">
      <w:pPr>
        <w:suppressLineNumbers/>
        <w:spacing w:after="0"/>
        <w:jc w:val="center"/>
        <w:rPr>
          <w:rFonts w:ascii="Book Antiqua" w:eastAsia="Times New Roman" w:hAnsi="Book Antiqua" w:cs="Times New Roman"/>
          <w:b/>
          <w:bCs/>
          <w:kern w:val="0"/>
          <w:u w:val="single"/>
          <w:lang w:val="es-ES"/>
          <w14:ligatures w14:val="none"/>
        </w:rPr>
      </w:pPr>
    </w:p>
    <w:p w14:paraId="33F4C517" w14:textId="4F2FC363" w:rsidR="00495D03" w:rsidRPr="00CD7D11" w:rsidRDefault="00495D03"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La Asociación presentó un memorial explicativo detallado que documenta la contracción sostenida de la crianza nativa</w:t>
      </w:r>
      <w:r w:rsidR="00B23A68" w:rsidRPr="00CD7D11">
        <w:rPr>
          <w:rFonts w:ascii="Book Antiqua" w:eastAsia="Times New Roman" w:hAnsi="Book Antiqua" w:cs="Times New Roman"/>
          <w:kern w:val="0"/>
          <w:lang w:val="es-ES"/>
          <w14:ligatures w14:val="none"/>
        </w:rPr>
        <w:t xml:space="preserve">, la </w:t>
      </w:r>
      <w:r w:rsidRPr="00CD7D11">
        <w:rPr>
          <w:rFonts w:ascii="Book Antiqua" w:eastAsia="Times New Roman" w:hAnsi="Book Antiqua" w:cs="Times New Roman"/>
          <w:kern w:val="0"/>
          <w:lang w:val="es-ES"/>
          <w14:ligatures w14:val="none"/>
        </w:rPr>
        <w:t xml:space="preserve">reducción del número de fincas activas, </w:t>
      </w:r>
      <w:r w:rsidR="00B23A68" w:rsidRPr="00CD7D11">
        <w:rPr>
          <w:rFonts w:ascii="Book Antiqua" w:eastAsia="Times New Roman" w:hAnsi="Book Antiqua" w:cs="Times New Roman"/>
          <w:kern w:val="0"/>
          <w:lang w:val="es-ES"/>
          <w14:ligatures w14:val="none"/>
        </w:rPr>
        <w:t xml:space="preserve">la </w:t>
      </w:r>
      <w:r w:rsidRPr="00CD7D11">
        <w:rPr>
          <w:rFonts w:ascii="Book Antiqua" w:eastAsia="Times New Roman" w:hAnsi="Book Antiqua" w:cs="Times New Roman"/>
          <w:kern w:val="0"/>
          <w:lang w:val="es-ES"/>
          <w14:ligatures w14:val="none"/>
        </w:rPr>
        <w:t xml:space="preserve">caída en el número de potros registrados y </w:t>
      </w:r>
      <w:r w:rsidR="0023172D" w:rsidRPr="00CD7D11">
        <w:rPr>
          <w:rFonts w:ascii="Book Antiqua" w:eastAsia="Times New Roman" w:hAnsi="Book Antiqua" w:cs="Times New Roman"/>
          <w:kern w:val="0"/>
          <w:lang w:val="es-ES"/>
          <w14:ligatures w14:val="none"/>
        </w:rPr>
        <w:t xml:space="preserve">el </w:t>
      </w:r>
      <w:r w:rsidRPr="00CD7D11">
        <w:rPr>
          <w:rFonts w:ascii="Book Antiqua" w:eastAsia="Times New Roman" w:hAnsi="Book Antiqua" w:cs="Times New Roman"/>
          <w:kern w:val="0"/>
          <w:lang w:val="es-ES"/>
          <w14:ligatures w14:val="none"/>
        </w:rPr>
        <w:t xml:space="preserve">aumento de costos operativos por alimentación, servicios veterinarios y mantenimiento. </w:t>
      </w:r>
      <w:r w:rsidR="00FE7384" w:rsidRPr="00CD7D11">
        <w:rPr>
          <w:rFonts w:ascii="Book Antiqua" w:eastAsia="Times New Roman" w:hAnsi="Book Antiqua" w:cs="Times New Roman"/>
          <w:kern w:val="0"/>
          <w:lang w:val="es-ES"/>
          <w14:ligatures w14:val="none"/>
        </w:rPr>
        <w:t xml:space="preserve"> </w:t>
      </w:r>
      <w:r w:rsidRPr="00CD7D11">
        <w:rPr>
          <w:rFonts w:ascii="Book Antiqua" w:eastAsia="Times New Roman" w:hAnsi="Book Antiqua" w:cs="Times New Roman"/>
          <w:kern w:val="0"/>
          <w:lang w:val="es-ES"/>
          <w14:ligatures w14:val="none"/>
        </w:rPr>
        <w:t xml:space="preserve">La Asociación argumentó que la exclusión de los criadores de la participación en los ingresos del </w:t>
      </w:r>
      <w:r w:rsidR="002F4CE9" w:rsidRPr="00CD7D11">
        <w:rPr>
          <w:rFonts w:ascii="Book Antiqua" w:eastAsia="Times New Roman" w:hAnsi="Book Antiqua" w:cs="Times New Roman"/>
          <w:kern w:val="0"/>
          <w:lang w:val="es-ES"/>
          <w14:ligatures w14:val="none"/>
        </w:rPr>
        <w:t>Sistema de Video Juego (“</w:t>
      </w:r>
      <w:r w:rsidRPr="00CD7D11">
        <w:rPr>
          <w:rFonts w:ascii="Book Antiqua" w:eastAsia="Times New Roman" w:hAnsi="Book Antiqua" w:cs="Times New Roman"/>
          <w:kern w:val="0"/>
          <w:lang w:val="es-ES"/>
          <w14:ligatures w14:val="none"/>
        </w:rPr>
        <w:t>SVJ</w:t>
      </w:r>
      <w:r w:rsidR="002F4CE9" w:rsidRPr="00CD7D11">
        <w:rPr>
          <w:rFonts w:ascii="Book Antiqua" w:eastAsia="Times New Roman" w:hAnsi="Book Antiqua" w:cs="Times New Roman"/>
          <w:kern w:val="0"/>
          <w:lang w:val="es-ES"/>
          <w14:ligatures w14:val="none"/>
        </w:rPr>
        <w:t>”)</w:t>
      </w:r>
      <w:r w:rsidRPr="00CD7D11">
        <w:rPr>
          <w:rFonts w:ascii="Book Antiqua" w:eastAsia="Times New Roman" w:hAnsi="Book Antiqua" w:cs="Times New Roman"/>
          <w:kern w:val="0"/>
          <w:lang w:val="es-ES"/>
          <w14:ligatures w14:val="none"/>
        </w:rPr>
        <w:t xml:space="preserve"> ha provocado un menoscabo a la política pública que justificó la creación del SVJ</w:t>
      </w:r>
      <w:r w:rsidR="0023172D" w:rsidRPr="00CD7D11">
        <w:rPr>
          <w:rFonts w:ascii="Book Antiqua" w:eastAsia="Times New Roman" w:hAnsi="Book Antiqua" w:cs="Times New Roman"/>
          <w:kern w:val="0"/>
          <w:lang w:val="es-ES"/>
          <w14:ligatures w14:val="none"/>
        </w:rPr>
        <w:t xml:space="preserve">.  </w:t>
      </w:r>
      <w:r w:rsidR="00BD2A29" w:rsidRPr="00CD7D11">
        <w:rPr>
          <w:rFonts w:ascii="Book Antiqua" w:eastAsia="Times New Roman" w:hAnsi="Book Antiqua" w:cs="Times New Roman"/>
          <w:kern w:val="0"/>
          <w:lang w:val="es-ES"/>
          <w14:ligatures w14:val="none"/>
        </w:rPr>
        <w:t>También</w:t>
      </w:r>
      <w:r w:rsidR="0023172D" w:rsidRPr="00CD7D11">
        <w:rPr>
          <w:rFonts w:ascii="Book Antiqua" w:eastAsia="Times New Roman" w:hAnsi="Book Antiqua" w:cs="Times New Roman"/>
          <w:kern w:val="0"/>
          <w:lang w:val="es-ES"/>
          <w14:ligatures w14:val="none"/>
        </w:rPr>
        <w:t xml:space="preserve"> </w:t>
      </w:r>
      <w:r w:rsidR="00BD2A29" w:rsidRPr="00CD7D11">
        <w:rPr>
          <w:rFonts w:ascii="Book Antiqua" w:eastAsia="Times New Roman" w:hAnsi="Book Antiqua" w:cs="Times New Roman"/>
          <w:kern w:val="0"/>
          <w:lang w:val="es-ES"/>
          <w14:ligatures w14:val="none"/>
        </w:rPr>
        <w:t>mencionan</w:t>
      </w:r>
      <w:r w:rsidR="0023172D" w:rsidRPr="00CD7D11">
        <w:rPr>
          <w:rFonts w:ascii="Book Antiqua" w:eastAsia="Times New Roman" w:hAnsi="Book Antiqua" w:cs="Times New Roman"/>
          <w:kern w:val="0"/>
          <w:lang w:val="es-ES"/>
          <w14:ligatures w14:val="none"/>
        </w:rPr>
        <w:t xml:space="preserve"> </w:t>
      </w:r>
      <w:r w:rsidRPr="00CD7D11">
        <w:rPr>
          <w:rFonts w:ascii="Book Antiqua" w:eastAsia="Times New Roman" w:hAnsi="Book Antiqua" w:cs="Times New Roman"/>
          <w:kern w:val="0"/>
          <w:lang w:val="es-ES"/>
          <w14:ligatures w14:val="none"/>
        </w:rPr>
        <w:t xml:space="preserve">que la asignación del 0.5% al Fondo de Criadores es indispensable para revertir la tendencia de </w:t>
      </w:r>
      <w:r w:rsidR="00BD2A29" w:rsidRPr="00CD7D11">
        <w:rPr>
          <w:rFonts w:ascii="Book Antiqua" w:eastAsia="Times New Roman" w:hAnsi="Book Antiqua" w:cs="Times New Roman"/>
          <w:kern w:val="0"/>
          <w:lang w:val="es-ES"/>
          <w14:ligatures w14:val="none"/>
        </w:rPr>
        <w:t>contracción</w:t>
      </w:r>
      <w:r w:rsidR="00F624C6" w:rsidRPr="00CD7D11">
        <w:rPr>
          <w:rFonts w:ascii="Book Antiqua" w:eastAsia="Times New Roman" w:hAnsi="Book Antiqua" w:cs="Times New Roman"/>
          <w:kern w:val="0"/>
          <w:lang w:val="es-ES"/>
          <w14:ligatures w14:val="none"/>
        </w:rPr>
        <w:t xml:space="preserve"> o </w:t>
      </w:r>
      <w:r w:rsidRPr="00CD7D11">
        <w:rPr>
          <w:rFonts w:ascii="Book Antiqua" w:eastAsia="Times New Roman" w:hAnsi="Book Antiqua" w:cs="Times New Roman"/>
          <w:kern w:val="0"/>
          <w:lang w:val="es-ES"/>
          <w14:ligatures w14:val="none"/>
        </w:rPr>
        <w:t>desarticulación del sector. Aportaron datos históricos y comparativos que muestran la correlación entre la merma en la jugada tradicional y la disminución de los incentivos disponibles para la crianza, y solicitaron que los recursos se administren con criterios de elegibilidad claros y mecanismos de transparencia y rendición de cuentas.</w:t>
      </w:r>
    </w:p>
    <w:p w14:paraId="21EFBB92" w14:textId="77777777" w:rsidR="004C4E31" w:rsidRPr="00CA6787" w:rsidRDefault="004C4E31" w:rsidP="00BD2A29">
      <w:pPr>
        <w:jc w:val="both"/>
      </w:pPr>
    </w:p>
    <w:p w14:paraId="2DCB6CF8" w14:textId="77777777" w:rsidR="00530324" w:rsidRDefault="00495D03" w:rsidP="00EB0097">
      <w:pPr>
        <w:suppressLineNumbers/>
        <w:spacing w:after="0"/>
        <w:jc w:val="center"/>
        <w:rPr>
          <w:rFonts w:ascii="Book Antiqua" w:eastAsia="Times New Roman" w:hAnsi="Book Antiqua" w:cs="Times New Roman"/>
          <w:b/>
          <w:bCs/>
          <w:kern w:val="0"/>
          <w:u w:val="single"/>
          <w:lang w:val="es-ES"/>
          <w14:ligatures w14:val="none"/>
        </w:rPr>
      </w:pPr>
      <w:r w:rsidRPr="00EB0097">
        <w:rPr>
          <w:rFonts w:ascii="Book Antiqua" w:eastAsia="Times New Roman" w:hAnsi="Book Antiqua" w:cs="Times New Roman"/>
          <w:b/>
          <w:bCs/>
          <w:kern w:val="0"/>
          <w:u w:val="single"/>
          <w:lang w:val="es-ES"/>
          <w14:ligatures w14:val="none"/>
        </w:rPr>
        <w:t xml:space="preserve">Confederación Hípica de Puerto Rico, Inc. </w:t>
      </w:r>
    </w:p>
    <w:p w14:paraId="1AAE31C7" w14:textId="77777777" w:rsidR="00EB0097" w:rsidRPr="00EB0097" w:rsidRDefault="00EB0097" w:rsidP="00EB0097">
      <w:pPr>
        <w:suppressLineNumbers/>
        <w:spacing w:after="0"/>
        <w:jc w:val="center"/>
        <w:rPr>
          <w:rFonts w:ascii="Book Antiqua" w:eastAsia="Times New Roman" w:hAnsi="Book Antiqua" w:cs="Times New Roman"/>
          <w:b/>
          <w:bCs/>
          <w:kern w:val="0"/>
          <w:u w:val="single"/>
          <w:lang w:val="es-ES"/>
          <w14:ligatures w14:val="none"/>
        </w:rPr>
      </w:pPr>
    </w:p>
    <w:p w14:paraId="5039DFD1" w14:textId="77CCBE6E" w:rsidR="00495D03" w:rsidRDefault="00495D03"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 xml:space="preserve">La Confederación presentó su ponencia destacando la naturaleza integrada de la industria hípica y la relación directa entre premios competitivos y la salud del ecosistema </w:t>
      </w:r>
      <w:r w:rsidR="00E14829" w:rsidRPr="00CD7D11">
        <w:rPr>
          <w:rFonts w:ascii="Book Antiqua" w:eastAsia="Times New Roman" w:hAnsi="Book Antiqua" w:cs="Times New Roman"/>
          <w:kern w:val="0"/>
          <w:lang w:val="es-ES"/>
          <w14:ligatures w14:val="none"/>
        </w:rPr>
        <w:t>productive (</w:t>
      </w:r>
      <w:r w:rsidRPr="00CD7D11">
        <w:rPr>
          <w:rFonts w:ascii="Book Antiqua" w:eastAsia="Times New Roman" w:hAnsi="Book Antiqua" w:cs="Times New Roman"/>
          <w:kern w:val="0"/>
          <w:lang w:val="es-ES"/>
          <w14:ligatures w14:val="none"/>
        </w:rPr>
        <w:t>dueños, criadores, jinetes, entrenadores, veterinarios y proveedores</w:t>
      </w:r>
      <w:r w:rsidR="00E14829" w:rsidRPr="00CD7D11">
        <w:rPr>
          <w:rFonts w:ascii="Book Antiqua" w:eastAsia="Times New Roman" w:hAnsi="Book Antiqua" w:cs="Times New Roman"/>
          <w:kern w:val="0"/>
          <w:lang w:val="es-ES"/>
          <w14:ligatures w14:val="none"/>
        </w:rPr>
        <w:t>)</w:t>
      </w:r>
      <w:r w:rsidRPr="00CD7D11">
        <w:rPr>
          <w:rFonts w:ascii="Book Antiqua" w:eastAsia="Times New Roman" w:hAnsi="Book Antiqua" w:cs="Times New Roman"/>
          <w:kern w:val="0"/>
          <w:lang w:val="es-ES"/>
          <w14:ligatures w14:val="none"/>
        </w:rPr>
        <w:t xml:space="preserve">. La Confederación aportó </w:t>
      </w:r>
      <w:r w:rsidR="00CE0936" w:rsidRPr="00CD7D11">
        <w:rPr>
          <w:rFonts w:ascii="Book Antiqua" w:eastAsia="Times New Roman" w:hAnsi="Book Antiqua" w:cs="Times New Roman"/>
          <w:kern w:val="0"/>
          <w:lang w:val="es-ES"/>
          <w14:ligatures w14:val="none"/>
        </w:rPr>
        <w:t>data</w:t>
      </w:r>
      <w:r w:rsidRPr="00CD7D11">
        <w:rPr>
          <w:rFonts w:ascii="Book Antiqua" w:eastAsia="Times New Roman" w:hAnsi="Book Antiqua" w:cs="Times New Roman"/>
          <w:kern w:val="0"/>
          <w:lang w:val="es-ES"/>
          <w14:ligatures w14:val="none"/>
        </w:rPr>
        <w:t xml:space="preserve"> histórica sobre la jugada y la participación por año, y subrayó que la inyección de recursos al pote de premios es la vía más efectiva para incentivar la compra de potros y la recuperación del inventario de ejemplares. Recomendó que cualquier redistribución tenga por objeto aumentar la cuantía de premios y que se establezcan criterios que favorezcan la sostenibilidad y la profesionalización de la crianza local.</w:t>
      </w:r>
    </w:p>
    <w:p w14:paraId="7A5D1424" w14:textId="77777777" w:rsidR="0019258C" w:rsidRDefault="0019258C" w:rsidP="00CD7D11">
      <w:pPr>
        <w:spacing w:after="0"/>
        <w:jc w:val="both"/>
        <w:rPr>
          <w:rFonts w:ascii="Book Antiqua" w:eastAsia="Times New Roman" w:hAnsi="Book Antiqua" w:cs="Times New Roman"/>
          <w:kern w:val="0"/>
          <w:lang w:val="es-ES"/>
          <w14:ligatures w14:val="none"/>
        </w:rPr>
      </w:pPr>
    </w:p>
    <w:p w14:paraId="6246C4C8" w14:textId="77777777" w:rsidR="0019258C" w:rsidRDefault="0019258C" w:rsidP="00CD7D11">
      <w:pPr>
        <w:spacing w:after="0"/>
        <w:jc w:val="both"/>
        <w:rPr>
          <w:rFonts w:ascii="Book Antiqua" w:eastAsia="Times New Roman" w:hAnsi="Book Antiqua" w:cs="Times New Roman"/>
          <w:kern w:val="0"/>
          <w:lang w:val="es-ES"/>
          <w14:ligatures w14:val="none"/>
        </w:rPr>
      </w:pPr>
    </w:p>
    <w:p w14:paraId="7B5FCDD0" w14:textId="77777777" w:rsidR="0019258C" w:rsidRPr="00CD7D11" w:rsidRDefault="0019258C" w:rsidP="00CD7D11">
      <w:pPr>
        <w:spacing w:after="0"/>
        <w:jc w:val="both"/>
        <w:rPr>
          <w:rFonts w:ascii="Book Antiqua" w:eastAsia="Times New Roman" w:hAnsi="Book Antiqua" w:cs="Times New Roman"/>
          <w:kern w:val="0"/>
          <w:lang w:val="es-ES"/>
          <w14:ligatures w14:val="none"/>
        </w:rPr>
      </w:pPr>
    </w:p>
    <w:p w14:paraId="425A936E" w14:textId="77777777" w:rsidR="00BD2A29" w:rsidRPr="00CD7D11" w:rsidRDefault="00BD2A29" w:rsidP="00CD7D11">
      <w:pPr>
        <w:spacing w:after="0"/>
        <w:jc w:val="both"/>
        <w:rPr>
          <w:rFonts w:ascii="Book Antiqua" w:eastAsia="Times New Roman" w:hAnsi="Book Antiqua" w:cs="Times New Roman"/>
          <w:kern w:val="0"/>
          <w:lang w:val="es-ES"/>
          <w14:ligatures w14:val="none"/>
        </w:rPr>
      </w:pPr>
    </w:p>
    <w:p w14:paraId="1EAC37BC" w14:textId="2A4357B0" w:rsidR="00530324" w:rsidRDefault="00495D03" w:rsidP="00EB0097">
      <w:pPr>
        <w:suppressLineNumbers/>
        <w:spacing w:after="0"/>
        <w:jc w:val="center"/>
        <w:rPr>
          <w:rFonts w:ascii="Book Antiqua" w:eastAsia="Times New Roman" w:hAnsi="Book Antiqua" w:cs="Times New Roman"/>
          <w:b/>
          <w:bCs/>
          <w:kern w:val="0"/>
          <w:u w:val="single"/>
          <w:lang w:val="es-ES"/>
          <w14:ligatures w14:val="none"/>
        </w:rPr>
      </w:pPr>
      <w:r w:rsidRPr="00EB0097">
        <w:rPr>
          <w:rFonts w:ascii="Book Antiqua" w:eastAsia="Times New Roman" w:hAnsi="Book Antiqua" w:cs="Times New Roman"/>
          <w:b/>
          <w:bCs/>
          <w:kern w:val="0"/>
          <w:u w:val="single"/>
          <w:lang w:val="es-ES"/>
          <w14:ligatures w14:val="none"/>
        </w:rPr>
        <w:lastRenderedPageBreak/>
        <w:t>Hipódromo Camarero (</w:t>
      </w:r>
      <w:r w:rsidR="00481813">
        <w:rPr>
          <w:rFonts w:ascii="Book Antiqua" w:eastAsia="Times New Roman" w:hAnsi="Book Antiqua" w:cs="Times New Roman"/>
          <w:b/>
          <w:bCs/>
          <w:kern w:val="0"/>
          <w:u w:val="single"/>
          <w:lang w:val="es-ES"/>
          <w14:ligatures w14:val="none"/>
        </w:rPr>
        <w:t>E</w:t>
      </w:r>
      <w:r w:rsidRPr="00EB0097">
        <w:rPr>
          <w:rFonts w:ascii="Book Antiqua" w:eastAsia="Times New Roman" w:hAnsi="Book Antiqua" w:cs="Times New Roman"/>
          <w:b/>
          <w:bCs/>
          <w:kern w:val="0"/>
          <w:u w:val="single"/>
          <w:lang w:val="es-ES"/>
          <w14:ligatures w14:val="none"/>
        </w:rPr>
        <w:t xml:space="preserve">mpresa </w:t>
      </w:r>
      <w:r w:rsidR="00481813">
        <w:rPr>
          <w:rFonts w:ascii="Book Antiqua" w:eastAsia="Times New Roman" w:hAnsi="Book Antiqua" w:cs="Times New Roman"/>
          <w:b/>
          <w:bCs/>
          <w:kern w:val="0"/>
          <w:u w:val="single"/>
          <w:lang w:val="es-ES"/>
          <w14:ligatures w14:val="none"/>
        </w:rPr>
        <w:t>O</w:t>
      </w:r>
      <w:r w:rsidRPr="00EB0097">
        <w:rPr>
          <w:rFonts w:ascii="Book Antiqua" w:eastAsia="Times New Roman" w:hAnsi="Book Antiqua" w:cs="Times New Roman"/>
          <w:b/>
          <w:bCs/>
          <w:kern w:val="0"/>
          <w:u w:val="single"/>
          <w:lang w:val="es-ES"/>
          <w14:ligatures w14:val="none"/>
        </w:rPr>
        <w:t>peradora del SVJ)</w:t>
      </w:r>
    </w:p>
    <w:p w14:paraId="0828A31D" w14:textId="77777777" w:rsidR="00EB0097" w:rsidRPr="00EB0097" w:rsidRDefault="00EB0097" w:rsidP="00EB0097">
      <w:pPr>
        <w:suppressLineNumbers/>
        <w:spacing w:after="0"/>
        <w:jc w:val="center"/>
        <w:rPr>
          <w:rFonts w:ascii="Book Antiqua" w:eastAsia="Times New Roman" w:hAnsi="Book Antiqua" w:cs="Times New Roman"/>
          <w:b/>
          <w:bCs/>
          <w:kern w:val="0"/>
          <w:u w:val="single"/>
          <w:lang w:val="es-ES"/>
          <w14:ligatures w14:val="none"/>
        </w:rPr>
      </w:pPr>
    </w:p>
    <w:p w14:paraId="7BCA13D9" w14:textId="4F77B435" w:rsidR="00843E25" w:rsidRPr="00EB0097" w:rsidRDefault="00495D03" w:rsidP="00EB0097">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El Hipódromo remitió su posición escrita en la que reconoce la importancia de apoyar la industria, pero advirtió sobre los efectos operativos y contractuales de una modificación unilateral de la distribución actualmente pactada en la Ley y en los acuerdos comerciales. Camarero señaló que la redistribución propuesta podría afectar la estructura de ingresos de la empresa operadora y recomendó que la Asamblea Legislativa consulte y obtenga la posición formal de la empresa operadora y de los proveedores antes de adoptar cambios, a fin de evitar impactos contractuales o de inversión. Asimismo, Camarero propuso explorar alternativas consensuadas que permitan alcanzar el objetivo de apoyo a los criadores sin menoscabar la viabilidad operativa del SVJ.</w:t>
      </w:r>
    </w:p>
    <w:p w14:paraId="4BA0A008" w14:textId="77777777" w:rsidR="00843E25" w:rsidRPr="00CA6787" w:rsidRDefault="00843E25" w:rsidP="00BD2A29">
      <w:pPr>
        <w:jc w:val="both"/>
      </w:pPr>
    </w:p>
    <w:p w14:paraId="35FD3F71" w14:textId="77777777" w:rsidR="00EB0097" w:rsidRDefault="00495D03" w:rsidP="00EB0097">
      <w:pPr>
        <w:suppressLineNumbers/>
        <w:spacing w:after="0"/>
        <w:jc w:val="center"/>
        <w:rPr>
          <w:rFonts w:ascii="Book Antiqua" w:eastAsia="Times New Roman" w:hAnsi="Book Antiqua" w:cs="Times New Roman"/>
          <w:b/>
          <w:bCs/>
          <w:kern w:val="0"/>
          <w:u w:val="single"/>
          <w:lang w:val="es-ES"/>
          <w14:ligatures w14:val="none"/>
        </w:rPr>
      </w:pPr>
      <w:r w:rsidRPr="00EB0097">
        <w:rPr>
          <w:rFonts w:ascii="Book Antiqua" w:eastAsia="Times New Roman" w:hAnsi="Book Antiqua" w:cs="Times New Roman"/>
          <w:b/>
          <w:bCs/>
          <w:kern w:val="0"/>
          <w:u w:val="single"/>
          <w:lang w:val="es-ES"/>
          <w14:ligatures w14:val="none"/>
        </w:rPr>
        <w:t>Comisión de Juegos del Gobierno de Puerto Rico</w:t>
      </w:r>
    </w:p>
    <w:p w14:paraId="4DB8E68C" w14:textId="422C3BC1" w:rsidR="00530324" w:rsidRPr="00EB0097" w:rsidRDefault="00495D03" w:rsidP="00EB0097">
      <w:pPr>
        <w:suppressLineNumbers/>
        <w:spacing w:after="0"/>
        <w:jc w:val="center"/>
        <w:rPr>
          <w:rFonts w:ascii="Book Antiqua" w:eastAsia="Times New Roman" w:hAnsi="Book Antiqua" w:cs="Times New Roman"/>
          <w:b/>
          <w:bCs/>
          <w:kern w:val="0"/>
          <w:u w:val="single"/>
          <w:lang w:val="es-ES"/>
          <w14:ligatures w14:val="none"/>
        </w:rPr>
      </w:pPr>
      <w:r w:rsidRPr="00EB0097">
        <w:rPr>
          <w:rFonts w:ascii="Book Antiqua" w:eastAsia="Times New Roman" w:hAnsi="Book Antiqua" w:cs="Times New Roman"/>
          <w:b/>
          <w:bCs/>
          <w:kern w:val="0"/>
          <w:u w:val="single"/>
          <w:lang w:val="es-ES"/>
          <w14:ligatures w14:val="none"/>
        </w:rPr>
        <w:t xml:space="preserve"> </w:t>
      </w:r>
    </w:p>
    <w:p w14:paraId="217F9D4F" w14:textId="4FE2E004" w:rsidR="00495D03" w:rsidRPr="00CD7D11" w:rsidRDefault="00495D03"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La Comisión de Juegos, en su memorial, confirmó que la materia objeto del P. del S. 111 recae dentro de su jurisdicción regulatoria y que el SVJ cuenta con mecanismos contables que permiten identificar y segregar porciones del ingreso neto. La Comisión indicó que la retención del 0.5% puede implementarse técnicamente, pero insistió en la necesidad de reglamentación técnica que garantice la trazabilidad de los fondos, auditorías periódicas y supervisión del uso de los recursos. La Comisión recomendó que se consulte a la empresa operadora y a los demás actores impactados para evaluar la viabilidad operativa y contractual de la redistribución y minimizar riesgos legales o económicos.</w:t>
      </w:r>
    </w:p>
    <w:p w14:paraId="431E505B" w14:textId="77777777" w:rsidR="006D1A2C" w:rsidRPr="00CA6787" w:rsidRDefault="006D1A2C" w:rsidP="00BD2A29">
      <w:pPr>
        <w:jc w:val="both"/>
      </w:pPr>
    </w:p>
    <w:p w14:paraId="20961FAA" w14:textId="35B912D4" w:rsidR="00530324" w:rsidRDefault="00495D03" w:rsidP="00EB0097">
      <w:pPr>
        <w:suppressLineNumbers/>
        <w:spacing w:after="0"/>
        <w:jc w:val="center"/>
        <w:rPr>
          <w:rFonts w:ascii="Book Antiqua" w:eastAsia="Times New Roman" w:hAnsi="Book Antiqua" w:cs="Times New Roman"/>
          <w:b/>
          <w:bCs/>
          <w:kern w:val="0"/>
          <w:u w:val="single"/>
          <w:lang w:val="es-ES"/>
          <w14:ligatures w14:val="none"/>
        </w:rPr>
      </w:pPr>
      <w:r w:rsidRPr="00EB0097">
        <w:rPr>
          <w:rFonts w:ascii="Book Antiqua" w:eastAsia="Times New Roman" w:hAnsi="Book Antiqua" w:cs="Times New Roman"/>
          <w:b/>
          <w:bCs/>
          <w:kern w:val="0"/>
          <w:u w:val="single"/>
          <w:lang w:val="es-ES"/>
          <w14:ligatures w14:val="none"/>
        </w:rPr>
        <w:t>Departamento de Hacienda</w:t>
      </w:r>
    </w:p>
    <w:p w14:paraId="4F3B1798" w14:textId="77777777" w:rsidR="00EB0097" w:rsidRPr="00EB0097" w:rsidRDefault="00EB0097" w:rsidP="00EB0097">
      <w:pPr>
        <w:suppressLineNumbers/>
        <w:spacing w:after="0"/>
        <w:jc w:val="center"/>
        <w:rPr>
          <w:rFonts w:ascii="Book Antiqua" w:eastAsia="Times New Roman" w:hAnsi="Book Antiqua" w:cs="Times New Roman"/>
          <w:b/>
          <w:bCs/>
          <w:kern w:val="0"/>
          <w:u w:val="single"/>
          <w:lang w:val="es-ES"/>
          <w14:ligatures w14:val="none"/>
        </w:rPr>
      </w:pPr>
    </w:p>
    <w:p w14:paraId="37C294AD" w14:textId="497174AE" w:rsidR="00495D03" w:rsidRDefault="00495D03"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Hacienda confirmó que la propuesta constituye una redistribución interna del ingreso neto del SVJ y que, en principio, no afecta los recaudos del Fondo General. El Departamento ofreció colaboración técnica para precisar el tratamiento contable, los registros necesarios y la coordinación con la Comisión de Juegos para efectos de recaudación y control. Hacienda reiteró la importancia de establecer procedimientos contables y de auditoría que permitan verificar la correcta transferencia y uso de los recursos destinados al Fondo de Criadores.</w:t>
      </w:r>
    </w:p>
    <w:p w14:paraId="10B08CFD" w14:textId="77777777" w:rsidR="0019258C" w:rsidRDefault="0019258C" w:rsidP="00CD7D11">
      <w:pPr>
        <w:spacing w:after="0"/>
        <w:jc w:val="both"/>
        <w:rPr>
          <w:rFonts w:ascii="Book Antiqua" w:eastAsia="Times New Roman" w:hAnsi="Book Antiqua" w:cs="Times New Roman"/>
          <w:kern w:val="0"/>
          <w:lang w:val="es-ES"/>
          <w14:ligatures w14:val="none"/>
        </w:rPr>
      </w:pPr>
    </w:p>
    <w:p w14:paraId="68E8988D" w14:textId="77777777" w:rsidR="0019258C" w:rsidRDefault="0019258C" w:rsidP="00CD7D11">
      <w:pPr>
        <w:spacing w:after="0"/>
        <w:jc w:val="both"/>
        <w:rPr>
          <w:rFonts w:ascii="Book Antiqua" w:eastAsia="Times New Roman" w:hAnsi="Book Antiqua" w:cs="Times New Roman"/>
          <w:kern w:val="0"/>
          <w:lang w:val="es-ES"/>
          <w14:ligatures w14:val="none"/>
        </w:rPr>
      </w:pPr>
    </w:p>
    <w:p w14:paraId="065A5B1C" w14:textId="77777777" w:rsidR="0019258C" w:rsidRDefault="0019258C" w:rsidP="00CD7D11">
      <w:pPr>
        <w:spacing w:after="0"/>
        <w:jc w:val="both"/>
        <w:rPr>
          <w:rFonts w:ascii="Book Antiqua" w:eastAsia="Times New Roman" w:hAnsi="Book Antiqua" w:cs="Times New Roman"/>
          <w:kern w:val="0"/>
          <w:lang w:val="es-ES"/>
          <w14:ligatures w14:val="none"/>
        </w:rPr>
      </w:pPr>
    </w:p>
    <w:p w14:paraId="0986F48F" w14:textId="77777777" w:rsidR="0019258C" w:rsidRDefault="0019258C" w:rsidP="00CD7D11">
      <w:pPr>
        <w:spacing w:after="0"/>
        <w:jc w:val="both"/>
        <w:rPr>
          <w:rFonts w:ascii="Book Antiqua" w:eastAsia="Times New Roman" w:hAnsi="Book Antiqua" w:cs="Times New Roman"/>
          <w:kern w:val="0"/>
          <w:lang w:val="es-ES"/>
          <w14:ligatures w14:val="none"/>
        </w:rPr>
      </w:pPr>
    </w:p>
    <w:p w14:paraId="5A6E47FD" w14:textId="14EF8B0C" w:rsidR="00192EA7" w:rsidRDefault="00495D03" w:rsidP="00EB0097">
      <w:pPr>
        <w:suppressLineNumbers/>
        <w:spacing w:after="0"/>
        <w:jc w:val="center"/>
        <w:rPr>
          <w:rFonts w:ascii="Book Antiqua" w:eastAsia="Times New Roman" w:hAnsi="Book Antiqua" w:cs="Times New Roman"/>
          <w:b/>
          <w:bCs/>
          <w:kern w:val="0"/>
          <w:u w:val="single"/>
          <w:lang w:val="es-ES"/>
          <w14:ligatures w14:val="none"/>
        </w:rPr>
      </w:pPr>
      <w:r w:rsidRPr="00EB0097">
        <w:rPr>
          <w:rFonts w:ascii="Book Antiqua" w:eastAsia="Times New Roman" w:hAnsi="Book Antiqua" w:cs="Times New Roman"/>
          <w:b/>
          <w:bCs/>
          <w:kern w:val="0"/>
          <w:u w:val="single"/>
          <w:lang w:val="es-ES"/>
          <w14:ligatures w14:val="none"/>
        </w:rPr>
        <w:lastRenderedPageBreak/>
        <w:t>Memorial de criadores individuales (Potreros)</w:t>
      </w:r>
    </w:p>
    <w:p w14:paraId="4840DB41" w14:textId="77777777" w:rsidR="00EB0097" w:rsidRPr="00EB0097" w:rsidRDefault="00EB0097" w:rsidP="00EB0097">
      <w:pPr>
        <w:suppressLineNumbers/>
        <w:spacing w:after="0"/>
        <w:jc w:val="center"/>
        <w:rPr>
          <w:rFonts w:ascii="Book Antiqua" w:eastAsia="Times New Roman" w:hAnsi="Book Antiqua" w:cs="Times New Roman"/>
          <w:b/>
          <w:bCs/>
          <w:kern w:val="0"/>
          <w:u w:val="single"/>
          <w:lang w:val="es-ES"/>
          <w14:ligatures w14:val="none"/>
        </w:rPr>
      </w:pPr>
    </w:p>
    <w:p w14:paraId="11559A06" w14:textId="664D48CF" w:rsidR="00495D03" w:rsidRPr="00CD7D11" w:rsidRDefault="00495D03"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Se recibieron memoriales explicativos de criadores con experiencia histórica en la actividad (por ejemplo, Potrero Hermosura), que aportaron testimonios técnicos sobre costos de crianza, estimaciones de gasto por potro y la relación entre niveles de premios y la oferta de ejemplares. Estos memoriales refuerzan la evidencia sectorial sobre la necesidad de un flujo estable de recursos para sostener la actividad de crianza.</w:t>
      </w:r>
    </w:p>
    <w:p w14:paraId="74BC21FA" w14:textId="77777777" w:rsidR="005053C1" w:rsidRPr="00CD7D11" w:rsidRDefault="005053C1" w:rsidP="00CD7D11">
      <w:pPr>
        <w:spacing w:after="0"/>
        <w:jc w:val="both"/>
        <w:rPr>
          <w:rFonts w:ascii="Book Antiqua" w:eastAsia="Times New Roman" w:hAnsi="Book Antiqua" w:cs="Times New Roman"/>
          <w:kern w:val="0"/>
          <w:lang w:val="es-ES"/>
          <w14:ligatures w14:val="none"/>
        </w:rPr>
      </w:pPr>
    </w:p>
    <w:p w14:paraId="6CD527DC" w14:textId="2E1C4F48" w:rsidR="007C3549" w:rsidRDefault="00AC4D90" w:rsidP="00EB0097">
      <w:pPr>
        <w:suppressLineNumbers/>
        <w:spacing w:after="0"/>
        <w:jc w:val="center"/>
        <w:rPr>
          <w:rFonts w:ascii="Book Antiqua" w:eastAsia="Times New Roman" w:hAnsi="Book Antiqua" w:cs="Times New Roman"/>
          <w:b/>
          <w:bCs/>
          <w:kern w:val="0"/>
          <w:u w:val="single"/>
          <w:lang w:val="es-ES"/>
          <w14:ligatures w14:val="none"/>
        </w:rPr>
      </w:pPr>
      <w:r w:rsidRPr="00EB0097">
        <w:rPr>
          <w:rFonts w:ascii="Book Antiqua" w:eastAsia="Times New Roman" w:hAnsi="Book Antiqua" w:cs="Times New Roman"/>
          <w:b/>
          <w:bCs/>
          <w:kern w:val="0"/>
          <w:u w:val="single"/>
          <w:lang w:val="es-ES"/>
          <w14:ligatures w14:val="none"/>
        </w:rPr>
        <w:t>Depart</w:t>
      </w:r>
      <w:r w:rsidR="007C3549" w:rsidRPr="00EB0097">
        <w:rPr>
          <w:rFonts w:ascii="Book Antiqua" w:eastAsia="Times New Roman" w:hAnsi="Book Antiqua" w:cs="Times New Roman"/>
          <w:b/>
          <w:bCs/>
          <w:kern w:val="0"/>
          <w:u w:val="single"/>
          <w:lang w:val="es-ES"/>
          <w14:ligatures w14:val="none"/>
        </w:rPr>
        <w:t>amento de Justicia</w:t>
      </w:r>
    </w:p>
    <w:p w14:paraId="154BC5ED" w14:textId="77777777" w:rsidR="00EB0097" w:rsidRPr="00EB0097" w:rsidRDefault="00EB0097" w:rsidP="00EB0097">
      <w:pPr>
        <w:suppressLineNumbers/>
        <w:spacing w:after="0"/>
        <w:jc w:val="center"/>
        <w:rPr>
          <w:rFonts w:ascii="Book Antiqua" w:eastAsia="Times New Roman" w:hAnsi="Book Antiqua" w:cs="Times New Roman"/>
          <w:b/>
          <w:bCs/>
          <w:kern w:val="0"/>
          <w:u w:val="single"/>
          <w:lang w:val="es-ES"/>
          <w14:ligatures w14:val="none"/>
        </w:rPr>
      </w:pPr>
    </w:p>
    <w:p w14:paraId="264ACE7A" w14:textId="68223311" w:rsidR="005053C1" w:rsidRPr="00CD7D11" w:rsidRDefault="006F73D8"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A tenor con el memorial sometido por el Departamento de Justicia, la agencia destacó que, aunque la medida constituye un ajuste al esquema vigente de distribución del ingreso neto del SVJ, ello no representa por sí mismo un impedimento constitucional, siempre que se observe el criterio de razonabilidad aplicable a posibles planteamientos de menoscabo contractual. La agencia subrayó que cualquier modificación debe ponderar el interés público frente a las expectativas económicas creadas bajo el régimen actual. En cuanto a recomendaciones, Justicia respaldó la aprobación de la medida condicionada a que su aplicación sea estrictamente prospectiva, limitada a nuevos solicitantes de licencia o futuras operaciones del SVJ, a fin de evitar interferencias con acuerdos previamente establecidos y preservar la seguridad jurídica. Además, enfatizó la necesidad de que la implementación se realice en coordinación con las agencias con pericia técnica —incluyendo Hacienda, OGP, AAFAF, la Comisión de Juegos y DACO— para garantizar uniformidad regulatoria, trazabilidad de fondos y protección adecuada de los derechos de los sectores impactados.</w:t>
      </w:r>
    </w:p>
    <w:p w14:paraId="7C1079EC" w14:textId="77777777" w:rsidR="00712A9E" w:rsidRPr="00CD7D11" w:rsidRDefault="00712A9E" w:rsidP="00CD7D11">
      <w:pPr>
        <w:spacing w:after="0"/>
        <w:jc w:val="both"/>
        <w:rPr>
          <w:rFonts w:ascii="Book Antiqua" w:eastAsia="Times New Roman" w:hAnsi="Book Antiqua" w:cs="Times New Roman"/>
          <w:kern w:val="0"/>
          <w:lang w:val="es-ES"/>
          <w14:ligatures w14:val="none"/>
        </w:rPr>
      </w:pPr>
    </w:p>
    <w:p w14:paraId="1C028789" w14:textId="77777777" w:rsidR="00495D03" w:rsidRPr="00F44A11" w:rsidRDefault="00495D03" w:rsidP="00BD2A29">
      <w:pPr>
        <w:jc w:val="both"/>
        <w:rPr>
          <w:rFonts w:ascii="Book Antiqua" w:hAnsi="Book Antiqua"/>
          <w:b/>
          <w:bCs/>
          <w:u w:val="single"/>
        </w:rPr>
      </w:pPr>
      <w:r w:rsidRPr="00F44A11">
        <w:rPr>
          <w:rFonts w:ascii="Book Antiqua" w:hAnsi="Book Antiqua"/>
          <w:b/>
          <w:bCs/>
          <w:u w:val="single"/>
        </w:rPr>
        <w:t>Vista pública del 29 de septiembre de 2025</w:t>
      </w:r>
    </w:p>
    <w:p w14:paraId="12E5559B" w14:textId="77777777" w:rsidR="0050328F" w:rsidRDefault="00495D03"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En la vista pública del 29 de septiembre de 2025 comparecieron representantes de la Asociación de Criadores</w:t>
      </w:r>
      <w:r w:rsidR="007A31C6" w:rsidRPr="00CD7D11">
        <w:rPr>
          <w:rFonts w:ascii="Book Antiqua" w:eastAsia="Times New Roman" w:hAnsi="Book Antiqua" w:cs="Times New Roman"/>
          <w:kern w:val="0"/>
          <w:lang w:val="es-ES"/>
          <w14:ligatures w14:val="none"/>
        </w:rPr>
        <w:t xml:space="preserve">, </w:t>
      </w:r>
      <w:r w:rsidRPr="00CD7D11">
        <w:rPr>
          <w:rFonts w:ascii="Book Antiqua" w:eastAsia="Times New Roman" w:hAnsi="Book Antiqua" w:cs="Times New Roman"/>
          <w:kern w:val="0"/>
          <w:lang w:val="es-ES"/>
          <w14:ligatures w14:val="none"/>
        </w:rPr>
        <w:t>la Confederación Hípica, la Comisión de Juegos, el Departamento de Hacienda, la Oficina de Gerencia y Presupuesto</w:t>
      </w:r>
      <w:r w:rsidR="00E96D22" w:rsidRPr="00CD7D11">
        <w:rPr>
          <w:rFonts w:ascii="Book Antiqua" w:eastAsia="Times New Roman" w:hAnsi="Book Antiqua" w:cs="Times New Roman"/>
          <w:kern w:val="0"/>
          <w:lang w:val="es-ES"/>
          <w14:ligatures w14:val="none"/>
        </w:rPr>
        <w:t xml:space="preserve"> y AAFAF</w:t>
      </w:r>
      <w:r w:rsidRPr="00CD7D11">
        <w:rPr>
          <w:rFonts w:ascii="Book Antiqua" w:eastAsia="Times New Roman" w:hAnsi="Book Antiqua" w:cs="Times New Roman"/>
          <w:kern w:val="0"/>
          <w:lang w:val="es-ES"/>
          <w14:ligatures w14:val="none"/>
        </w:rPr>
        <w:t xml:space="preserve">. </w:t>
      </w:r>
      <w:r w:rsidR="00E165A2" w:rsidRPr="00CD7D11">
        <w:rPr>
          <w:rFonts w:ascii="Book Antiqua" w:eastAsia="Times New Roman" w:hAnsi="Book Antiqua" w:cs="Times New Roman"/>
          <w:kern w:val="0"/>
          <w:lang w:val="es-ES"/>
          <w14:ligatures w14:val="none"/>
        </w:rPr>
        <w:t xml:space="preserve">En </w:t>
      </w:r>
      <w:r w:rsidR="00BD2A29" w:rsidRPr="00CD7D11">
        <w:rPr>
          <w:rFonts w:ascii="Book Antiqua" w:eastAsia="Times New Roman" w:hAnsi="Book Antiqua" w:cs="Times New Roman"/>
          <w:kern w:val="0"/>
          <w:lang w:val="es-ES"/>
          <w14:ligatures w14:val="none"/>
        </w:rPr>
        <w:t>adición</w:t>
      </w:r>
      <w:r w:rsidR="00E165A2" w:rsidRPr="00CD7D11">
        <w:rPr>
          <w:rFonts w:ascii="Book Antiqua" w:eastAsia="Times New Roman" w:hAnsi="Book Antiqua" w:cs="Times New Roman"/>
          <w:kern w:val="0"/>
          <w:lang w:val="es-ES"/>
          <w14:ligatures w14:val="none"/>
        </w:rPr>
        <w:t xml:space="preserve"> a los </w:t>
      </w:r>
      <w:r w:rsidR="00BD2A29" w:rsidRPr="00CD7D11">
        <w:rPr>
          <w:rFonts w:ascii="Book Antiqua" w:eastAsia="Times New Roman" w:hAnsi="Book Antiqua" w:cs="Times New Roman"/>
          <w:kern w:val="0"/>
          <w:lang w:val="es-ES"/>
          <w14:ligatures w14:val="none"/>
        </w:rPr>
        <w:t>deponentes</w:t>
      </w:r>
      <w:r w:rsidR="00E165A2" w:rsidRPr="00CD7D11">
        <w:rPr>
          <w:rFonts w:ascii="Book Antiqua" w:eastAsia="Times New Roman" w:hAnsi="Book Antiqua" w:cs="Times New Roman"/>
          <w:kern w:val="0"/>
          <w:lang w:val="es-ES"/>
          <w14:ligatures w14:val="none"/>
        </w:rPr>
        <w:t xml:space="preserve"> que </w:t>
      </w:r>
      <w:r w:rsidR="00BD2A29" w:rsidRPr="00CD7D11">
        <w:rPr>
          <w:rFonts w:ascii="Book Antiqua" w:eastAsia="Times New Roman" w:hAnsi="Book Antiqua" w:cs="Times New Roman"/>
          <w:kern w:val="0"/>
          <w:lang w:val="es-ES"/>
          <w14:ligatures w14:val="none"/>
        </w:rPr>
        <w:t>comparecieron</w:t>
      </w:r>
      <w:r w:rsidR="00E165A2" w:rsidRPr="00CD7D11">
        <w:rPr>
          <w:rFonts w:ascii="Book Antiqua" w:eastAsia="Times New Roman" w:hAnsi="Book Antiqua" w:cs="Times New Roman"/>
          <w:kern w:val="0"/>
          <w:lang w:val="es-ES"/>
          <w14:ligatures w14:val="none"/>
        </w:rPr>
        <w:t xml:space="preserve"> el </w:t>
      </w:r>
      <w:r w:rsidR="00647154" w:rsidRPr="00CD7D11">
        <w:rPr>
          <w:rFonts w:ascii="Book Antiqua" w:eastAsia="Times New Roman" w:hAnsi="Book Antiqua" w:cs="Times New Roman"/>
          <w:kern w:val="0"/>
          <w:lang w:val="es-ES"/>
          <w14:ligatures w14:val="none"/>
        </w:rPr>
        <w:t>día</w:t>
      </w:r>
      <w:r w:rsidR="00E165A2" w:rsidRPr="00CD7D11">
        <w:rPr>
          <w:rFonts w:ascii="Book Antiqua" w:eastAsia="Times New Roman" w:hAnsi="Book Antiqua" w:cs="Times New Roman"/>
          <w:kern w:val="0"/>
          <w:lang w:val="es-ES"/>
          <w14:ligatures w14:val="none"/>
        </w:rPr>
        <w:t xml:space="preserve"> de la vista </w:t>
      </w:r>
      <w:r w:rsidR="00BD2A29" w:rsidRPr="00CD7D11">
        <w:rPr>
          <w:rFonts w:ascii="Book Antiqua" w:eastAsia="Times New Roman" w:hAnsi="Book Antiqua" w:cs="Times New Roman"/>
          <w:kern w:val="0"/>
          <w:lang w:val="es-ES"/>
          <w14:ligatures w14:val="none"/>
        </w:rPr>
        <w:t>pública</w:t>
      </w:r>
      <w:r w:rsidR="00E165A2" w:rsidRPr="00CD7D11">
        <w:rPr>
          <w:rFonts w:ascii="Book Antiqua" w:eastAsia="Times New Roman" w:hAnsi="Book Antiqua" w:cs="Times New Roman"/>
          <w:kern w:val="0"/>
          <w:lang w:val="es-ES"/>
          <w14:ligatures w14:val="none"/>
        </w:rPr>
        <w:t xml:space="preserve"> </w:t>
      </w:r>
      <w:r w:rsidR="00BD2A29" w:rsidRPr="00CD7D11">
        <w:rPr>
          <w:rFonts w:ascii="Book Antiqua" w:eastAsia="Times New Roman" w:hAnsi="Book Antiqua" w:cs="Times New Roman"/>
          <w:kern w:val="0"/>
          <w:lang w:val="es-ES"/>
          <w14:ligatures w14:val="none"/>
        </w:rPr>
        <w:t>también</w:t>
      </w:r>
      <w:r w:rsidR="00E165A2" w:rsidRPr="00CD7D11">
        <w:rPr>
          <w:rFonts w:ascii="Book Antiqua" w:eastAsia="Times New Roman" w:hAnsi="Book Antiqua" w:cs="Times New Roman"/>
          <w:kern w:val="0"/>
          <w:lang w:val="es-ES"/>
          <w14:ligatures w14:val="none"/>
        </w:rPr>
        <w:t xml:space="preserve"> se </w:t>
      </w:r>
      <w:r w:rsidR="00BD2A29" w:rsidRPr="00CD7D11">
        <w:rPr>
          <w:rFonts w:ascii="Book Antiqua" w:eastAsia="Times New Roman" w:hAnsi="Book Antiqua" w:cs="Times New Roman"/>
          <w:kern w:val="0"/>
          <w:lang w:val="es-ES"/>
          <w14:ligatures w14:val="none"/>
        </w:rPr>
        <w:t>citó</w:t>
      </w:r>
      <w:r w:rsidR="005F51A4" w:rsidRPr="00CD7D11">
        <w:rPr>
          <w:rFonts w:ascii="Book Antiqua" w:eastAsia="Times New Roman" w:hAnsi="Book Antiqua" w:cs="Times New Roman"/>
          <w:kern w:val="0"/>
          <w:lang w:val="es-ES"/>
          <w14:ligatures w14:val="none"/>
        </w:rPr>
        <w:t xml:space="preserve"> al Sr. Ervin Rodriguez Velez, </w:t>
      </w:r>
      <w:proofErr w:type="gramStart"/>
      <w:r w:rsidR="005F51A4" w:rsidRPr="00CD7D11">
        <w:rPr>
          <w:rFonts w:ascii="Book Antiqua" w:eastAsia="Times New Roman" w:hAnsi="Book Antiqua" w:cs="Times New Roman"/>
          <w:kern w:val="0"/>
          <w:lang w:val="es-ES"/>
          <w14:ligatures w14:val="none"/>
        </w:rPr>
        <w:t>Presidente</w:t>
      </w:r>
      <w:proofErr w:type="gramEnd"/>
      <w:r w:rsidR="005F51A4" w:rsidRPr="00CD7D11">
        <w:rPr>
          <w:rFonts w:ascii="Book Antiqua" w:eastAsia="Times New Roman" w:hAnsi="Book Antiqua" w:cs="Times New Roman"/>
          <w:kern w:val="0"/>
          <w:lang w:val="es-ES"/>
          <w14:ligatures w14:val="none"/>
        </w:rPr>
        <w:t xml:space="preserve"> </w:t>
      </w:r>
      <w:r w:rsidR="00BD2A29" w:rsidRPr="00CD7D11">
        <w:rPr>
          <w:rFonts w:ascii="Book Antiqua" w:eastAsia="Times New Roman" w:hAnsi="Book Antiqua" w:cs="Times New Roman"/>
          <w:kern w:val="0"/>
          <w:lang w:val="es-ES"/>
          <w14:ligatures w14:val="none"/>
        </w:rPr>
        <w:t>Hipódromo</w:t>
      </w:r>
      <w:r w:rsidR="005F51A4" w:rsidRPr="00CD7D11">
        <w:rPr>
          <w:rFonts w:ascii="Book Antiqua" w:eastAsia="Times New Roman" w:hAnsi="Book Antiqua" w:cs="Times New Roman"/>
          <w:kern w:val="0"/>
          <w:lang w:val="es-ES"/>
          <w14:ligatures w14:val="none"/>
        </w:rPr>
        <w:t xml:space="preserve"> Camarero</w:t>
      </w:r>
      <w:r w:rsidR="00B23B55" w:rsidRPr="00CD7D11">
        <w:rPr>
          <w:rFonts w:ascii="Book Antiqua" w:eastAsia="Times New Roman" w:hAnsi="Book Antiqua" w:cs="Times New Roman"/>
          <w:kern w:val="0"/>
          <w:lang w:val="es-ES"/>
          <w14:ligatures w14:val="none"/>
        </w:rPr>
        <w:t>.</w:t>
      </w:r>
      <w:r w:rsidR="00F44A11">
        <w:rPr>
          <w:rFonts w:ascii="Book Antiqua" w:eastAsia="Times New Roman" w:hAnsi="Book Antiqua" w:cs="Times New Roman"/>
          <w:kern w:val="0"/>
          <w:lang w:val="es-ES"/>
          <w14:ligatures w14:val="none"/>
        </w:rPr>
        <w:t xml:space="preserve"> </w:t>
      </w:r>
      <w:r w:rsidRPr="00CD7D11">
        <w:rPr>
          <w:rFonts w:ascii="Book Antiqua" w:eastAsia="Times New Roman" w:hAnsi="Book Antiqua" w:cs="Times New Roman"/>
          <w:kern w:val="0"/>
          <w:lang w:val="es-ES"/>
          <w14:ligatures w14:val="none"/>
        </w:rPr>
        <w:t>Los asuntos más relevantes debatidos fueron:</w:t>
      </w:r>
    </w:p>
    <w:p w14:paraId="5E6778FB" w14:textId="4299261A" w:rsidR="0050328F" w:rsidRPr="0050328F" w:rsidRDefault="00495D03" w:rsidP="0050328F">
      <w:pPr>
        <w:pStyle w:val="ListParagraph"/>
        <w:numPr>
          <w:ilvl w:val="0"/>
          <w:numId w:val="4"/>
        </w:numPr>
        <w:spacing w:after="0"/>
        <w:jc w:val="both"/>
        <w:rPr>
          <w:rFonts w:ascii="Book Antiqua" w:eastAsia="Times New Roman" w:hAnsi="Book Antiqua" w:cs="Times New Roman"/>
          <w:kern w:val="0"/>
          <w:lang w:val="es-ES"/>
          <w14:ligatures w14:val="none"/>
        </w:rPr>
      </w:pPr>
      <w:r w:rsidRPr="0050328F">
        <w:rPr>
          <w:rFonts w:ascii="Book Antiqua" w:eastAsia="Times New Roman" w:hAnsi="Book Antiqua" w:cs="Times New Roman"/>
          <w:kern w:val="0"/>
          <w:lang w:val="es-ES"/>
          <w14:ligatures w14:val="none"/>
        </w:rPr>
        <w:t>la urgencia de garantizar un flujo estable de recursos para los criadores bona fide;</w:t>
      </w:r>
    </w:p>
    <w:p w14:paraId="626C2170" w14:textId="0323E53C" w:rsidR="0050328F" w:rsidRPr="0050328F" w:rsidRDefault="00495D03" w:rsidP="0050328F">
      <w:pPr>
        <w:spacing w:after="0"/>
        <w:ind w:left="720"/>
        <w:jc w:val="both"/>
        <w:rPr>
          <w:rFonts w:ascii="Book Antiqua" w:eastAsia="Times New Roman" w:hAnsi="Book Antiqua" w:cs="Times New Roman"/>
          <w:kern w:val="0"/>
          <w:lang w:val="es-ES"/>
          <w14:ligatures w14:val="none"/>
        </w:rPr>
      </w:pPr>
      <w:r w:rsidRPr="0050328F">
        <w:rPr>
          <w:rFonts w:ascii="Book Antiqua" w:eastAsia="Times New Roman" w:hAnsi="Book Antiqua" w:cs="Times New Roman"/>
          <w:kern w:val="0"/>
          <w:lang w:val="es-ES"/>
          <w14:ligatures w14:val="none"/>
        </w:rPr>
        <w:t>la confirmación de que la medida, al ser una redistribución interna del SVJ, no implica desembolso del Fondo General</w:t>
      </w:r>
      <w:r w:rsidR="0050328F">
        <w:rPr>
          <w:rFonts w:ascii="Book Antiqua" w:eastAsia="Times New Roman" w:hAnsi="Book Antiqua" w:cs="Times New Roman"/>
          <w:kern w:val="0"/>
          <w:lang w:val="es-ES"/>
          <w14:ligatures w14:val="none"/>
        </w:rPr>
        <w:t>.</w:t>
      </w:r>
    </w:p>
    <w:p w14:paraId="18A927E3" w14:textId="214C796A" w:rsidR="0050328F" w:rsidRPr="0050328F" w:rsidRDefault="00495D03" w:rsidP="0050328F">
      <w:pPr>
        <w:pStyle w:val="ListParagraph"/>
        <w:numPr>
          <w:ilvl w:val="0"/>
          <w:numId w:val="4"/>
        </w:numPr>
        <w:spacing w:after="0"/>
        <w:jc w:val="both"/>
        <w:rPr>
          <w:rFonts w:ascii="Book Antiqua" w:eastAsia="Times New Roman" w:hAnsi="Book Antiqua" w:cs="Times New Roman"/>
          <w:kern w:val="0"/>
          <w:lang w:val="es-ES"/>
          <w14:ligatures w14:val="none"/>
        </w:rPr>
      </w:pPr>
      <w:r w:rsidRPr="0050328F">
        <w:rPr>
          <w:rFonts w:ascii="Book Antiqua" w:eastAsia="Times New Roman" w:hAnsi="Book Antiqua" w:cs="Times New Roman"/>
          <w:kern w:val="0"/>
          <w:lang w:val="es-ES"/>
          <w14:ligatures w14:val="none"/>
        </w:rPr>
        <w:t>la necesidad de que la Comisión de Juegos lidere la reglamentación técnica y la supervisión</w:t>
      </w:r>
      <w:r w:rsidR="0050328F">
        <w:rPr>
          <w:rFonts w:ascii="Book Antiqua" w:eastAsia="Times New Roman" w:hAnsi="Book Antiqua" w:cs="Times New Roman"/>
          <w:kern w:val="0"/>
          <w:lang w:val="es-ES"/>
          <w14:ligatures w14:val="none"/>
        </w:rPr>
        <w:t>.</w:t>
      </w:r>
    </w:p>
    <w:p w14:paraId="415E4FB0" w14:textId="16741BCE" w:rsidR="0050328F" w:rsidRPr="0050328F" w:rsidRDefault="00495D03" w:rsidP="0050328F">
      <w:pPr>
        <w:pStyle w:val="ListParagraph"/>
        <w:numPr>
          <w:ilvl w:val="0"/>
          <w:numId w:val="4"/>
        </w:numPr>
        <w:spacing w:after="0"/>
        <w:jc w:val="both"/>
        <w:rPr>
          <w:rFonts w:ascii="Book Antiqua" w:eastAsia="Times New Roman" w:hAnsi="Book Antiqua" w:cs="Times New Roman"/>
          <w:kern w:val="0"/>
          <w:lang w:val="es-ES"/>
          <w14:ligatures w14:val="none"/>
        </w:rPr>
      </w:pPr>
      <w:r w:rsidRPr="0050328F">
        <w:rPr>
          <w:rFonts w:ascii="Book Antiqua" w:eastAsia="Times New Roman" w:hAnsi="Book Antiqua" w:cs="Times New Roman"/>
          <w:kern w:val="0"/>
          <w:lang w:val="es-ES"/>
          <w14:ligatures w14:val="none"/>
        </w:rPr>
        <w:lastRenderedPageBreak/>
        <w:t>la importancia de criterios de elegibilidad, transparencia y auditoría para el Fondo de Criadores</w:t>
      </w:r>
      <w:r w:rsidR="0050328F" w:rsidRPr="0050328F">
        <w:rPr>
          <w:rFonts w:ascii="Book Antiqua" w:eastAsia="Times New Roman" w:hAnsi="Book Antiqua" w:cs="Times New Roman"/>
          <w:kern w:val="0"/>
          <w:lang w:val="es-ES"/>
          <w14:ligatures w14:val="none"/>
        </w:rPr>
        <w:t>.</w:t>
      </w:r>
    </w:p>
    <w:p w14:paraId="3150482C" w14:textId="5550D833" w:rsidR="0050328F" w:rsidRPr="0050328F" w:rsidRDefault="00495D03" w:rsidP="0050328F">
      <w:pPr>
        <w:pStyle w:val="ListParagraph"/>
        <w:numPr>
          <w:ilvl w:val="0"/>
          <w:numId w:val="4"/>
        </w:numPr>
        <w:spacing w:after="0"/>
        <w:jc w:val="both"/>
        <w:rPr>
          <w:rFonts w:ascii="Book Antiqua" w:eastAsia="Times New Roman" w:hAnsi="Book Antiqua" w:cs="Times New Roman"/>
          <w:kern w:val="0"/>
          <w:lang w:val="es-ES"/>
          <w14:ligatures w14:val="none"/>
        </w:rPr>
      </w:pPr>
      <w:r w:rsidRPr="0050328F">
        <w:rPr>
          <w:rFonts w:ascii="Book Antiqua" w:eastAsia="Times New Roman" w:hAnsi="Book Antiqua" w:cs="Times New Roman"/>
          <w:kern w:val="0"/>
          <w:lang w:val="es-ES"/>
          <w14:ligatures w14:val="none"/>
        </w:rPr>
        <w:t>la recomendación de consultar formalmente a la empresa operadora y a los proveedores para evaluar impactos contractuales y operativos</w:t>
      </w:r>
      <w:r w:rsidR="0050328F">
        <w:rPr>
          <w:rFonts w:ascii="Book Antiqua" w:eastAsia="Times New Roman" w:hAnsi="Book Antiqua" w:cs="Times New Roman"/>
          <w:kern w:val="0"/>
          <w:lang w:val="es-ES"/>
          <w14:ligatures w14:val="none"/>
        </w:rPr>
        <w:t>.</w:t>
      </w:r>
      <w:r w:rsidRPr="0050328F">
        <w:rPr>
          <w:rFonts w:ascii="Book Antiqua" w:eastAsia="Times New Roman" w:hAnsi="Book Antiqua" w:cs="Times New Roman"/>
          <w:kern w:val="0"/>
          <w:lang w:val="es-ES"/>
          <w14:ligatures w14:val="none"/>
        </w:rPr>
        <w:t xml:space="preserve"> </w:t>
      </w:r>
    </w:p>
    <w:p w14:paraId="281664D1" w14:textId="0A074882" w:rsidR="00495D03" w:rsidRPr="00C36760" w:rsidRDefault="00495D03" w:rsidP="0050328F">
      <w:pPr>
        <w:pStyle w:val="ListParagraph"/>
        <w:numPr>
          <w:ilvl w:val="0"/>
          <w:numId w:val="4"/>
        </w:numPr>
        <w:spacing w:after="0"/>
        <w:jc w:val="both"/>
        <w:rPr>
          <w:rFonts w:ascii="Book Antiqua" w:eastAsia="Times New Roman" w:hAnsi="Book Antiqua" w:cs="Times New Roman"/>
          <w:kern w:val="0"/>
          <w:lang w:val="es-ES"/>
          <w14:ligatures w14:val="none"/>
        </w:rPr>
      </w:pPr>
      <w:r w:rsidRPr="00C36760">
        <w:rPr>
          <w:rFonts w:ascii="Book Antiqua" w:eastAsia="Times New Roman" w:hAnsi="Book Antiqua" w:cs="Times New Roman"/>
          <w:kern w:val="0"/>
          <w:lang w:val="es-ES"/>
          <w14:ligatures w14:val="none"/>
        </w:rPr>
        <w:t>la exigencia de certificaciones de neutralidad fiscal y de la evaluación de la Oficina de Presupuesto de la Asamblea Legislativa cuando proceda. La vista pública mostró consenso en cuanto a la pertinencia de la medida para atender una necesidad sectorial real, junto con la recomendación unánime de adoptar salvaguardas administrativas y fiscales.</w:t>
      </w:r>
    </w:p>
    <w:p w14:paraId="79EBF6D6" w14:textId="77777777" w:rsidR="00712A9E" w:rsidRPr="00CA6787" w:rsidRDefault="00712A9E" w:rsidP="00BD2A29">
      <w:pPr>
        <w:jc w:val="both"/>
      </w:pPr>
    </w:p>
    <w:p w14:paraId="7E267BCA" w14:textId="77777777" w:rsidR="00495D03" w:rsidRPr="0050328F" w:rsidRDefault="00495D03" w:rsidP="0050328F">
      <w:pPr>
        <w:jc w:val="center"/>
        <w:rPr>
          <w:rFonts w:ascii="Book Antiqua" w:hAnsi="Book Antiqua"/>
          <w:b/>
          <w:bCs/>
        </w:rPr>
      </w:pPr>
      <w:r w:rsidRPr="0050328F">
        <w:rPr>
          <w:rFonts w:ascii="Book Antiqua" w:hAnsi="Book Antiqua"/>
          <w:b/>
          <w:bCs/>
        </w:rPr>
        <w:t>IMPACTO FISCAL</w:t>
      </w:r>
    </w:p>
    <w:p w14:paraId="0BC8C9BC" w14:textId="0F1159F6" w:rsidR="00143EA6" w:rsidRPr="00CD7D11" w:rsidRDefault="00495D03"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El P. del S. 111 no conlleva impacto fiscal directo sobre el Fondo General del Gobierno de Puerto Rico, dado que no crea asignaciones nuevas ni requiere desembolsos adicionales. La medida se limita a una redistribución interna del ingreso neto del Sistema de Vídeo Juego Electrónico, destinando un 0.5% al Fondo de Criadores. La Oficina de Gerencia y Presupuesto ha certificado que la medida no afecta el presupuesto vigente ni compromete recursos del Fondo General. El Departamento de Hacienda ha confirmado que la redistribución puede implementarse mediante los mecanismos contables existentes en el SVJ, siempre que se coordine con la Comisión de Juegos.</w:t>
      </w:r>
      <w:r w:rsidR="00143EA6" w:rsidRPr="00CD7D11">
        <w:rPr>
          <w:rFonts w:ascii="Book Antiqua" w:eastAsia="Times New Roman" w:hAnsi="Book Antiqua" w:cs="Times New Roman"/>
          <w:kern w:val="0"/>
          <w:lang w:val="es-ES"/>
          <w14:ligatures w14:val="none"/>
        </w:rPr>
        <w:t xml:space="preserve">  </w:t>
      </w:r>
    </w:p>
    <w:p w14:paraId="0856FA55" w14:textId="77777777" w:rsidR="002C1945" w:rsidRPr="00CA6787" w:rsidRDefault="002C1945" w:rsidP="00BD2A29">
      <w:pPr>
        <w:jc w:val="both"/>
      </w:pPr>
    </w:p>
    <w:p w14:paraId="210AA5A3" w14:textId="77777777" w:rsidR="00495D03" w:rsidRPr="0050328F" w:rsidRDefault="00495D03" w:rsidP="0050328F">
      <w:pPr>
        <w:jc w:val="center"/>
        <w:rPr>
          <w:rFonts w:ascii="Book Antiqua" w:hAnsi="Book Antiqua"/>
          <w:b/>
          <w:bCs/>
        </w:rPr>
      </w:pPr>
      <w:r w:rsidRPr="0050328F">
        <w:rPr>
          <w:rFonts w:ascii="Book Antiqua" w:hAnsi="Book Antiqua"/>
          <w:b/>
          <w:bCs/>
        </w:rPr>
        <w:t>CONCLUSIÓN</w:t>
      </w:r>
    </w:p>
    <w:p w14:paraId="30811F8E" w14:textId="7EFDEAF5" w:rsidR="00495D03" w:rsidRDefault="00495D03"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t>El P. del S. 111 constituye una respuesta legislativa necesaria para atender la situación crítica que enfrenta la crianza de caballos en Puerto Rico. La medida promueve la recuperación y sostenibilidad de una actividad económica que genera empleos especializados y lo hace mediante una redistribución interna de ingresos del SVJ que no afecta el Fondo General. Las ponencias y memoriales recibidos, así como las intervenciones en la vista pública del 29 de septiembre de 2025, aportan evidencia técnica que respalda la pertinencia de la medida y permiten identificar las salvaguardas necesarias</w:t>
      </w:r>
      <w:r w:rsidR="00DA38BE" w:rsidRPr="00CD7D11">
        <w:rPr>
          <w:rFonts w:ascii="Book Antiqua" w:eastAsia="Times New Roman" w:hAnsi="Book Antiqua" w:cs="Times New Roman"/>
          <w:kern w:val="0"/>
          <w:lang w:val="es-ES"/>
          <w14:ligatures w14:val="none"/>
        </w:rPr>
        <w:t xml:space="preserve"> </w:t>
      </w:r>
      <w:r w:rsidR="0038780B" w:rsidRPr="00CD7D11">
        <w:rPr>
          <w:rFonts w:ascii="Book Antiqua" w:eastAsia="Times New Roman" w:hAnsi="Book Antiqua" w:cs="Times New Roman"/>
          <w:kern w:val="0"/>
          <w:lang w:val="es-ES"/>
          <w14:ligatures w14:val="none"/>
        </w:rPr>
        <w:t xml:space="preserve">para su </w:t>
      </w:r>
      <w:r w:rsidR="00BD2A29" w:rsidRPr="00CD7D11">
        <w:rPr>
          <w:rFonts w:ascii="Book Antiqua" w:eastAsia="Times New Roman" w:hAnsi="Book Antiqua" w:cs="Times New Roman"/>
          <w:kern w:val="0"/>
          <w:lang w:val="es-ES"/>
          <w14:ligatures w14:val="none"/>
        </w:rPr>
        <w:t>implementación</w:t>
      </w:r>
      <w:r w:rsidR="0038780B" w:rsidRPr="00CD7D11">
        <w:rPr>
          <w:rFonts w:ascii="Book Antiqua" w:eastAsia="Times New Roman" w:hAnsi="Book Antiqua" w:cs="Times New Roman"/>
          <w:kern w:val="0"/>
          <w:lang w:val="es-ES"/>
          <w14:ligatures w14:val="none"/>
        </w:rPr>
        <w:t xml:space="preserve"> efectiva. </w:t>
      </w:r>
    </w:p>
    <w:p w14:paraId="326701C4" w14:textId="77777777" w:rsidR="00C36760" w:rsidRDefault="00C36760" w:rsidP="00CD7D11">
      <w:pPr>
        <w:spacing w:after="0"/>
        <w:jc w:val="both"/>
        <w:rPr>
          <w:rFonts w:ascii="Book Antiqua" w:eastAsia="Times New Roman" w:hAnsi="Book Antiqua" w:cs="Times New Roman"/>
          <w:kern w:val="0"/>
          <w:lang w:val="es-ES"/>
          <w14:ligatures w14:val="none"/>
        </w:rPr>
      </w:pPr>
    </w:p>
    <w:p w14:paraId="18A0B664" w14:textId="77777777" w:rsidR="00C36760" w:rsidRDefault="00C36760" w:rsidP="00CD7D11">
      <w:pPr>
        <w:spacing w:after="0"/>
        <w:jc w:val="both"/>
        <w:rPr>
          <w:rFonts w:ascii="Book Antiqua" w:eastAsia="Times New Roman" w:hAnsi="Book Antiqua" w:cs="Times New Roman"/>
          <w:kern w:val="0"/>
          <w:lang w:val="es-ES"/>
          <w14:ligatures w14:val="none"/>
        </w:rPr>
      </w:pPr>
    </w:p>
    <w:p w14:paraId="57B57E84" w14:textId="77777777" w:rsidR="00C36760" w:rsidRDefault="00C36760" w:rsidP="00CD7D11">
      <w:pPr>
        <w:spacing w:after="0"/>
        <w:jc w:val="both"/>
        <w:rPr>
          <w:rFonts w:ascii="Book Antiqua" w:eastAsia="Times New Roman" w:hAnsi="Book Antiqua" w:cs="Times New Roman"/>
          <w:kern w:val="0"/>
          <w:lang w:val="es-ES"/>
          <w14:ligatures w14:val="none"/>
        </w:rPr>
      </w:pPr>
    </w:p>
    <w:p w14:paraId="2A9FD1DC" w14:textId="77777777" w:rsidR="00C36760" w:rsidRPr="00CD7D11" w:rsidRDefault="00C36760" w:rsidP="00CD7D11">
      <w:pPr>
        <w:spacing w:after="0"/>
        <w:jc w:val="both"/>
        <w:rPr>
          <w:rFonts w:ascii="Book Antiqua" w:eastAsia="Times New Roman" w:hAnsi="Book Antiqua" w:cs="Times New Roman"/>
          <w:kern w:val="0"/>
          <w:lang w:val="es-ES"/>
          <w14:ligatures w14:val="none"/>
        </w:rPr>
      </w:pPr>
    </w:p>
    <w:p w14:paraId="1EC0542D" w14:textId="77777777" w:rsidR="00BD2A29" w:rsidRPr="00CD7D11" w:rsidRDefault="00BD2A29" w:rsidP="00CD7D11">
      <w:pPr>
        <w:spacing w:after="0"/>
        <w:jc w:val="both"/>
        <w:rPr>
          <w:rFonts w:ascii="Book Antiqua" w:eastAsia="Times New Roman" w:hAnsi="Book Antiqua" w:cs="Times New Roman"/>
          <w:kern w:val="0"/>
          <w:lang w:val="es-ES"/>
          <w14:ligatures w14:val="none"/>
        </w:rPr>
      </w:pPr>
    </w:p>
    <w:p w14:paraId="09397DA8" w14:textId="657C5444" w:rsidR="001A2B9C" w:rsidRDefault="00495D03" w:rsidP="00CD7D11">
      <w:pPr>
        <w:spacing w:after="0"/>
        <w:jc w:val="both"/>
        <w:rPr>
          <w:rFonts w:ascii="Book Antiqua" w:eastAsia="Times New Roman" w:hAnsi="Book Antiqua" w:cs="Times New Roman"/>
          <w:kern w:val="0"/>
          <w:lang w:val="es-ES"/>
          <w14:ligatures w14:val="none"/>
        </w:rPr>
      </w:pPr>
      <w:r w:rsidRPr="00CD7D11">
        <w:rPr>
          <w:rFonts w:ascii="Book Antiqua" w:eastAsia="Times New Roman" w:hAnsi="Book Antiqua" w:cs="Times New Roman"/>
          <w:kern w:val="0"/>
          <w:lang w:val="es-ES"/>
          <w14:ligatures w14:val="none"/>
        </w:rPr>
        <w:lastRenderedPageBreak/>
        <w:t xml:space="preserve">Por los fundamentos antes expuestos, la Comisión de Hacienda de la Cámara de Representantes de Puerto Rico, luego del estudio y consideración correspondiente, tiene a bien recomendar a este Honorable Cuerpo la aprobación del P. del S. 111, </w:t>
      </w:r>
      <w:r w:rsidR="001A2B9C" w:rsidRPr="00CD7D11">
        <w:rPr>
          <w:rFonts w:ascii="Book Antiqua" w:eastAsia="Times New Roman" w:hAnsi="Book Antiqua" w:cs="Times New Roman"/>
          <w:kern w:val="0"/>
          <w:lang w:val="es-ES"/>
          <w14:ligatures w14:val="none"/>
        </w:rPr>
        <w:t>con</w:t>
      </w:r>
      <w:r w:rsidR="00CD7D11">
        <w:rPr>
          <w:rFonts w:ascii="Book Antiqua" w:eastAsia="Times New Roman" w:hAnsi="Book Antiqua" w:cs="Times New Roman"/>
          <w:kern w:val="0"/>
          <w:lang w:val="es-ES"/>
          <w14:ligatures w14:val="none"/>
        </w:rPr>
        <w:t xml:space="preserve"> </w:t>
      </w:r>
      <w:r w:rsidR="0050328F">
        <w:rPr>
          <w:rFonts w:ascii="Book Antiqua" w:eastAsia="Times New Roman" w:hAnsi="Book Antiqua" w:cs="Times New Roman"/>
          <w:kern w:val="0"/>
          <w:lang w:val="es-ES"/>
          <w14:ligatures w14:val="none"/>
        </w:rPr>
        <w:t xml:space="preserve">las </w:t>
      </w:r>
      <w:r w:rsidR="0050328F" w:rsidRPr="00CD7D11">
        <w:rPr>
          <w:rFonts w:ascii="Book Antiqua" w:eastAsia="Times New Roman" w:hAnsi="Book Antiqua" w:cs="Times New Roman"/>
          <w:kern w:val="0"/>
          <w:lang w:val="es-ES"/>
          <w14:ligatures w14:val="none"/>
        </w:rPr>
        <w:t>enmiendas</w:t>
      </w:r>
      <w:r w:rsidR="00CD7D11">
        <w:rPr>
          <w:rFonts w:ascii="Book Antiqua" w:eastAsia="Times New Roman" w:hAnsi="Book Antiqua" w:cs="Times New Roman"/>
          <w:kern w:val="0"/>
          <w:lang w:val="es-ES"/>
          <w14:ligatures w14:val="none"/>
        </w:rPr>
        <w:t xml:space="preserve"> incluidas en el </w:t>
      </w:r>
      <w:r w:rsidR="00C36760">
        <w:rPr>
          <w:rFonts w:ascii="Book Antiqua" w:eastAsia="Times New Roman" w:hAnsi="Book Antiqua" w:cs="Times New Roman"/>
          <w:kern w:val="0"/>
          <w:lang w:val="es-ES"/>
          <w14:ligatures w14:val="none"/>
        </w:rPr>
        <w:t>entrilladlo</w:t>
      </w:r>
      <w:r w:rsidR="00CD7D11">
        <w:rPr>
          <w:rFonts w:ascii="Book Antiqua" w:eastAsia="Times New Roman" w:hAnsi="Book Antiqua" w:cs="Times New Roman"/>
          <w:kern w:val="0"/>
          <w:lang w:val="es-ES"/>
          <w14:ligatures w14:val="none"/>
        </w:rPr>
        <w:t xml:space="preserve"> electrónico</w:t>
      </w:r>
      <w:r w:rsidR="00C36760">
        <w:rPr>
          <w:rFonts w:ascii="Book Antiqua" w:eastAsia="Times New Roman" w:hAnsi="Book Antiqua" w:cs="Times New Roman"/>
          <w:kern w:val="0"/>
          <w:lang w:val="es-ES"/>
          <w14:ligatures w14:val="none"/>
        </w:rPr>
        <w:t xml:space="preserve">. </w:t>
      </w:r>
    </w:p>
    <w:p w14:paraId="078383C9" w14:textId="77777777" w:rsidR="00C36760" w:rsidRDefault="00C36760" w:rsidP="00CD7D11">
      <w:pPr>
        <w:spacing w:after="0"/>
        <w:jc w:val="both"/>
        <w:rPr>
          <w:rFonts w:ascii="Book Antiqua" w:eastAsia="Times New Roman" w:hAnsi="Book Antiqua" w:cs="Times New Roman"/>
          <w:kern w:val="0"/>
          <w:lang w:val="es-ES"/>
          <w14:ligatures w14:val="none"/>
        </w:rPr>
      </w:pPr>
    </w:p>
    <w:p w14:paraId="10B8F477" w14:textId="77777777" w:rsidR="00C36760" w:rsidRPr="00CD7D11" w:rsidRDefault="00C36760" w:rsidP="00CD7D11">
      <w:pPr>
        <w:spacing w:after="0"/>
        <w:jc w:val="both"/>
        <w:rPr>
          <w:rFonts w:ascii="Book Antiqua" w:eastAsia="Times New Roman" w:hAnsi="Book Antiqua" w:cs="Times New Roman"/>
          <w:kern w:val="0"/>
          <w:lang w:val="es-ES"/>
          <w14:ligatures w14:val="none"/>
        </w:rPr>
      </w:pPr>
    </w:p>
    <w:p w14:paraId="0E2CA39F" w14:textId="77777777" w:rsidR="00495D03" w:rsidRDefault="00495D03" w:rsidP="00BD2A29">
      <w:pPr>
        <w:jc w:val="both"/>
        <w:rPr>
          <w:rFonts w:ascii="Book Antiqua" w:hAnsi="Book Antiqua"/>
          <w:lang w:val="it-IT"/>
        </w:rPr>
      </w:pPr>
      <w:r w:rsidRPr="0050328F">
        <w:rPr>
          <w:rFonts w:ascii="Book Antiqua" w:hAnsi="Book Antiqua"/>
          <w:lang w:val="it-IT"/>
        </w:rPr>
        <w:t>Respetuosamente sometido,</w:t>
      </w:r>
    </w:p>
    <w:p w14:paraId="390F934D" w14:textId="77777777" w:rsidR="00C36760" w:rsidRPr="0050328F" w:rsidRDefault="00C36760" w:rsidP="00BD2A29">
      <w:pPr>
        <w:jc w:val="both"/>
        <w:rPr>
          <w:rFonts w:ascii="Book Antiqua" w:hAnsi="Book Antiqua"/>
          <w:lang w:val="it-IT"/>
        </w:rPr>
      </w:pPr>
    </w:p>
    <w:p w14:paraId="5B26EE6F" w14:textId="77777777" w:rsidR="00A31643" w:rsidRPr="0050328F" w:rsidRDefault="00A31643" w:rsidP="00BD2A29">
      <w:pPr>
        <w:jc w:val="both"/>
        <w:rPr>
          <w:rFonts w:ascii="Book Antiqua" w:hAnsi="Book Antiqua"/>
          <w:lang w:val="it-IT"/>
        </w:rPr>
      </w:pPr>
    </w:p>
    <w:p w14:paraId="142CD4C5" w14:textId="77777777" w:rsidR="00A31643" w:rsidRPr="0050328F" w:rsidRDefault="00495D03" w:rsidP="00BD2A29">
      <w:pPr>
        <w:jc w:val="both"/>
        <w:rPr>
          <w:rFonts w:ascii="Book Antiqua" w:hAnsi="Book Antiqua"/>
          <w:lang w:val="it-IT"/>
        </w:rPr>
      </w:pPr>
      <w:r w:rsidRPr="0050328F">
        <w:rPr>
          <w:rFonts w:ascii="Book Antiqua" w:hAnsi="Book Antiqua"/>
          <w:lang w:val="it-IT"/>
        </w:rPr>
        <w:t xml:space="preserve">Hon. Eddie Charbonier Chinea </w:t>
      </w:r>
    </w:p>
    <w:p w14:paraId="618DD191" w14:textId="3F7C0732" w:rsidR="00495D03" w:rsidRPr="0050328F" w:rsidRDefault="00495D03" w:rsidP="00BD2A29">
      <w:pPr>
        <w:jc w:val="both"/>
        <w:rPr>
          <w:rFonts w:ascii="Book Antiqua" w:hAnsi="Book Antiqua"/>
        </w:rPr>
      </w:pPr>
      <w:r w:rsidRPr="0050328F">
        <w:rPr>
          <w:rFonts w:ascii="Book Antiqua" w:hAnsi="Book Antiqua"/>
        </w:rPr>
        <w:t>Presidente Comisión de Hacienda</w:t>
      </w:r>
    </w:p>
    <w:p w14:paraId="211093A2" w14:textId="77777777" w:rsidR="00E00F46" w:rsidRDefault="00E00F46" w:rsidP="00BD2A29">
      <w:pPr>
        <w:jc w:val="both"/>
        <w:rPr>
          <w:b/>
          <w:bCs/>
        </w:rPr>
      </w:pPr>
    </w:p>
    <w:p w14:paraId="58113871" w14:textId="77777777" w:rsidR="00E00F46" w:rsidRDefault="00E00F46" w:rsidP="00495D03">
      <w:pPr>
        <w:rPr>
          <w:b/>
          <w:bCs/>
        </w:rPr>
      </w:pPr>
    </w:p>
    <w:p w14:paraId="03852867" w14:textId="77777777" w:rsidR="00E00F46" w:rsidRPr="00495D03" w:rsidRDefault="00E00F46" w:rsidP="00495D03">
      <w:pPr>
        <w:rPr>
          <w:b/>
          <w:bCs/>
        </w:rPr>
      </w:pPr>
    </w:p>
    <w:p w14:paraId="3BF0A8F9" w14:textId="77777777" w:rsidR="00701A84" w:rsidRPr="00495D03" w:rsidRDefault="00701A84" w:rsidP="00495D03"/>
    <w:sectPr w:rsidR="00701A84" w:rsidRPr="00495D03" w:rsidSect="009E4EAD">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7F49F" w14:textId="77777777" w:rsidR="00057600" w:rsidRDefault="00057600" w:rsidP="009E4EAD">
      <w:pPr>
        <w:spacing w:after="0" w:line="240" w:lineRule="auto"/>
      </w:pPr>
      <w:r>
        <w:separator/>
      </w:r>
    </w:p>
  </w:endnote>
  <w:endnote w:type="continuationSeparator" w:id="0">
    <w:p w14:paraId="651E06DD" w14:textId="77777777" w:rsidR="00057600" w:rsidRDefault="00057600" w:rsidP="009E4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6336248"/>
      <w:docPartObj>
        <w:docPartGallery w:val="Page Numbers (Bottom of Page)"/>
        <w:docPartUnique/>
      </w:docPartObj>
    </w:sdtPr>
    <w:sdtEndPr>
      <w:rPr>
        <w:noProof/>
      </w:rPr>
    </w:sdtEndPr>
    <w:sdtContent>
      <w:p w14:paraId="4D2865D3" w14:textId="24CC9D90" w:rsidR="009E4EAD" w:rsidRDefault="009E4E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AB8DF1" w14:textId="77777777" w:rsidR="009E4EAD" w:rsidRDefault="009E4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782F2" w14:textId="77777777" w:rsidR="00057600" w:rsidRDefault="00057600" w:rsidP="009E4EAD">
      <w:pPr>
        <w:spacing w:after="0" w:line="240" w:lineRule="auto"/>
      </w:pPr>
      <w:r>
        <w:separator/>
      </w:r>
    </w:p>
  </w:footnote>
  <w:footnote w:type="continuationSeparator" w:id="0">
    <w:p w14:paraId="24A18546" w14:textId="77777777" w:rsidR="00057600" w:rsidRDefault="00057600" w:rsidP="009E4E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AB3"/>
    <w:multiLevelType w:val="multilevel"/>
    <w:tmpl w:val="305C9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1506B1"/>
    <w:multiLevelType w:val="hybridMultilevel"/>
    <w:tmpl w:val="DE002DA6"/>
    <w:lvl w:ilvl="0" w:tplc="698A6E1E">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4DC5459A"/>
    <w:multiLevelType w:val="multilevel"/>
    <w:tmpl w:val="BC8C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1618F4"/>
    <w:multiLevelType w:val="hybridMultilevel"/>
    <w:tmpl w:val="600E4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9468805">
    <w:abstractNumId w:val="0"/>
  </w:num>
  <w:num w:numId="2" w16cid:durableId="357895255">
    <w:abstractNumId w:val="2"/>
  </w:num>
  <w:num w:numId="3" w16cid:durableId="850222397">
    <w:abstractNumId w:val="1"/>
  </w:num>
  <w:num w:numId="4" w16cid:durableId="8023073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9D8"/>
    <w:rsid w:val="0001076C"/>
    <w:rsid w:val="0001494E"/>
    <w:rsid w:val="00026415"/>
    <w:rsid w:val="000356CA"/>
    <w:rsid w:val="00036B91"/>
    <w:rsid w:val="000572E4"/>
    <w:rsid w:val="00057600"/>
    <w:rsid w:val="000678B3"/>
    <w:rsid w:val="000B2801"/>
    <w:rsid w:val="000B3C1A"/>
    <w:rsid w:val="000B3FF5"/>
    <w:rsid w:val="00134915"/>
    <w:rsid w:val="00143EA6"/>
    <w:rsid w:val="00155131"/>
    <w:rsid w:val="0018689D"/>
    <w:rsid w:val="0019258C"/>
    <w:rsid w:val="00192EA7"/>
    <w:rsid w:val="001A0C38"/>
    <w:rsid w:val="001A2B9C"/>
    <w:rsid w:val="001E5DC0"/>
    <w:rsid w:val="0023172D"/>
    <w:rsid w:val="00237A27"/>
    <w:rsid w:val="002711DA"/>
    <w:rsid w:val="002978C2"/>
    <w:rsid w:val="002B2205"/>
    <w:rsid w:val="002C1945"/>
    <w:rsid w:val="002C7729"/>
    <w:rsid w:val="002E56BE"/>
    <w:rsid w:val="002F4CE9"/>
    <w:rsid w:val="00301AD7"/>
    <w:rsid w:val="0030355B"/>
    <w:rsid w:val="00306D1F"/>
    <w:rsid w:val="0031283C"/>
    <w:rsid w:val="003422FA"/>
    <w:rsid w:val="00347D85"/>
    <w:rsid w:val="003728F5"/>
    <w:rsid w:val="00384E10"/>
    <w:rsid w:val="0038780B"/>
    <w:rsid w:val="00397D6C"/>
    <w:rsid w:val="003E447C"/>
    <w:rsid w:val="0041202C"/>
    <w:rsid w:val="00446348"/>
    <w:rsid w:val="00481813"/>
    <w:rsid w:val="004859D8"/>
    <w:rsid w:val="00495D03"/>
    <w:rsid w:val="004966B2"/>
    <w:rsid w:val="004C4E31"/>
    <w:rsid w:val="004D0F0C"/>
    <w:rsid w:val="004D660D"/>
    <w:rsid w:val="004F0FF1"/>
    <w:rsid w:val="0050328F"/>
    <w:rsid w:val="005053C1"/>
    <w:rsid w:val="00530324"/>
    <w:rsid w:val="00551680"/>
    <w:rsid w:val="005626B2"/>
    <w:rsid w:val="0058582F"/>
    <w:rsid w:val="005A614C"/>
    <w:rsid w:val="005A7DD9"/>
    <w:rsid w:val="005F51A4"/>
    <w:rsid w:val="00633590"/>
    <w:rsid w:val="00645C25"/>
    <w:rsid w:val="00647154"/>
    <w:rsid w:val="006B4795"/>
    <w:rsid w:val="006D1A2C"/>
    <w:rsid w:val="006E5BE8"/>
    <w:rsid w:val="006F73D8"/>
    <w:rsid w:val="00701161"/>
    <w:rsid w:val="00701A84"/>
    <w:rsid w:val="00712A9E"/>
    <w:rsid w:val="0071641C"/>
    <w:rsid w:val="00751DC4"/>
    <w:rsid w:val="007A31C6"/>
    <w:rsid w:val="007B2D78"/>
    <w:rsid w:val="007C3549"/>
    <w:rsid w:val="007E7859"/>
    <w:rsid w:val="007F7CEB"/>
    <w:rsid w:val="00802788"/>
    <w:rsid w:val="00843E25"/>
    <w:rsid w:val="00856471"/>
    <w:rsid w:val="00894E6D"/>
    <w:rsid w:val="008D3EA3"/>
    <w:rsid w:val="00942BB1"/>
    <w:rsid w:val="00946843"/>
    <w:rsid w:val="0095059E"/>
    <w:rsid w:val="00971524"/>
    <w:rsid w:val="009C0398"/>
    <w:rsid w:val="009E4EAD"/>
    <w:rsid w:val="009F0E30"/>
    <w:rsid w:val="00A31643"/>
    <w:rsid w:val="00A858C4"/>
    <w:rsid w:val="00AC4D90"/>
    <w:rsid w:val="00B23A68"/>
    <w:rsid w:val="00B23B55"/>
    <w:rsid w:val="00B27F33"/>
    <w:rsid w:val="00B4663B"/>
    <w:rsid w:val="00B6548E"/>
    <w:rsid w:val="00BA7703"/>
    <w:rsid w:val="00BD2A29"/>
    <w:rsid w:val="00C36760"/>
    <w:rsid w:val="00C43A58"/>
    <w:rsid w:val="00CA6787"/>
    <w:rsid w:val="00CC1291"/>
    <w:rsid w:val="00CC2AE4"/>
    <w:rsid w:val="00CC38A8"/>
    <w:rsid w:val="00CD7D11"/>
    <w:rsid w:val="00CE0936"/>
    <w:rsid w:val="00D043F3"/>
    <w:rsid w:val="00D145F4"/>
    <w:rsid w:val="00D753F5"/>
    <w:rsid w:val="00DA38BE"/>
    <w:rsid w:val="00DC64AE"/>
    <w:rsid w:val="00DD0326"/>
    <w:rsid w:val="00DF636D"/>
    <w:rsid w:val="00E00F46"/>
    <w:rsid w:val="00E14829"/>
    <w:rsid w:val="00E165A2"/>
    <w:rsid w:val="00E65A79"/>
    <w:rsid w:val="00E74272"/>
    <w:rsid w:val="00E96D22"/>
    <w:rsid w:val="00EB0097"/>
    <w:rsid w:val="00ED7A16"/>
    <w:rsid w:val="00EF19B5"/>
    <w:rsid w:val="00F36864"/>
    <w:rsid w:val="00F44A11"/>
    <w:rsid w:val="00F5699D"/>
    <w:rsid w:val="00F624C6"/>
    <w:rsid w:val="00FC45E8"/>
    <w:rsid w:val="00FC6270"/>
    <w:rsid w:val="00FD2FE0"/>
    <w:rsid w:val="00FE7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45647"/>
  <w15:chartTrackingRefBased/>
  <w15:docId w15:val="{1DE4FA14-4833-4583-8E23-C21B237C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4859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9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9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9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9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9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9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9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9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9D8"/>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4859D8"/>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4859D8"/>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4859D8"/>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4859D8"/>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4859D8"/>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4859D8"/>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4859D8"/>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4859D8"/>
    <w:rPr>
      <w:rFonts w:eastAsiaTheme="majorEastAsia" w:cstheme="majorBidi"/>
      <w:color w:val="272727" w:themeColor="text1" w:themeTint="D8"/>
      <w:lang w:val="es-PR"/>
    </w:rPr>
  </w:style>
  <w:style w:type="paragraph" w:styleId="Title">
    <w:name w:val="Title"/>
    <w:basedOn w:val="Normal"/>
    <w:next w:val="Normal"/>
    <w:link w:val="TitleChar"/>
    <w:qFormat/>
    <w:rsid w:val="004859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859D8"/>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4859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9D8"/>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4859D8"/>
    <w:pPr>
      <w:spacing w:before="160"/>
      <w:jc w:val="center"/>
    </w:pPr>
    <w:rPr>
      <w:i/>
      <w:iCs/>
      <w:color w:val="404040" w:themeColor="text1" w:themeTint="BF"/>
    </w:rPr>
  </w:style>
  <w:style w:type="character" w:customStyle="1" w:styleId="QuoteChar">
    <w:name w:val="Quote Char"/>
    <w:basedOn w:val="DefaultParagraphFont"/>
    <w:link w:val="Quote"/>
    <w:uiPriority w:val="29"/>
    <w:rsid w:val="004859D8"/>
    <w:rPr>
      <w:i/>
      <w:iCs/>
      <w:color w:val="404040" w:themeColor="text1" w:themeTint="BF"/>
      <w:lang w:val="es-PR"/>
    </w:rPr>
  </w:style>
  <w:style w:type="paragraph" w:styleId="ListParagraph">
    <w:name w:val="List Paragraph"/>
    <w:basedOn w:val="Normal"/>
    <w:uiPriority w:val="34"/>
    <w:qFormat/>
    <w:rsid w:val="004859D8"/>
    <w:pPr>
      <w:ind w:left="720"/>
      <w:contextualSpacing/>
    </w:pPr>
  </w:style>
  <w:style w:type="character" w:styleId="IntenseEmphasis">
    <w:name w:val="Intense Emphasis"/>
    <w:basedOn w:val="DefaultParagraphFont"/>
    <w:uiPriority w:val="21"/>
    <w:qFormat/>
    <w:rsid w:val="004859D8"/>
    <w:rPr>
      <w:i/>
      <w:iCs/>
      <w:color w:val="0F4761" w:themeColor="accent1" w:themeShade="BF"/>
    </w:rPr>
  </w:style>
  <w:style w:type="paragraph" w:styleId="IntenseQuote">
    <w:name w:val="Intense Quote"/>
    <w:basedOn w:val="Normal"/>
    <w:next w:val="Normal"/>
    <w:link w:val="IntenseQuoteChar"/>
    <w:uiPriority w:val="30"/>
    <w:qFormat/>
    <w:rsid w:val="004859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9D8"/>
    <w:rPr>
      <w:i/>
      <w:iCs/>
      <w:color w:val="0F4761" w:themeColor="accent1" w:themeShade="BF"/>
      <w:lang w:val="es-PR"/>
    </w:rPr>
  </w:style>
  <w:style w:type="character" w:styleId="IntenseReference">
    <w:name w:val="Intense Reference"/>
    <w:basedOn w:val="DefaultParagraphFont"/>
    <w:uiPriority w:val="32"/>
    <w:qFormat/>
    <w:rsid w:val="004859D8"/>
    <w:rPr>
      <w:b/>
      <w:bCs/>
      <w:smallCaps/>
      <w:color w:val="0F4761" w:themeColor="accent1" w:themeShade="BF"/>
      <w:spacing w:val="5"/>
    </w:rPr>
  </w:style>
  <w:style w:type="paragraph" w:customStyle="1" w:styleId="Title2">
    <w:name w:val="Title2"/>
    <w:basedOn w:val="Normal"/>
    <w:next w:val="Normal"/>
    <w:rsid w:val="00CD7D11"/>
    <w:pPr>
      <w:tabs>
        <w:tab w:val="left" w:pos="648"/>
        <w:tab w:val="right" w:pos="7776"/>
        <w:tab w:val="left" w:pos="7848"/>
      </w:tabs>
      <w:spacing w:after="0"/>
      <w:jc w:val="both"/>
    </w:pPr>
    <w:rPr>
      <w:rFonts w:ascii="Times New Roman" w:eastAsia="Times New Roman" w:hAnsi="Times New Roman" w:cs="Times New Roman"/>
      <w:kern w:val="0"/>
      <w:szCs w:val="20"/>
      <w:lang w:val="en-US"/>
      <w14:ligatures w14:val="none"/>
    </w:rPr>
  </w:style>
  <w:style w:type="paragraph" w:styleId="BodyText">
    <w:name w:val="Body Text"/>
    <w:basedOn w:val="Normal"/>
    <w:link w:val="BodyTextChar"/>
    <w:rsid w:val="00CD7D11"/>
    <w:pPr>
      <w:spacing w:after="0" w:line="480" w:lineRule="auto"/>
      <w:jc w:val="both"/>
    </w:pPr>
    <w:rPr>
      <w:rFonts w:ascii="Times New Roman" w:eastAsia="Times New Roman" w:hAnsi="Times New Roman" w:cs="Times New Roman"/>
      <w:kern w:val="0"/>
      <w:szCs w:val="20"/>
      <w:lang w:val="es-ES"/>
      <w14:ligatures w14:val="none"/>
    </w:rPr>
  </w:style>
  <w:style w:type="character" w:customStyle="1" w:styleId="BodyTextChar">
    <w:name w:val="Body Text Char"/>
    <w:basedOn w:val="DefaultParagraphFont"/>
    <w:link w:val="BodyText"/>
    <w:rsid w:val="00CD7D11"/>
    <w:rPr>
      <w:rFonts w:ascii="Times New Roman" w:eastAsia="Times New Roman" w:hAnsi="Times New Roman" w:cs="Times New Roman"/>
      <w:kern w:val="0"/>
      <w:szCs w:val="20"/>
      <w:lang w:val="es-ES"/>
      <w14:ligatures w14:val="none"/>
    </w:rPr>
  </w:style>
  <w:style w:type="paragraph" w:styleId="Header">
    <w:name w:val="header"/>
    <w:basedOn w:val="Normal"/>
    <w:link w:val="HeaderChar"/>
    <w:uiPriority w:val="99"/>
    <w:unhideWhenUsed/>
    <w:rsid w:val="009E4E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4EAD"/>
    <w:rPr>
      <w:lang w:val="es-PR"/>
    </w:rPr>
  </w:style>
  <w:style w:type="paragraph" w:styleId="Footer">
    <w:name w:val="footer"/>
    <w:basedOn w:val="Normal"/>
    <w:link w:val="FooterChar"/>
    <w:uiPriority w:val="99"/>
    <w:unhideWhenUsed/>
    <w:rsid w:val="009E4E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4EAD"/>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1907</Words>
  <Characters>10871</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J. Pérez Méndez</dc:creator>
  <cp:keywords/>
  <dc:description/>
  <cp:lastModifiedBy>Camyl Moreno Pantojas</cp:lastModifiedBy>
  <cp:revision>2</cp:revision>
  <cp:lastPrinted>2026-06-18T19:16:00Z</cp:lastPrinted>
  <dcterms:created xsi:type="dcterms:W3CDTF">2026-06-23T13:29:00Z</dcterms:created>
  <dcterms:modified xsi:type="dcterms:W3CDTF">2026-06-23T13:29:00Z</dcterms:modified>
</cp:coreProperties>
</file>