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74F594F2"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B22AF6">
        <w:rPr>
          <w:rFonts w:ascii="Book Antiqua" w:hAnsi="Book Antiqua"/>
          <w:b/>
          <w:sz w:val="52"/>
          <w:szCs w:val="52"/>
          <w:lang w:val="es-ES"/>
        </w:rPr>
        <w:t xml:space="preserve">l S. </w:t>
      </w:r>
      <w:r w:rsidR="00C03F1E">
        <w:rPr>
          <w:rFonts w:ascii="Book Antiqua" w:hAnsi="Book Antiqua"/>
          <w:b/>
          <w:sz w:val="52"/>
          <w:szCs w:val="52"/>
          <w:lang w:val="es-ES"/>
        </w:rPr>
        <w:t>133</w:t>
      </w:r>
    </w:p>
    <w:p w14:paraId="35CFB7DE" w14:textId="77777777" w:rsidR="00ED30AA" w:rsidRPr="000E7F54" w:rsidRDefault="00ED30AA" w:rsidP="00ED30AA">
      <w:pPr>
        <w:jc w:val="center"/>
        <w:rPr>
          <w:rFonts w:ascii="Book Antiqua" w:hAnsi="Book Antiqua"/>
          <w:sz w:val="28"/>
          <w:szCs w:val="28"/>
          <w:lang w:val="es-ES"/>
        </w:rPr>
      </w:pPr>
    </w:p>
    <w:p w14:paraId="25A7CA79" w14:textId="4680394C" w:rsidR="00ED30AA" w:rsidRPr="000E7F54" w:rsidRDefault="00005681" w:rsidP="00ED30AA">
      <w:pPr>
        <w:jc w:val="center"/>
        <w:rPr>
          <w:rFonts w:ascii="Book Antiqua" w:hAnsi="Book Antiqua"/>
          <w:sz w:val="28"/>
          <w:szCs w:val="28"/>
          <w:lang w:val="es-ES"/>
        </w:rPr>
      </w:pPr>
      <w:r>
        <w:rPr>
          <w:rFonts w:ascii="Book Antiqua" w:hAnsi="Book Antiqua"/>
          <w:sz w:val="28"/>
          <w:szCs w:val="28"/>
          <w:lang w:val="es-ES"/>
        </w:rPr>
        <w:t>INFORME</w:t>
      </w:r>
      <w:r w:rsidR="00C03F1E">
        <w:rPr>
          <w:rFonts w:ascii="Book Antiqua" w:hAnsi="Book Antiqua"/>
          <w:sz w:val="28"/>
          <w:szCs w:val="28"/>
          <w:lang w:val="es-ES"/>
        </w:rPr>
        <w:t xml:space="preserve"> NEGATIVO</w:t>
      </w:r>
    </w:p>
    <w:p w14:paraId="310F564E" w14:textId="77777777" w:rsidR="00ED30AA" w:rsidRPr="000E7F54" w:rsidRDefault="00ED30AA" w:rsidP="00ED30AA">
      <w:pPr>
        <w:jc w:val="center"/>
        <w:rPr>
          <w:rFonts w:ascii="Book Antiqua" w:hAnsi="Book Antiqua"/>
          <w:bCs/>
          <w:sz w:val="28"/>
          <w:szCs w:val="28"/>
          <w:lang w:val="es-ES"/>
        </w:rPr>
      </w:pPr>
    </w:p>
    <w:p w14:paraId="346EB9B7" w14:textId="6A17CD58" w:rsidR="00ED30AA" w:rsidRPr="000E7F54" w:rsidRDefault="00D7154A" w:rsidP="00ED30AA">
      <w:pPr>
        <w:jc w:val="center"/>
        <w:rPr>
          <w:rFonts w:ascii="Book Antiqua" w:hAnsi="Book Antiqua"/>
          <w:szCs w:val="24"/>
          <w:lang w:val="es-ES"/>
        </w:rPr>
      </w:pPr>
      <w:r>
        <w:rPr>
          <w:rFonts w:ascii="Book Antiqua" w:hAnsi="Book Antiqua"/>
          <w:bCs/>
          <w:szCs w:val="24"/>
          <w:lang w:val="es-ES"/>
        </w:rPr>
        <w:t xml:space="preserve">5 </w:t>
      </w:r>
      <w:r w:rsidR="00A66CF3">
        <w:rPr>
          <w:rFonts w:ascii="Book Antiqua" w:hAnsi="Book Antiqua"/>
          <w:bCs/>
          <w:szCs w:val="24"/>
          <w:lang w:val="es-ES"/>
        </w:rPr>
        <w:t xml:space="preserve">DE </w:t>
      </w:r>
      <w:r w:rsidR="00EF6B58">
        <w:rPr>
          <w:rFonts w:ascii="Book Antiqua" w:hAnsi="Book Antiqua"/>
          <w:bCs/>
          <w:szCs w:val="24"/>
          <w:lang w:val="es-ES"/>
        </w:rPr>
        <w:t>JUNIO</w:t>
      </w:r>
      <w:r w:rsidR="00005681">
        <w:rPr>
          <w:rFonts w:ascii="Book Antiqua" w:hAnsi="Book Antiqua"/>
          <w:bCs/>
          <w:szCs w:val="24"/>
          <w:lang w:val="es-ES"/>
        </w:rPr>
        <w:t xml:space="preserve"> </w:t>
      </w:r>
      <w:r w:rsidR="00A66CF3">
        <w:rPr>
          <w:rFonts w:ascii="Book Antiqua" w:hAnsi="Book Antiqua"/>
          <w:bCs/>
          <w:szCs w:val="24"/>
          <w:lang w:val="es-ES"/>
        </w:rPr>
        <w:t>DE 2026</w:t>
      </w:r>
    </w:p>
    <w:p w14:paraId="62161C4E" w14:textId="77777777" w:rsidR="00ED30AA" w:rsidRPr="000E7F54" w:rsidRDefault="00ED30AA" w:rsidP="00AA6704">
      <w:pPr>
        <w:rPr>
          <w:rFonts w:ascii="Book Antiqua" w:hAnsi="Book Antiqua"/>
          <w:sz w:val="28"/>
          <w:szCs w:val="28"/>
          <w:lang w:val="es-ES"/>
        </w:rPr>
      </w:pPr>
    </w:p>
    <w:p w14:paraId="1C11B246" w14:textId="77777777" w:rsidR="0025267F" w:rsidRPr="002573CC" w:rsidRDefault="0025267F" w:rsidP="0025267F">
      <w:pPr>
        <w:jc w:val="both"/>
        <w:rPr>
          <w:rFonts w:ascii="Book Antiqua" w:hAnsi="Book Antiqua"/>
          <w:b/>
          <w:lang w:val="es-ES_tradnl"/>
        </w:rPr>
      </w:pPr>
    </w:p>
    <w:p w14:paraId="6DF0D582" w14:textId="757FE3F0" w:rsidR="0025267F" w:rsidRPr="002573CC" w:rsidRDefault="0025267F" w:rsidP="0025267F">
      <w:pPr>
        <w:contextualSpacing/>
        <w:jc w:val="both"/>
        <w:rPr>
          <w:rFonts w:ascii="Book Antiqua" w:hAnsi="Book Antiqua"/>
          <w:b/>
          <w:lang w:val="es-ES_tradnl"/>
        </w:rPr>
      </w:pPr>
      <w:r w:rsidRPr="002573CC">
        <w:rPr>
          <w:rFonts w:ascii="Book Antiqua" w:hAnsi="Book Antiqua"/>
          <w:b/>
          <w:lang w:val="es-ES_tradnl"/>
        </w:rPr>
        <w:t>A</w:t>
      </w:r>
      <w:r>
        <w:rPr>
          <w:rFonts w:ascii="Book Antiqua" w:hAnsi="Book Antiqua"/>
          <w:b/>
          <w:lang w:val="es-ES_tradnl"/>
        </w:rPr>
        <w:t xml:space="preserve"> </w:t>
      </w:r>
      <w:r w:rsidRPr="002573CC">
        <w:rPr>
          <w:rFonts w:ascii="Book Antiqua" w:hAnsi="Book Antiqua"/>
          <w:b/>
          <w:lang w:val="es-ES_tradnl"/>
        </w:rPr>
        <w:t>L</w:t>
      </w:r>
      <w:r>
        <w:rPr>
          <w:rFonts w:ascii="Book Antiqua" w:hAnsi="Book Antiqua"/>
          <w:b/>
          <w:lang w:val="es-ES_tradnl"/>
        </w:rPr>
        <w:t>A CÁMARA DE REPRESENTANTES</w:t>
      </w:r>
      <w:r w:rsidR="00290173">
        <w:rPr>
          <w:rFonts w:ascii="Book Antiqua" w:hAnsi="Book Antiqua"/>
          <w:b/>
          <w:lang w:val="es-ES_tradnl"/>
        </w:rPr>
        <w:t xml:space="preserve"> DE PUERTO RICO:</w:t>
      </w:r>
    </w:p>
    <w:p w14:paraId="4B3BD144" w14:textId="77777777" w:rsidR="0025267F" w:rsidRPr="002573CC" w:rsidRDefault="0025267F" w:rsidP="0025267F">
      <w:pPr>
        <w:contextualSpacing/>
        <w:jc w:val="both"/>
        <w:rPr>
          <w:rFonts w:ascii="Book Antiqua" w:hAnsi="Book Antiqua"/>
          <w:b/>
          <w:lang w:val="es-ES_tradnl"/>
        </w:rPr>
      </w:pPr>
    </w:p>
    <w:p w14:paraId="72B6723A" w14:textId="5C07F8CC" w:rsidR="00F93653" w:rsidRDefault="00F93653" w:rsidP="00F93653">
      <w:pPr>
        <w:ind w:firstLine="720"/>
        <w:jc w:val="both"/>
        <w:rPr>
          <w:rFonts w:ascii="Book Antiqua" w:hAnsi="Book Antiqua"/>
          <w:szCs w:val="24"/>
          <w:lang w:val="es-ES"/>
        </w:rPr>
      </w:pPr>
      <w:r w:rsidRPr="009C3FBC">
        <w:rPr>
          <w:rFonts w:ascii="Book Antiqua" w:hAnsi="Book Antiqua"/>
          <w:szCs w:val="24"/>
          <w:lang w:val="es-ES"/>
        </w:rPr>
        <w:t>La Comisión de</w:t>
      </w:r>
      <w:r>
        <w:rPr>
          <w:rFonts w:ascii="Book Antiqua" w:hAnsi="Book Antiqua"/>
          <w:szCs w:val="24"/>
          <w:lang w:val="es-ES"/>
        </w:rPr>
        <w:t>l</w:t>
      </w:r>
      <w:r w:rsidRPr="009C3FBC">
        <w:rPr>
          <w:rFonts w:ascii="Book Antiqua" w:hAnsi="Book Antiqua"/>
          <w:szCs w:val="24"/>
          <w:lang w:val="es-ES"/>
        </w:rPr>
        <w:t xml:space="preserve"> </w:t>
      </w:r>
      <w:r>
        <w:rPr>
          <w:rFonts w:ascii="Book Antiqua" w:hAnsi="Book Antiqua"/>
          <w:szCs w:val="24"/>
          <w:lang w:val="es-ES"/>
        </w:rPr>
        <w:t>Trabajo y Asuntos Laborales</w:t>
      </w:r>
      <w:r w:rsidRPr="009C3FBC">
        <w:rPr>
          <w:rFonts w:ascii="Book Antiqua" w:hAnsi="Book Antiqua"/>
          <w:szCs w:val="24"/>
          <w:lang w:val="es-ES"/>
        </w:rPr>
        <w:t xml:space="preserve"> de la Cámara de Representantes de Puerto Rico, </w:t>
      </w:r>
      <w:r>
        <w:rPr>
          <w:rFonts w:ascii="Book Antiqua" w:hAnsi="Book Antiqua"/>
          <w:szCs w:val="24"/>
          <w:lang w:val="es-ES"/>
        </w:rPr>
        <w:t>luego de evaluar el</w:t>
      </w:r>
      <w:r w:rsidRPr="009C3FBC">
        <w:rPr>
          <w:rFonts w:ascii="Book Antiqua" w:hAnsi="Book Antiqua"/>
          <w:szCs w:val="24"/>
          <w:lang w:val="es-ES"/>
        </w:rPr>
        <w:t xml:space="preserve"> </w:t>
      </w:r>
      <w:r w:rsidRPr="009C3FBC">
        <w:rPr>
          <w:rFonts w:ascii="Book Antiqua" w:hAnsi="Book Antiqua"/>
          <w:b/>
          <w:bCs/>
          <w:szCs w:val="24"/>
          <w:lang w:val="es-ES"/>
        </w:rPr>
        <w:t>P. d</w:t>
      </w:r>
      <w:r>
        <w:rPr>
          <w:rFonts w:ascii="Book Antiqua" w:hAnsi="Book Antiqua"/>
          <w:b/>
          <w:bCs/>
          <w:szCs w:val="24"/>
          <w:lang w:val="es-ES"/>
        </w:rPr>
        <w:t>el S. 133</w:t>
      </w:r>
      <w:r w:rsidRPr="009C3FBC">
        <w:rPr>
          <w:rFonts w:ascii="Book Antiqua" w:hAnsi="Book Antiqua"/>
          <w:szCs w:val="24"/>
          <w:lang w:val="es-ES"/>
        </w:rPr>
        <w:t>,</w:t>
      </w:r>
      <w:r w:rsidRPr="000E1BB7">
        <w:rPr>
          <w:lang w:val="es-PR"/>
        </w:rPr>
        <w:t xml:space="preserve"> </w:t>
      </w:r>
      <w:r w:rsidRPr="000E1BB7">
        <w:rPr>
          <w:rFonts w:ascii="Book Antiqua" w:hAnsi="Book Antiqua"/>
          <w:szCs w:val="24"/>
          <w:lang w:val="es-ES"/>
        </w:rPr>
        <w:t>así como los memoriales y</w:t>
      </w:r>
      <w:r>
        <w:rPr>
          <w:rFonts w:ascii="Book Antiqua" w:hAnsi="Book Antiqua"/>
          <w:szCs w:val="24"/>
          <w:lang w:val="es-ES"/>
        </w:rPr>
        <w:t>/o</w:t>
      </w:r>
      <w:r w:rsidRPr="000E1BB7">
        <w:rPr>
          <w:rFonts w:ascii="Book Antiqua" w:hAnsi="Book Antiqua"/>
          <w:szCs w:val="24"/>
          <w:lang w:val="es-ES"/>
        </w:rPr>
        <w:t xml:space="preserve"> ponencias recibidas, comparece respetuosamente para rendir este Informe Negativo, por entender que la medida no adelanta el mejor interés público ni cumple adecuadamente con los objetivos que persigue. </w:t>
      </w:r>
      <w:r w:rsidRPr="009C3FBC">
        <w:rPr>
          <w:rFonts w:ascii="Book Antiqua" w:hAnsi="Book Antiqua"/>
          <w:szCs w:val="24"/>
          <w:lang w:val="es-ES"/>
        </w:rPr>
        <w:t xml:space="preserve"> </w:t>
      </w:r>
    </w:p>
    <w:p w14:paraId="5A5A9F51" w14:textId="77777777" w:rsidR="0025267F" w:rsidRDefault="0025267F" w:rsidP="0025267F">
      <w:pPr>
        <w:spacing w:line="276" w:lineRule="auto"/>
        <w:jc w:val="center"/>
        <w:outlineLvl w:val="0"/>
        <w:rPr>
          <w:rFonts w:ascii="Book Antiqua" w:hAnsi="Book Antiqua"/>
          <w:b/>
          <w:caps/>
          <w:szCs w:val="24"/>
          <w:lang w:val="es-ES"/>
        </w:rPr>
      </w:pPr>
      <w:r w:rsidRPr="00470D75">
        <w:rPr>
          <w:rFonts w:ascii="Book Antiqua" w:hAnsi="Book Antiqua"/>
          <w:b/>
          <w:caps/>
          <w:szCs w:val="24"/>
          <w:lang w:val="es-ES"/>
        </w:rPr>
        <w:t>ALCANCE DE LA MEDIDA</w:t>
      </w:r>
    </w:p>
    <w:p w14:paraId="57324BCA" w14:textId="77777777" w:rsidR="00717F21" w:rsidRPr="00470D75" w:rsidRDefault="00717F21" w:rsidP="0025267F">
      <w:pPr>
        <w:spacing w:line="276" w:lineRule="auto"/>
        <w:jc w:val="center"/>
        <w:outlineLvl w:val="0"/>
        <w:rPr>
          <w:rFonts w:ascii="Book Antiqua" w:hAnsi="Book Antiqua"/>
          <w:b/>
          <w:caps/>
          <w:szCs w:val="24"/>
          <w:lang w:val="es-ES"/>
        </w:rPr>
      </w:pPr>
    </w:p>
    <w:p w14:paraId="608015A2" w14:textId="292F73B9" w:rsidR="00F93653" w:rsidRPr="00F93653" w:rsidRDefault="00F93653" w:rsidP="00F93653">
      <w:pPr>
        <w:suppressLineNumbers/>
        <w:jc w:val="both"/>
        <w:rPr>
          <w:rFonts w:ascii="Book Antiqua" w:hAnsi="Book Antiqua"/>
          <w:szCs w:val="24"/>
          <w:lang w:val="es-PR"/>
        </w:rPr>
      </w:pPr>
      <w:r>
        <w:rPr>
          <w:rFonts w:ascii="Book Antiqua" w:hAnsi="Book Antiqua"/>
          <w:szCs w:val="24"/>
          <w:lang w:val="es-PR"/>
        </w:rPr>
        <w:t>“</w:t>
      </w:r>
      <w:r w:rsidRPr="00F93653">
        <w:rPr>
          <w:rFonts w:ascii="Book Antiqua" w:hAnsi="Book Antiqua"/>
          <w:szCs w:val="24"/>
          <w:lang w:val="es-PR"/>
        </w:rPr>
        <w:t>Para añadir un inciso (j) a la Sección 2 de la Ley Núm. 15 de 14 de abril de 1931, según</w:t>
      </w:r>
    </w:p>
    <w:p w14:paraId="4B25F2DF" w14:textId="629CE457" w:rsidR="00C03F1E" w:rsidRDefault="00F93653" w:rsidP="00F93653">
      <w:pPr>
        <w:suppressLineNumbers/>
        <w:ind w:left="360"/>
        <w:jc w:val="both"/>
        <w:rPr>
          <w:rFonts w:ascii="Book Antiqua" w:hAnsi="Book Antiqua"/>
          <w:szCs w:val="24"/>
          <w:lang w:val="es-PR"/>
        </w:rPr>
      </w:pPr>
      <w:r w:rsidRPr="00F93653">
        <w:rPr>
          <w:rFonts w:ascii="Book Antiqua" w:hAnsi="Book Antiqua"/>
          <w:szCs w:val="24"/>
          <w:lang w:val="es-PR"/>
        </w:rPr>
        <w:t>enmendada, conocida como “Ley Orgánica del Departamento del Trabajo y</w:t>
      </w:r>
      <w:r>
        <w:rPr>
          <w:rFonts w:ascii="Book Antiqua" w:hAnsi="Book Antiqua"/>
          <w:szCs w:val="24"/>
          <w:lang w:val="es-PR"/>
        </w:rPr>
        <w:t xml:space="preserve">  </w:t>
      </w:r>
      <w:r w:rsidRPr="00F93653">
        <w:rPr>
          <w:rFonts w:ascii="Book Antiqua" w:hAnsi="Book Antiqua"/>
          <w:szCs w:val="24"/>
          <w:lang w:val="es-PR"/>
        </w:rPr>
        <w:t>Recursos Humanos de Puerto Rico”, a los fines de incluir entre sus poderes y deberes la facultad para identificar y crear las herramientas que permitan a las personas diagnosticadas con el Trastorno del Espectro del Autismo o Síndrome</w:t>
      </w:r>
      <w:r>
        <w:rPr>
          <w:rFonts w:ascii="Book Antiqua" w:hAnsi="Book Antiqua"/>
          <w:szCs w:val="24"/>
          <w:lang w:val="es-PR"/>
        </w:rPr>
        <w:t xml:space="preserve"> </w:t>
      </w:r>
      <w:r w:rsidRPr="00F93653">
        <w:rPr>
          <w:rFonts w:ascii="Book Antiqua" w:hAnsi="Book Antiqua"/>
          <w:szCs w:val="24"/>
          <w:lang w:val="es-PR"/>
        </w:rPr>
        <w:t>Down poder insertarse y mantenerse en la fuerza laboral; para enmendar la Sección 1033.11 de la Ley 1-2011, según enmendada, conocida como “Código de Rentas Internas de Puerto Rico de 2011”, a los fines de establecer una deducción</w:t>
      </w:r>
      <w:r>
        <w:rPr>
          <w:rFonts w:ascii="Book Antiqua" w:hAnsi="Book Antiqua"/>
          <w:szCs w:val="24"/>
          <w:lang w:val="es-PR"/>
        </w:rPr>
        <w:t xml:space="preserve"> </w:t>
      </w:r>
      <w:r w:rsidRPr="00F93653">
        <w:rPr>
          <w:rFonts w:ascii="Book Antiqua" w:hAnsi="Book Antiqua"/>
          <w:szCs w:val="24"/>
          <w:lang w:val="es-PR"/>
        </w:rPr>
        <w:t>contributiva a los patronos de empresas privadas que empleen a personas diagnosticadas con el Trastorno del Espectro del Autismo o Síndrome Down; y para otros fines relacionados.</w:t>
      </w:r>
      <w:r>
        <w:rPr>
          <w:rFonts w:ascii="Book Antiqua" w:hAnsi="Book Antiqua"/>
          <w:szCs w:val="24"/>
          <w:lang w:val="es-PR"/>
        </w:rPr>
        <w:t>”</w:t>
      </w:r>
    </w:p>
    <w:p w14:paraId="0DBEF1EC" w14:textId="77777777" w:rsidR="00F93653" w:rsidRPr="0025267F" w:rsidRDefault="00F93653" w:rsidP="00F93653">
      <w:pPr>
        <w:suppressLineNumbers/>
        <w:ind w:left="360"/>
        <w:jc w:val="both"/>
        <w:rPr>
          <w:rFonts w:ascii="Book Antiqua" w:hAnsi="Book Antiqua"/>
          <w:szCs w:val="24"/>
          <w:lang w:val="es-PR"/>
        </w:rPr>
      </w:pPr>
    </w:p>
    <w:p w14:paraId="10400F26" w14:textId="09E32244" w:rsidR="0025267F" w:rsidRDefault="0025267F" w:rsidP="00717F21">
      <w:pPr>
        <w:pStyle w:val="NoSpacing"/>
        <w:ind w:left="2124" w:firstLine="708"/>
        <w:rPr>
          <w:rFonts w:ascii="Book Antiqua" w:hAnsi="Book Antiqua"/>
          <w:b/>
          <w:bCs/>
          <w:color w:val="000000"/>
          <w:szCs w:val="24"/>
          <w:lang w:val="es-ES"/>
        </w:rPr>
      </w:pPr>
      <w:r w:rsidRPr="00470D75">
        <w:rPr>
          <w:rFonts w:ascii="Book Antiqua" w:hAnsi="Book Antiqua"/>
          <w:b/>
          <w:bCs/>
          <w:color w:val="000000"/>
          <w:szCs w:val="24"/>
          <w:lang w:val="es-ES"/>
        </w:rPr>
        <w:t>ANÁLISIS DE LA MEDIDA</w:t>
      </w:r>
    </w:p>
    <w:p w14:paraId="4B3C27BD" w14:textId="77777777" w:rsidR="00717F21" w:rsidRPr="00470D75" w:rsidRDefault="00717F21" w:rsidP="00717F21">
      <w:pPr>
        <w:pStyle w:val="NoSpacing"/>
        <w:ind w:left="2124" w:firstLine="708"/>
        <w:rPr>
          <w:rFonts w:ascii="Book Antiqua" w:hAnsi="Book Antiqua"/>
          <w:b/>
          <w:bCs/>
          <w:color w:val="000000"/>
          <w:szCs w:val="24"/>
          <w:lang w:val="es-ES"/>
        </w:rPr>
      </w:pPr>
    </w:p>
    <w:p w14:paraId="68842710" w14:textId="328BD33A" w:rsidR="00501484" w:rsidRDefault="00C03F1E" w:rsidP="00501484">
      <w:pPr>
        <w:pStyle w:val="ColorfulList-Accent11"/>
        <w:ind w:left="0" w:firstLine="720"/>
        <w:jc w:val="both"/>
        <w:rPr>
          <w:rFonts w:ascii="Book Antiqua" w:eastAsia="Times New Roman" w:hAnsi="Book Antiqua" w:cs="Arial"/>
          <w:szCs w:val="24"/>
          <w:lang w:val="es-PR" w:eastAsia="es-PR"/>
        </w:rPr>
      </w:pPr>
      <w:r w:rsidRPr="00C03F1E">
        <w:rPr>
          <w:rFonts w:ascii="Book Antiqua" w:eastAsia="Times New Roman" w:hAnsi="Book Antiqua" w:cs="Arial"/>
          <w:szCs w:val="24"/>
          <w:lang w:val="es-PR" w:eastAsia="es-PR"/>
        </w:rPr>
        <w:t>Como parte del proceso de evaluación legislativa, la Comisi</w:t>
      </w:r>
      <w:r>
        <w:rPr>
          <w:rFonts w:ascii="Book Antiqua" w:eastAsia="Times New Roman" w:hAnsi="Book Antiqua" w:cs="Arial"/>
          <w:szCs w:val="24"/>
          <w:lang w:val="es-PR" w:eastAsia="es-PR"/>
        </w:rPr>
        <w:t>ón</w:t>
      </w:r>
      <w:r w:rsidRPr="00C03F1E">
        <w:rPr>
          <w:rFonts w:ascii="Book Antiqua" w:eastAsia="Times New Roman" w:hAnsi="Book Antiqua" w:cs="Arial"/>
          <w:szCs w:val="24"/>
          <w:lang w:val="es-PR" w:eastAsia="es-PR"/>
        </w:rPr>
        <w:t xml:space="preserve"> solicit</w:t>
      </w:r>
      <w:r>
        <w:rPr>
          <w:rFonts w:ascii="Book Antiqua" w:eastAsia="Times New Roman" w:hAnsi="Book Antiqua" w:cs="Arial"/>
          <w:szCs w:val="24"/>
          <w:lang w:val="es-PR" w:eastAsia="es-PR"/>
        </w:rPr>
        <w:t xml:space="preserve">ó </w:t>
      </w:r>
      <w:r w:rsidRPr="00C03F1E">
        <w:rPr>
          <w:rFonts w:ascii="Book Antiqua" w:eastAsia="Times New Roman" w:hAnsi="Book Antiqua" w:cs="Arial"/>
          <w:szCs w:val="24"/>
          <w:lang w:val="es-PR" w:eastAsia="es-PR"/>
        </w:rPr>
        <w:t xml:space="preserve">memoriales explicativos a </w:t>
      </w:r>
      <w:r>
        <w:rPr>
          <w:rFonts w:ascii="Book Antiqua" w:eastAsia="Times New Roman" w:hAnsi="Book Antiqua" w:cs="Arial"/>
          <w:szCs w:val="24"/>
          <w:lang w:val="es-PR" w:eastAsia="es-PR"/>
        </w:rPr>
        <w:t xml:space="preserve">el </w:t>
      </w:r>
      <w:r w:rsidRPr="00C03F1E">
        <w:rPr>
          <w:rFonts w:ascii="Book Antiqua" w:eastAsia="Times New Roman" w:hAnsi="Book Antiqua" w:cs="Arial"/>
          <w:b/>
          <w:bCs/>
          <w:szCs w:val="24"/>
          <w:lang w:val="es-PR" w:eastAsia="es-PR"/>
        </w:rPr>
        <w:t>Departamento del Trabajo y Recursos Humanos</w:t>
      </w:r>
      <w:r w:rsidR="00501484">
        <w:rPr>
          <w:rFonts w:ascii="Book Antiqua" w:eastAsia="Times New Roman" w:hAnsi="Book Antiqua" w:cs="Arial"/>
          <w:b/>
          <w:bCs/>
          <w:szCs w:val="24"/>
          <w:lang w:val="es-PR" w:eastAsia="es-PR"/>
        </w:rPr>
        <w:t xml:space="preserve"> </w:t>
      </w:r>
      <w:r>
        <w:rPr>
          <w:rFonts w:ascii="Book Antiqua" w:eastAsia="Times New Roman" w:hAnsi="Book Antiqua" w:cs="Arial"/>
          <w:b/>
          <w:bCs/>
          <w:szCs w:val="24"/>
          <w:lang w:val="es-PR" w:eastAsia="es-PR"/>
        </w:rPr>
        <w:t>(DTRH)</w:t>
      </w:r>
      <w:r>
        <w:rPr>
          <w:rStyle w:val="FootnoteReference"/>
          <w:rFonts w:ascii="Book Antiqua" w:eastAsia="Times New Roman" w:hAnsi="Book Antiqua" w:cs="Arial"/>
          <w:b/>
          <w:bCs/>
          <w:szCs w:val="24"/>
          <w:lang w:val="es-PR" w:eastAsia="es-PR"/>
        </w:rPr>
        <w:footnoteReference w:id="1"/>
      </w:r>
      <w:r w:rsidRPr="00C03F1E">
        <w:rPr>
          <w:rFonts w:ascii="Book Antiqua" w:eastAsia="Times New Roman" w:hAnsi="Book Antiqua" w:cs="Arial"/>
          <w:szCs w:val="24"/>
          <w:lang w:val="es-PR" w:eastAsia="es-PR"/>
        </w:rPr>
        <w:t xml:space="preserve">, de la </w:t>
      </w:r>
      <w:r w:rsidRPr="00C03F1E">
        <w:rPr>
          <w:rFonts w:ascii="Book Antiqua" w:eastAsia="Times New Roman" w:hAnsi="Book Antiqua" w:cs="Arial"/>
          <w:b/>
          <w:bCs/>
          <w:szCs w:val="24"/>
          <w:lang w:val="es-PR" w:eastAsia="es-PR"/>
        </w:rPr>
        <w:lastRenderedPageBreak/>
        <w:t>Administración de Rehabilitación Vocacional (ARV)</w:t>
      </w:r>
      <w:r>
        <w:rPr>
          <w:rStyle w:val="FootnoteReference"/>
          <w:rFonts w:ascii="Book Antiqua" w:eastAsia="Times New Roman" w:hAnsi="Book Antiqua" w:cs="Arial"/>
          <w:b/>
          <w:bCs/>
          <w:szCs w:val="24"/>
          <w:lang w:val="es-PR" w:eastAsia="es-PR"/>
        </w:rPr>
        <w:footnoteReference w:id="2"/>
      </w:r>
      <w:r w:rsidRPr="00C03F1E">
        <w:rPr>
          <w:rFonts w:ascii="Book Antiqua" w:eastAsia="Times New Roman" w:hAnsi="Book Antiqua" w:cs="Arial"/>
          <w:szCs w:val="24"/>
          <w:lang w:val="es-PR" w:eastAsia="es-PR"/>
        </w:rPr>
        <w:t xml:space="preserve"> y de la </w:t>
      </w:r>
      <w:r w:rsidRPr="00C03F1E">
        <w:rPr>
          <w:rFonts w:ascii="Book Antiqua" w:eastAsia="Times New Roman" w:hAnsi="Book Antiqua" w:cs="Arial"/>
          <w:b/>
          <w:bCs/>
          <w:szCs w:val="24"/>
          <w:lang w:val="es-PR" w:eastAsia="es-PR"/>
        </w:rPr>
        <w:t xml:space="preserve">Oficina de Presupuesto de la Asamblea </w:t>
      </w:r>
      <w:r w:rsidR="00501484" w:rsidRPr="00C03F1E">
        <w:rPr>
          <w:rFonts w:ascii="Book Antiqua" w:eastAsia="Times New Roman" w:hAnsi="Book Antiqua" w:cs="Arial"/>
          <w:b/>
          <w:bCs/>
          <w:szCs w:val="24"/>
          <w:lang w:val="es-PR" w:eastAsia="es-PR"/>
        </w:rPr>
        <w:t>Legislativa</w:t>
      </w:r>
      <w:r w:rsidR="00501484">
        <w:rPr>
          <w:rFonts w:ascii="Book Antiqua" w:eastAsia="Times New Roman" w:hAnsi="Book Antiqua" w:cs="Arial"/>
          <w:b/>
          <w:bCs/>
          <w:szCs w:val="24"/>
          <w:lang w:val="es-PR" w:eastAsia="es-PR"/>
        </w:rPr>
        <w:t xml:space="preserve"> (</w:t>
      </w:r>
      <w:r>
        <w:rPr>
          <w:rFonts w:ascii="Book Antiqua" w:eastAsia="Times New Roman" w:hAnsi="Book Antiqua" w:cs="Arial"/>
          <w:b/>
          <w:bCs/>
          <w:szCs w:val="24"/>
          <w:lang w:val="es-PR" w:eastAsia="es-PR"/>
        </w:rPr>
        <w:t>OPAL)</w:t>
      </w:r>
      <w:r>
        <w:rPr>
          <w:rStyle w:val="FootnoteReference"/>
          <w:rFonts w:ascii="Book Antiqua" w:eastAsia="Times New Roman" w:hAnsi="Book Antiqua" w:cs="Arial"/>
          <w:b/>
          <w:bCs/>
          <w:szCs w:val="24"/>
          <w:lang w:val="es-PR" w:eastAsia="es-PR"/>
        </w:rPr>
        <w:footnoteReference w:id="3"/>
      </w:r>
      <w:r w:rsidRPr="00C03F1E">
        <w:rPr>
          <w:rFonts w:ascii="Book Antiqua" w:eastAsia="Times New Roman" w:hAnsi="Book Antiqua" w:cs="Arial"/>
          <w:szCs w:val="24"/>
          <w:lang w:val="es-PR" w:eastAsia="es-PR"/>
        </w:rPr>
        <w:t xml:space="preserve">, </w:t>
      </w:r>
      <w:r w:rsidR="00501484">
        <w:rPr>
          <w:rFonts w:ascii="Book Antiqua" w:eastAsia="Times New Roman" w:hAnsi="Book Antiqua" w:cs="Arial"/>
          <w:szCs w:val="24"/>
          <w:lang w:val="es-PR" w:eastAsia="es-PR"/>
        </w:rPr>
        <w:t xml:space="preserve">y al </w:t>
      </w:r>
      <w:r w:rsidR="00501484" w:rsidRPr="00501484">
        <w:rPr>
          <w:rFonts w:ascii="Book Antiqua" w:eastAsia="Times New Roman" w:hAnsi="Book Antiqua" w:cs="Arial"/>
          <w:b/>
          <w:bCs/>
          <w:szCs w:val="24"/>
          <w:lang w:val="es-PR" w:eastAsia="es-PR"/>
        </w:rPr>
        <w:t>Departamento de Haciendo (DH)</w:t>
      </w:r>
      <w:r w:rsidR="00501484" w:rsidRPr="00501484">
        <w:rPr>
          <w:rStyle w:val="FootnoteReference"/>
          <w:rFonts w:ascii="Book Antiqua" w:eastAsia="Times New Roman" w:hAnsi="Book Antiqua" w:cs="Arial"/>
          <w:b/>
          <w:bCs/>
          <w:szCs w:val="24"/>
          <w:lang w:val="es-PR" w:eastAsia="es-PR"/>
        </w:rPr>
        <w:footnoteReference w:id="4"/>
      </w:r>
      <w:r w:rsidR="00501484">
        <w:rPr>
          <w:rFonts w:ascii="Book Antiqua" w:eastAsia="Times New Roman" w:hAnsi="Book Antiqua" w:cs="Arial"/>
          <w:b/>
          <w:bCs/>
          <w:szCs w:val="24"/>
          <w:lang w:val="es-PR" w:eastAsia="es-PR"/>
        </w:rPr>
        <w:t>.</w:t>
      </w:r>
    </w:p>
    <w:p w14:paraId="01C13DE9" w14:textId="77777777" w:rsidR="00501484" w:rsidRDefault="00501484" w:rsidP="00501484">
      <w:pPr>
        <w:pStyle w:val="ColorfulList-Accent11"/>
        <w:ind w:left="0"/>
        <w:jc w:val="both"/>
        <w:rPr>
          <w:rFonts w:ascii="Book Antiqua" w:eastAsia="Times New Roman" w:hAnsi="Book Antiqua" w:cs="Arial"/>
          <w:szCs w:val="24"/>
          <w:lang w:val="es-PR" w:eastAsia="es-PR"/>
        </w:rPr>
      </w:pPr>
    </w:p>
    <w:p w14:paraId="5387FE09" w14:textId="77777777" w:rsidR="00501484" w:rsidRPr="00501484" w:rsidRDefault="00501484" w:rsidP="00501484">
      <w:pPr>
        <w:pStyle w:val="ColorfulList-Accent11"/>
        <w:ind w:left="0"/>
        <w:jc w:val="center"/>
        <w:rPr>
          <w:rFonts w:ascii="Book Antiqua" w:eastAsia="Times New Roman" w:hAnsi="Book Antiqua" w:cs="Arial"/>
          <w:b/>
          <w:bCs/>
          <w:szCs w:val="24"/>
          <w:u w:val="single"/>
          <w:lang w:val="es-PR" w:eastAsia="es-PR"/>
        </w:rPr>
      </w:pPr>
      <w:r w:rsidRPr="00501484">
        <w:rPr>
          <w:rFonts w:ascii="Book Antiqua" w:eastAsia="Times New Roman" w:hAnsi="Book Antiqua" w:cs="Arial"/>
          <w:b/>
          <w:bCs/>
          <w:szCs w:val="24"/>
          <w:u w:val="single"/>
          <w:lang w:val="es-PR" w:eastAsia="es-PR"/>
        </w:rPr>
        <w:t>Departamento del Trabajo y Recursos Humanos (DTRH)</w:t>
      </w:r>
    </w:p>
    <w:p w14:paraId="23298DDE" w14:textId="5EC9B66A" w:rsidR="00501484" w:rsidRDefault="00501484" w:rsidP="00501484">
      <w:pPr>
        <w:pStyle w:val="ColorfulList-Accent11"/>
        <w:jc w:val="center"/>
        <w:rPr>
          <w:rFonts w:ascii="Book Antiqua" w:eastAsia="Times New Roman" w:hAnsi="Book Antiqua" w:cs="Arial"/>
          <w:szCs w:val="24"/>
          <w:lang w:val="es-PR" w:eastAsia="es-PR"/>
        </w:rPr>
      </w:pPr>
      <w:r>
        <w:rPr>
          <w:rFonts w:ascii="Book Antiqua" w:eastAsia="Times New Roman" w:hAnsi="Book Antiqua" w:cs="Arial"/>
          <w:szCs w:val="24"/>
          <w:lang w:val="es-PR" w:eastAsia="es-PR"/>
        </w:rPr>
        <w:t>(23 de junio de 2025)</w:t>
      </w:r>
    </w:p>
    <w:p w14:paraId="5B4FCD12" w14:textId="77777777" w:rsidR="00501484" w:rsidRPr="00501484" w:rsidRDefault="00501484" w:rsidP="00501484">
      <w:pPr>
        <w:pStyle w:val="ColorfulList-Accent11"/>
        <w:jc w:val="center"/>
        <w:rPr>
          <w:rFonts w:ascii="Book Antiqua" w:eastAsia="Times New Roman" w:hAnsi="Book Antiqua" w:cs="Arial"/>
          <w:szCs w:val="24"/>
          <w:lang w:val="es-PR" w:eastAsia="es-PR"/>
        </w:rPr>
      </w:pPr>
    </w:p>
    <w:p w14:paraId="30C0758A" w14:textId="4DD15279" w:rsidR="009372ED" w:rsidRPr="009372ED" w:rsidRDefault="00501484" w:rsidP="009372ED">
      <w:pPr>
        <w:pStyle w:val="ColorfulList-Accent11"/>
        <w:ind w:left="0" w:firstLine="720"/>
        <w:jc w:val="both"/>
        <w:rPr>
          <w:rFonts w:ascii="Book Antiqua" w:eastAsia="Times New Roman" w:hAnsi="Book Antiqua" w:cs="Arial"/>
          <w:szCs w:val="24"/>
          <w:lang w:val="es-PR" w:eastAsia="es-PR"/>
        </w:rPr>
      </w:pPr>
      <w:r w:rsidRPr="00501484">
        <w:rPr>
          <w:rFonts w:ascii="Book Antiqua" w:eastAsia="Times New Roman" w:hAnsi="Book Antiqua" w:cs="Arial"/>
          <w:szCs w:val="24"/>
          <w:lang w:val="es-PR" w:eastAsia="es-PR"/>
        </w:rPr>
        <w:t xml:space="preserve">El </w:t>
      </w:r>
      <w:r>
        <w:rPr>
          <w:rFonts w:ascii="Book Antiqua" w:eastAsia="Times New Roman" w:hAnsi="Book Antiqua" w:cs="Arial"/>
          <w:szCs w:val="24"/>
          <w:lang w:val="es-PR" w:eastAsia="es-PR"/>
        </w:rPr>
        <w:t>DTRH</w:t>
      </w:r>
      <w:r w:rsidRPr="00501484">
        <w:rPr>
          <w:rFonts w:ascii="Book Antiqua" w:eastAsia="Times New Roman" w:hAnsi="Book Antiqua" w:cs="Arial"/>
          <w:szCs w:val="24"/>
          <w:lang w:val="es-PR" w:eastAsia="es-PR"/>
        </w:rPr>
        <w:t xml:space="preserve"> </w:t>
      </w:r>
      <w:r w:rsidR="009372ED" w:rsidRPr="009372ED">
        <w:rPr>
          <w:rFonts w:ascii="Book Antiqua" w:eastAsia="Times New Roman" w:hAnsi="Book Antiqua" w:cs="Arial"/>
          <w:szCs w:val="24"/>
          <w:lang w:val="es-PR" w:eastAsia="es-PR"/>
        </w:rPr>
        <w:t>concluye que el P. del S. 133 resulta redundante e innecesario, ya que las facultades y deberes que pretende imponer a la Agencia ya están plenamente contemplados y en ejecución bajo el marco legal vigente. La medida propone obligar al DTRH a crear herramientas de inserción laboral para personas con Trastorno del Espectro del Autismo (TEA) o Síndrome Down; no obstante, estas responsabilidades ya están asignadas por leyes especiales como la Ley Núm. 97-2018 (Carta de Derechos de personas con Síndrome de Down) y la Ley Núm. 163-2024 (Ley para la Protección e Integración de Personas con TEA). Además, a través de la Administración de Rehabilitación Vocacional (ARV) y la iniciativa "Talento Infinito", el DTRH ya provee incentivos salariales, bancos de talento y programas de capacitación que cumplen con los objetivos de esta pieza legislativa.</w:t>
      </w:r>
    </w:p>
    <w:p w14:paraId="213837C4" w14:textId="77777777" w:rsidR="009372ED" w:rsidRDefault="009372ED" w:rsidP="009372ED">
      <w:pPr>
        <w:pStyle w:val="ColorfulList-Accent11"/>
        <w:ind w:left="0" w:firstLine="720"/>
        <w:jc w:val="both"/>
        <w:rPr>
          <w:rFonts w:ascii="Book Antiqua" w:eastAsia="Times New Roman" w:hAnsi="Book Antiqua" w:cs="Arial"/>
          <w:szCs w:val="24"/>
          <w:lang w:val="es-PR" w:eastAsia="es-PR"/>
        </w:rPr>
      </w:pPr>
    </w:p>
    <w:p w14:paraId="6802AD54" w14:textId="796D93C7" w:rsidR="00501484" w:rsidRPr="00501484" w:rsidRDefault="009372ED" w:rsidP="009372ED">
      <w:pPr>
        <w:pStyle w:val="ColorfulList-Accent11"/>
        <w:ind w:left="0" w:firstLine="720"/>
        <w:jc w:val="both"/>
        <w:rPr>
          <w:rFonts w:ascii="Book Antiqua" w:eastAsia="Times New Roman" w:hAnsi="Book Antiqua" w:cs="Arial"/>
          <w:szCs w:val="24"/>
          <w:lang w:val="es-PR" w:eastAsia="es-PR"/>
        </w:rPr>
      </w:pPr>
      <w:r w:rsidRPr="009372ED">
        <w:rPr>
          <w:rFonts w:ascii="Book Antiqua" w:eastAsia="Times New Roman" w:hAnsi="Book Antiqua" w:cs="Arial"/>
          <w:szCs w:val="24"/>
          <w:lang w:val="es-PR" w:eastAsia="es-PR"/>
        </w:rPr>
        <w:t xml:space="preserve">Asimismo, la posición es negativa debido a que la enmienda propuesta sobre el cumplimiento de acomodos razonables es jurídicamente imprecisa. El proyecto sugiere que el Estado debe velar por estos acomodos únicamente durante un "periodo de adaptación", lo cual contraviene la Ley Núm. 44 de 1985 y la Ley ADA, las cuales establecen que el derecho al acomodo razonable es continuo y es una responsabilidad legal del patrono, no una facultad delegable al </w:t>
      </w:r>
      <w:proofErr w:type="gramStart"/>
      <w:r w:rsidRPr="009372ED">
        <w:rPr>
          <w:rFonts w:ascii="Book Antiqua" w:eastAsia="Times New Roman" w:hAnsi="Book Antiqua" w:cs="Arial"/>
          <w:szCs w:val="24"/>
          <w:lang w:val="es-PR" w:eastAsia="es-PR"/>
        </w:rPr>
        <w:t>Secretario</w:t>
      </w:r>
      <w:proofErr w:type="gramEnd"/>
      <w:r w:rsidRPr="009372ED">
        <w:rPr>
          <w:rFonts w:ascii="Book Antiqua" w:eastAsia="Times New Roman" w:hAnsi="Book Antiqua" w:cs="Arial"/>
          <w:szCs w:val="24"/>
          <w:lang w:val="es-PR" w:eastAsia="es-PR"/>
        </w:rPr>
        <w:t xml:space="preserve"> del Trabajo. Por último, el DTRH advierte que la medida incurre en inconsistencias de lenguaje entre su exposición de motivos y su parte dispositiva, y que cualquier beneficio contributivo debe ser evaluado por las entidades fiscales correspondientes, ya que los componentes programáticos de la ley no aportan innovación alguna a los servicios que ya recibe esta población</w:t>
      </w:r>
    </w:p>
    <w:p w14:paraId="511F2B73" w14:textId="77777777" w:rsidR="00501484" w:rsidRPr="00501484" w:rsidRDefault="00501484" w:rsidP="009372ED">
      <w:pPr>
        <w:pStyle w:val="ColorfulList-Accent11"/>
        <w:ind w:left="0"/>
        <w:jc w:val="both"/>
        <w:rPr>
          <w:rFonts w:ascii="Book Antiqua" w:eastAsia="Times New Roman" w:hAnsi="Book Antiqua" w:cs="Arial"/>
          <w:szCs w:val="24"/>
          <w:lang w:val="es-PR" w:eastAsia="es-PR"/>
        </w:rPr>
      </w:pPr>
    </w:p>
    <w:p w14:paraId="06FE5A3F" w14:textId="77777777" w:rsidR="00501484" w:rsidRPr="00CA770B" w:rsidRDefault="00501484" w:rsidP="00501484">
      <w:pPr>
        <w:pStyle w:val="ColorfulList-Accent11"/>
        <w:jc w:val="center"/>
        <w:rPr>
          <w:rFonts w:ascii="Book Antiqua" w:hAnsi="Book Antiqua"/>
          <w:b/>
          <w:szCs w:val="24"/>
          <w:u w:val="single"/>
          <w:lang w:val="es-ES"/>
        </w:rPr>
      </w:pPr>
      <w:r w:rsidRPr="00CA770B">
        <w:rPr>
          <w:rFonts w:ascii="Book Antiqua" w:hAnsi="Book Antiqua"/>
          <w:b/>
          <w:szCs w:val="24"/>
          <w:u w:val="single"/>
          <w:lang w:val="es-ES"/>
        </w:rPr>
        <w:t>Administración de Rehabilitación Vocacional (ARV)</w:t>
      </w:r>
    </w:p>
    <w:p w14:paraId="6A0D2E54" w14:textId="7451056E" w:rsidR="00CA770B" w:rsidRDefault="00CA770B" w:rsidP="00CA770B">
      <w:pPr>
        <w:pStyle w:val="ColorfulList-Accent11"/>
        <w:jc w:val="center"/>
        <w:rPr>
          <w:rFonts w:ascii="Book Antiqua" w:hAnsi="Book Antiqua"/>
          <w:bCs/>
          <w:szCs w:val="24"/>
          <w:lang w:val="es-ES"/>
        </w:rPr>
      </w:pPr>
      <w:r>
        <w:rPr>
          <w:rFonts w:ascii="Book Antiqua" w:hAnsi="Book Antiqua"/>
          <w:bCs/>
          <w:szCs w:val="24"/>
          <w:lang w:val="es-ES"/>
        </w:rPr>
        <w:t>(9 de marzo de 2026)</w:t>
      </w:r>
    </w:p>
    <w:p w14:paraId="3459B7C3" w14:textId="77777777" w:rsidR="00CA770B" w:rsidRPr="00CA770B" w:rsidRDefault="00CA770B" w:rsidP="00CA770B">
      <w:pPr>
        <w:pStyle w:val="ColorfulList-Accent11"/>
        <w:jc w:val="center"/>
        <w:rPr>
          <w:rFonts w:ascii="Book Antiqua" w:hAnsi="Book Antiqua"/>
          <w:bCs/>
          <w:szCs w:val="24"/>
          <w:lang w:val="es-ES"/>
        </w:rPr>
      </w:pPr>
    </w:p>
    <w:p w14:paraId="3AF11807" w14:textId="264A4AFB" w:rsidR="00FA1D0D" w:rsidRDefault="00FA1D0D" w:rsidP="00501484">
      <w:pPr>
        <w:pStyle w:val="ColorfulList-Accent11"/>
        <w:ind w:left="0" w:firstLine="720"/>
        <w:jc w:val="both"/>
        <w:rPr>
          <w:rFonts w:ascii="Book Antiqua" w:hAnsi="Book Antiqua"/>
          <w:bCs/>
          <w:szCs w:val="24"/>
          <w:lang w:val="es-ES"/>
        </w:rPr>
      </w:pPr>
      <w:r>
        <w:rPr>
          <w:rFonts w:ascii="Book Antiqua" w:hAnsi="Book Antiqua"/>
          <w:bCs/>
          <w:szCs w:val="24"/>
          <w:lang w:val="es-ES"/>
        </w:rPr>
        <w:t xml:space="preserve">La ARV </w:t>
      </w:r>
      <w:r w:rsidRPr="00FA1D0D">
        <w:rPr>
          <w:rFonts w:ascii="Book Antiqua" w:hAnsi="Book Antiqua"/>
          <w:bCs/>
          <w:szCs w:val="24"/>
          <w:lang w:val="es-ES"/>
        </w:rPr>
        <w:t xml:space="preserve">interpreta que, si bien el P. de la </w:t>
      </w:r>
      <w:r w:rsidR="00D7154A">
        <w:rPr>
          <w:rFonts w:ascii="Book Antiqua" w:hAnsi="Book Antiqua"/>
          <w:bCs/>
          <w:szCs w:val="24"/>
          <w:lang w:val="es-ES"/>
        </w:rPr>
        <w:t>S</w:t>
      </w:r>
      <w:r w:rsidRPr="00FA1D0D">
        <w:rPr>
          <w:rFonts w:ascii="Book Antiqua" w:hAnsi="Book Antiqua"/>
          <w:bCs/>
          <w:szCs w:val="24"/>
          <w:lang w:val="es-ES"/>
        </w:rPr>
        <w:t xml:space="preserve">. 133 persigue un fin loable, la medida resulta en gran medida redundante al intentar legislar sobre procesos que ya están robustamente establecidos por mandatos federales y estatales. En su análisis, la Agencia aclara que su modelo de servicio no se basa en el diagnóstico de una condición específica —como el Autismo o el Síndrome Down— sino en la evaluación de las limitaciones funcionales y los criterios de elegibilidad establecidos en el marco federal de la Ley WIOA </w:t>
      </w:r>
      <w:r w:rsidRPr="00FA1D0D">
        <w:rPr>
          <w:rFonts w:ascii="Book Antiqua" w:hAnsi="Book Antiqua"/>
          <w:bCs/>
          <w:szCs w:val="24"/>
          <w:lang w:val="es-ES"/>
        </w:rPr>
        <w:lastRenderedPageBreak/>
        <w:t xml:space="preserve">y el Código de Regulaciones Federales (34 CFR). Por tanto, la ARV advierte que el proyecto incurre en imprecisiones técnicas, como el uso del término obsoleto "severamente impedidos", y que la intención de crear nuevas herramientas de inserción laboral podría causar una duplicidad de funciones, ya que la Agencia actualmente ofrece servicios de transición </w:t>
      </w:r>
      <w:proofErr w:type="spellStart"/>
      <w:r w:rsidRPr="00FA1D0D">
        <w:rPr>
          <w:rFonts w:ascii="Book Antiqua" w:hAnsi="Book Antiqua"/>
          <w:bCs/>
          <w:szCs w:val="24"/>
          <w:lang w:val="es-ES"/>
        </w:rPr>
        <w:t>pre-empleo</w:t>
      </w:r>
      <w:proofErr w:type="spellEnd"/>
      <w:r w:rsidRPr="00FA1D0D">
        <w:rPr>
          <w:rFonts w:ascii="Book Antiqua" w:hAnsi="Book Antiqua"/>
          <w:bCs/>
          <w:szCs w:val="24"/>
          <w:lang w:val="es-ES"/>
        </w:rPr>
        <w:t>, programas de empleo sostenido y un banco de talentos activo. Asimismo, la ARV es enfática en que la responsabilidad legal de proveer y financiar el acomodo razonable recae sobre el patrono bajo la Ley ADA, y cuestiona la necesidad de nuevas deducciones contributivas cuando ya existe un incentivo salarial del 100% que la propia Agencia administra.</w:t>
      </w:r>
    </w:p>
    <w:p w14:paraId="2D8C448F" w14:textId="77777777" w:rsidR="00FA1D0D" w:rsidRDefault="00FA1D0D" w:rsidP="00501484">
      <w:pPr>
        <w:pStyle w:val="ColorfulList-Accent11"/>
        <w:ind w:left="0" w:firstLine="720"/>
        <w:jc w:val="both"/>
        <w:rPr>
          <w:rFonts w:ascii="Book Antiqua" w:hAnsi="Book Antiqua"/>
          <w:bCs/>
          <w:szCs w:val="24"/>
          <w:lang w:val="es-ES"/>
        </w:rPr>
      </w:pPr>
    </w:p>
    <w:p w14:paraId="2468FB70" w14:textId="4E339FF4" w:rsidR="00501484" w:rsidRDefault="00FA1D0D" w:rsidP="00501484">
      <w:pPr>
        <w:pStyle w:val="ColorfulList-Accent11"/>
        <w:ind w:left="0" w:firstLine="720"/>
        <w:jc w:val="both"/>
        <w:rPr>
          <w:rFonts w:ascii="Book Antiqua" w:hAnsi="Book Antiqua"/>
          <w:bCs/>
          <w:szCs w:val="24"/>
          <w:lang w:val="es-ES"/>
        </w:rPr>
      </w:pPr>
      <w:r w:rsidRPr="00FA1D0D">
        <w:rPr>
          <w:rFonts w:ascii="Book Antiqua" w:hAnsi="Book Antiqua"/>
          <w:bCs/>
          <w:szCs w:val="24"/>
          <w:lang w:val="es-ES"/>
        </w:rPr>
        <w:t xml:space="preserve"> En conclusión, la ARV sugiere que cualquier esfuerzo legislativo debe armonizarse con las estructuras de servicios individualizados (PIPE) ya existentes, promoviendo una visión de inclusión basada en las capacidades y el mérito constitucional, más allá de meros incentivos económicos temporales.</w:t>
      </w:r>
    </w:p>
    <w:p w14:paraId="78691A85" w14:textId="77777777" w:rsidR="00FA1D0D" w:rsidRDefault="00FA1D0D" w:rsidP="00501484">
      <w:pPr>
        <w:pStyle w:val="ColorfulList-Accent11"/>
        <w:ind w:left="0" w:firstLine="720"/>
        <w:jc w:val="both"/>
        <w:rPr>
          <w:rFonts w:ascii="Book Antiqua" w:hAnsi="Book Antiqua"/>
          <w:bCs/>
          <w:szCs w:val="24"/>
          <w:lang w:val="es-ES"/>
        </w:rPr>
      </w:pPr>
    </w:p>
    <w:p w14:paraId="3450B760" w14:textId="77777777" w:rsidR="00CA770B" w:rsidRDefault="00CA770B" w:rsidP="00CA770B">
      <w:pPr>
        <w:pStyle w:val="ColorfulList-Accent11"/>
        <w:ind w:firstLine="720"/>
        <w:jc w:val="both"/>
        <w:rPr>
          <w:rFonts w:ascii="Book Antiqua" w:hAnsi="Book Antiqua"/>
          <w:b/>
          <w:szCs w:val="24"/>
          <w:u w:val="single"/>
          <w:lang w:val="es-ES"/>
        </w:rPr>
      </w:pPr>
      <w:r w:rsidRPr="00CA770B">
        <w:rPr>
          <w:rFonts w:ascii="Book Antiqua" w:hAnsi="Book Antiqua"/>
          <w:b/>
          <w:szCs w:val="24"/>
          <w:u w:val="single"/>
          <w:lang w:val="es-ES"/>
        </w:rPr>
        <w:t>Oficina de Presupuesto de la Asamblea Legislativa (OPAL)</w:t>
      </w:r>
    </w:p>
    <w:p w14:paraId="16344E92" w14:textId="0526EC2D" w:rsidR="00CA770B" w:rsidRDefault="00CA770B" w:rsidP="00CA770B">
      <w:pPr>
        <w:pStyle w:val="ColorfulList-Accent11"/>
        <w:ind w:left="0"/>
        <w:jc w:val="center"/>
        <w:rPr>
          <w:rFonts w:ascii="Book Antiqua" w:hAnsi="Book Antiqua"/>
          <w:bCs/>
          <w:szCs w:val="24"/>
          <w:lang w:val="es-ES"/>
        </w:rPr>
      </w:pPr>
      <w:r>
        <w:rPr>
          <w:rFonts w:ascii="Book Antiqua" w:hAnsi="Book Antiqua"/>
          <w:bCs/>
          <w:szCs w:val="24"/>
          <w:lang w:val="es-ES"/>
        </w:rPr>
        <w:t>(junio 2025)</w:t>
      </w:r>
    </w:p>
    <w:p w14:paraId="2DA5E228" w14:textId="77777777" w:rsidR="00CA770B" w:rsidRPr="00CA770B" w:rsidRDefault="00CA770B" w:rsidP="00CA770B">
      <w:pPr>
        <w:pStyle w:val="ColorfulList-Accent11"/>
        <w:ind w:left="0"/>
        <w:jc w:val="center"/>
        <w:rPr>
          <w:rFonts w:ascii="Book Antiqua" w:hAnsi="Book Antiqua"/>
          <w:bCs/>
          <w:szCs w:val="24"/>
          <w:lang w:val="es-ES"/>
        </w:rPr>
      </w:pPr>
    </w:p>
    <w:p w14:paraId="155989C8" w14:textId="77C3F0DC" w:rsidR="00ED7589" w:rsidRDefault="009372ED" w:rsidP="009372ED">
      <w:pPr>
        <w:pStyle w:val="ColorfulList-Accent11"/>
        <w:ind w:left="0" w:firstLine="720"/>
        <w:jc w:val="both"/>
        <w:rPr>
          <w:rFonts w:ascii="Book Antiqua" w:hAnsi="Book Antiqua"/>
          <w:b/>
          <w:szCs w:val="24"/>
          <w:lang w:val="es-ES"/>
        </w:rPr>
      </w:pPr>
      <w:r>
        <w:rPr>
          <w:rFonts w:ascii="Book Antiqua" w:hAnsi="Book Antiqua"/>
          <w:bCs/>
          <w:szCs w:val="24"/>
          <w:lang w:val="es-ES"/>
        </w:rPr>
        <w:t xml:space="preserve">El P. del S. </w:t>
      </w:r>
      <w:r w:rsidRPr="009372ED">
        <w:rPr>
          <w:rFonts w:ascii="Book Antiqua" w:hAnsi="Book Antiqua"/>
          <w:bCs/>
          <w:szCs w:val="24"/>
          <w:lang w:val="es-ES"/>
        </w:rPr>
        <w:t>133 propone facultar al DTRH para desarrollar herramientas de inserción laboral y establecer una deducción contributiva de $2,500 para patronos de empresas privadas que empleen a personas con Trastorno del Espectro del Autismo o Síndrome Do</w:t>
      </w:r>
      <w:r>
        <w:rPr>
          <w:rFonts w:ascii="Book Antiqua" w:hAnsi="Book Antiqua"/>
          <w:bCs/>
          <w:szCs w:val="24"/>
          <w:lang w:val="es-ES"/>
        </w:rPr>
        <w:t>n</w:t>
      </w:r>
      <w:r w:rsidRPr="009372ED">
        <w:rPr>
          <w:rFonts w:ascii="Book Antiqua" w:hAnsi="Book Antiqua"/>
          <w:bCs/>
          <w:szCs w:val="24"/>
          <w:lang w:val="es-ES"/>
        </w:rPr>
        <w:t>. Sin embargo, un análisis detallado revela que la medida resulta redundante, ya que la propia</w:t>
      </w:r>
      <w:r>
        <w:rPr>
          <w:rFonts w:ascii="Book Antiqua" w:hAnsi="Book Antiqua"/>
          <w:bCs/>
          <w:szCs w:val="24"/>
          <w:lang w:val="es-ES"/>
        </w:rPr>
        <w:t xml:space="preserve"> OPAL</w:t>
      </w:r>
      <w:r w:rsidRPr="009372ED">
        <w:rPr>
          <w:rFonts w:ascii="Book Antiqua" w:hAnsi="Book Antiqua"/>
          <w:bCs/>
          <w:szCs w:val="24"/>
          <w:lang w:val="es-ES"/>
        </w:rPr>
        <w:t xml:space="preserve"> indica que las facultades y deberes propuestos no representan un impacto presupuestario adicional por ser "cónsonos con los servicios prestados" actualmente por la agencia. Además, el proyecto</w:t>
      </w:r>
      <w:r w:rsidR="00EC7840">
        <w:rPr>
          <w:rFonts w:ascii="Book Antiqua" w:hAnsi="Book Antiqua"/>
          <w:bCs/>
          <w:szCs w:val="24"/>
          <w:lang w:val="es-ES"/>
        </w:rPr>
        <w:t xml:space="preserve"> s</w:t>
      </w:r>
      <w:r w:rsidRPr="009372ED">
        <w:rPr>
          <w:rFonts w:ascii="Book Antiqua" w:hAnsi="Book Antiqua"/>
          <w:bCs/>
          <w:szCs w:val="24"/>
          <w:lang w:val="es-ES"/>
        </w:rPr>
        <w:t>e enfoca en incentivos contributivos que no garantizan la retención a largo plazo ni abordan las protecciones de acomodo razonable que ya existen bajo leyes superiores, lo que sugiere que la pieza legislativa no aporta herramientas nuevas o esenciales que no estén ya contempladas en el marco regulatorio vigente</w:t>
      </w:r>
      <w:r w:rsidR="00EC7840">
        <w:rPr>
          <w:rFonts w:ascii="Book Antiqua" w:hAnsi="Book Antiqua"/>
          <w:bCs/>
          <w:szCs w:val="24"/>
          <w:lang w:val="es-ES"/>
        </w:rPr>
        <w:t>.</w:t>
      </w:r>
    </w:p>
    <w:p w14:paraId="6BF7E21A" w14:textId="77777777" w:rsidR="009372ED" w:rsidRDefault="009372ED" w:rsidP="00717F21">
      <w:pPr>
        <w:pStyle w:val="ColorfulList-Accent11"/>
        <w:ind w:left="0"/>
        <w:jc w:val="center"/>
        <w:rPr>
          <w:rFonts w:ascii="Book Antiqua" w:hAnsi="Book Antiqua"/>
          <w:b/>
          <w:szCs w:val="24"/>
          <w:lang w:val="es-ES"/>
        </w:rPr>
      </w:pPr>
    </w:p>
    <w:p w14:paraId="60D09239" w14:textId="5F0F608D" w:rsidR="0025267F" w:rsidRDefault="0025267F" w:rsidP="00717F21">
      <w:pPr>
        <w:pStyle w:val="ColorfulList-Accent11"/>
        <w:ind w:left="0"/>
        <w:jc w:val="center"/>
        <w:rPr>
          <w:rFonts w:ascii="Book Antiqua" w:eastAsia="Times New Roman" w:hAnsi="Book Antiqua"/>
          <w:b/>
          <w:szCs w:val="24"/>
          <w:lang w:val="es-PR" w:eastAsia="es-PR"/>
        </w:rPr>
      </w:pPr>
      <w:r w:rsidRPr="00A613D9">
        <w:rPr>
          <w:rFonts w:ascii="Book Antiqua" w:hAnsi="Book Antiqua"/>
          <w:b/>
          <w:szCs w:val="24"/>
          <w:lang w:val="es-ES"/>
        </w:rPr>
        <w:t>I</w:t>
      </w:r>
      <w:r w:rsidRPr="00A613D9">
        <w:rPr>
          <w:rFonts w:ascii="Book Antiqua" w:eastAsia="Times New Roman" w:hAnsi="Book Antiqua"/>
          <w:b/>
          <w:szCs w:val="24"/>
          <w:lang w:val="es-PR" w:eastAsia="es-PR"/>
        </w:rPr>
        <w:t>MPACTO FISCAL</w:t>
      </w:r>
    </w:p>
    <w:p w14:paraId="13D24F50" w14:textId="77777777" w:rsidR="00CA770B" w:rsidRPr="00A613D9" w:rsidRDefault="00CA770B" w:rsidP="00717F21">
      <w:pPr>
        <w:pStyle w:val="ColorfulList-Accent11"/>
        <w:ind w:left="0"/>
        <w:jc w:val="center"/>
        <w:rPr>
          <w:rFonts w:ascii="Book Antiqua" w:hAnsi="Book Antiqua"/>
          <w:b/>
          <w:szCs w:val="24"/>
          <w:lang w:val="es-ES"/>
        </w:rPr>
      </w:pPr>
    </w:p>
    <w:p w14:paraId="62C375C5" w14:textId="4CB87901" w:rsidR="00CA770B" w:rsidRDefault="00CA770B" w:rsidP="00C11477">
      <w:pPr>
        <w:spacing w:after="120"/>
        <w:ind w:firstLine="708"/>
        <w:jc w:val="both"/>
        <w:rPr>
          <w:rFonts w:ascii="Book Antiqua" w:hAnsi="Book Antiqua"/>
          <w:szCs w:val="24"/>
          <w:lang w:val="es-PR" w:eastAsia="es-PR"/>
        </w:rPr>
      </w:pPr>
      <w:r w:rsidRPr="00CA770B">
        <w:rPr>
          <w:rFonts w:ascii="Book Antiqua" w:hAnsi="Book Antiqua"/>
          <w:szCs w:val="24"/>
          <w:lang w:val="es-PR" w:eastAsia="es-PR"/>
        </w:rPr>
        <w:t>La OPAL presentó un informe técnico en el cual evaluó el posible impacto fiscal de la deducción contributiva propuesta en el P. del S. 133.</w:t>
      </w:r>
      <w:r>
        <w:rPr>
          <w:rStyle w:val="FootnoteReference"/>
          <w:rFonts w:ascii="Book Antiqua" w:hAnsi="Book Antiqua"/>
          <w:szCs w:val="24"/>
          <w:lang w:val="es-PR" w:eastAsia="es-PR"/>
        </w:rPr>
        <w:footnoteReference w:id="5"/>
      </w:r>
      <w:r w:rsidR="00E23267" w:rsidRPr="00E23267">
        <w:rPr>
          <w:lang w:val="es-PR"/>
        </w:rPr>
        <w:t xml:space="preserve"> </w:t>
      </w:r>
      <w:r w:rsidR="00E23267" w:rsidRPr="00E23267">
        <w:rPr>
          <w:rFonts w:ascii="Book Antiqua" w:hAnsi="Book Antiqua"/>
          <w:szCs w:val="24"/>
          <w:lang w:val="es-PR" w:eastAsia="es-PR"/>
        </w:rPr>
        <w:t xml:space="preserve">OPAL estimó el efecto fiscal </w:t>
      </w:r>
      <w:r w:rsidR="00E23267">
        <w:rPr>
          <w:rFonts w:ascii="Book Antiqua" w:hAnsi="Book Antiqua"/>
          <w:szCs w:val="24"/>
          <w:lang w:val="es-PR" w:eastAsia="es-PR"/>
        </w:rPr>
        <w:t xml:space="preserve">neto de </w:t>
      </w:r>
      <w:r w:rsidR="00E23267" w:rsidRPr="00E23267">
        <w:rPr>
          <w:rFonts w:ascii="Book Antiqua" w:hAnsi="Book Antiqua"/>
          <w:szCs w:val="24"/>
          <w:lang w:val="es-PR" w:eastAsia="es-PR"/>
        </w:rPr>
        <w:t>aprobarse la medida se estima en $11.7 millones por concepto de un incremento en los recaudos del Fondo General para el año fiscal 2026. Se proyecta ascienda a $12.9 millones para el año fiscal 2030. Es importante mencionar que lo anterior es en función de la cantidad de personas empleadas, por lo cual el estimado pudiera variar. En torno al Departamento del Trabajo y Recursos Humanos, las facultades y deberes no deben representar impacto presupuestario.</w:t>
      </w:r>
    </w:p>
    <w:p w14:paraId="0D3D37AC" w14:textId="73FB0663" w:rsidR="0025267F" w:rsidRPr="0025267F" w:rsidRDefault="0025267F" w:rsidP="00717F21">
      <w:pPr>
        <w:spacing w:after="120"/>
        <w:jc w:val="center"/>
        <w:rPr>
          <w:rFonts w:ascii="Book Antiqua" w:hAnsi="Book Antiqua"/>
          <w:b/>
          <w:bCs/>
          <w:szCs w:val="24"/>
          <w:lang w:val="es-PR" w:eastAsia="es-PR"/>
        </w:rPr>
      </w:pPr>
      <w:r w:rsidRPr="0025267F">
        <w:rPr>
          <w:rFonts w:ascii="Book Antiqua" w:hAnsi="Book Antiqua"/>
          <w:b/>
          <w:bCs/>
          <w:szCs w:val="24"/>
          <w:lang w:val="es-PR" w:eastAsia="es-PR"/>
        </w:rPr>
        <w:lastRenderedPageBreak/>
        <w:t>CONCLUSIÓN</w:t>
      </w:r>
    </w:p>
    <w:p w14:paraId="4A9D5485" w14:textId="77777777" w:rsidR="00E23267" w:rsidRDefault="00E23267" w:rsidP="009372ED">
      <w:pPr>
        <w:ind w:firstLine="720"/>
        <w:jc w:val="both"/>
        <w:rPr>
          <w:rFonts w:ascii="Book Antiqua" w:hAnsi="Book Antiqua"/>
          <w:szCs w:val="24"/>
          <w:lang w:val="es-PR" w:eastAsia="es-PR"/>
        </w:rPr>
      </w:pPr>
      <w:r w:rsidRPr="00E23267">
        <w:rPr>
          <w:rFonts w:ascii="Book Antiqua" w:hAnsi="Book Antiqua"/>
          <w:szCs w:val="24"/>
          <w:lang w:val="es-PR" w:eastAsia="es-PR"/>
        </w:rPr>
        <w:t>La Comisión concluye que el P. del S. 133 carece de necesidad jurídica y operativa, resultando en una medida altamente redundante dentro del ordenamiento legal vigente. Tanto el DTRH como la ARV han certificado que las facultades, deberes y servicios que el proyecto pretende instaurar —específicamente la creación de herramientas de inserción laboral y programas de adiestramiento para personas con Trastorno del Espectro del Autismo y Síndrome Down— ya se encuentran plenamente mandatados por la Ley Pública Federal 113-128 (WIOA), la Ley de Rehabilitación de 1973 y leyes estatales recientes como la Ley 163-2024 y la Ley 97-2018.</w:t>
      </w:r>
    </w:p>
    <w:p w14:paraId="3DC03A7C" w14:textId="77777777" w:rsidR="00E23267" w:rsidRDefault="00E23267" w:rsidP="009372ED">
      <w:pPr>
        <w:ind w:firstLine="720"/>
        <w:jc w:val="both"/>
        <w:rPr>
          <w:rFonts w:ascii="Book Antiqua" w:hAnsi="Book Antiqua"/>
          <w:szCs w:val="24"/>
          <w:lang w:val="es-PR" w:eastAsia="es-PR"/>
        </w:rPr>
      </w:pPr>
    </w:p>
    <w:p w14:paraId="4E3CE429" w14:textId="73EBF185" w:rsidR="00E23267" w:rsidRDefault="00A94CBC" w:rsidP="009372ED">
      <w:pPr>
        <w:ind w:firstLine="720"/>
        <w:jc w:val="both"/>
        <w:rPr>
          <w:rFonts w:ascii="Book Antiqua" w:hAnsi="Book Antiqua"/>
          <w:szCs w:val="24"/>
          <w:lang w:val="es-PR" w:eastAsia="es-PR"/>
        </w:rPr>
      </w:pPr>
      <w:r w:rsidRPr="00A94CBC">
        <w:rPr>
          <w:rFonts w:ascii="Book Antiqua" w:hAnsi="Book Antiqua"/>
          <w:szCs w:val="24"/>
          <w:lang w:val="es-PR" w:eastAsia="es-PR"/>
        </w:rPr>
        <w:t>Sobre el impacto económico, el informe técnico de la OPAL estimó que el efecto fiscal neto de la deducción contributiva propuesta representaría un incremento en los recaudos del Fondo General de $11.7 millones para el año fiscal 2026, proyectándose en $12.9 millones para el 2030. Sin embargo, es imperativo señalar que el DH no presentó un memorial explicativo para validar la viabilidad, el manejo o la implementación de dicho incentivo desde la perspectiva de la política contributiva del Ejecutivo. Además, el DTRH ha reafirmado que las facultades delegadas no requieren impacto presupuestario adicional por ser funciones que ya ejecutan, lo que confirma que el proyecto propone una estructura administrativa duplicada.</w:t>
      </w:r>
    </w:p>
    <w:p w14:paraId="4DD5B3DF" w14:textId="77777777" w:rsidR="00A94CBC" w:rsidRDefault="00A94CBC" w:rsidP="009372ED">
      <w:pPr>
        <w:ind w:firstLine="720"/>
        <w:jc w:val="both"/>
        <w:rPr>
          <w:rFonts w:ascii="Book Antiqua" w:hAnsi="Book Antiqua"/>
          <w:szCs w:val="24"/>
          <w:lang w:val="es-PR" w:eastAsia="es-PR"/>
        </w:rPr>
      </w:pPr>
    </w:p>
    <w:p w14:paraId="05ADE7E4" w14:textId="12908B4E" w:rsidR="00CA770B" w:rsidRPr="006C7654" w:rsidRDefault="00E23267" w:rsidP="009372ED">
      <w:pPr>
        <w:ind w:firstLine="720"/>
        <w:jc w:val="both"/>
        <w:rPr>
          <w:rFonts w:ascii="Book Antiqua" w:hAnsi="Book Antiqua"/>
          <w:szCs w:val="24"/>
          <w:lang w:val="es-PR" w:eastAsia="es-PR"/>
        </w:rPr>
      </w:pPr>
      <w:r w:rsidRPr="00E23267">
        <w:rPr>
          <w:rFonts w:ascii="Book Antiqua" w:hAnsi="Book Antiqua"/>
          <w:szCs w:val="24"/>
          <w:lang w:val="es-PR" w:eastAsia="es-PR"/>
        </w:rPr>
        <w:t>Más aún, la pieza legislativa presenta imprecisiones técnicas y jurídicas críticas que podrían debilitar las protecciones actuales de esta población. Al sugerir que la supervisión de los acomodos razonables se limite a un "periodo de adaptación", la medida contraviene la Ley ADA y la Ley Núm. 44 de 1985, las cuales establecen que el derecho al acomodo es continuo y de estricto cumplimiento para el patrono. Asimismo, el uso de terminología obsoleta como "severamente impedidos" choca con los estándares federales de rehabilitación vigentes. Reafirmamos que la inclusión laboral debe regirse por los marcos legales de no discrimen y servicios individualizados ya establecidos, por lo que el beneficio fiscal proyectado no justifica la aprobación de una norma jurídica defectuosa.</w:t>
      </w:r>
    </w:p>
    <w:p w14:paraId="14E541A6" w14:textId="77777777" w:rsidR="00CA770B" w:rsidRPr="00CA770B" w:rsidRDefault="00CA770B" w:rsidP="00CA770B">
      <w:pPr>
        <w:ind w:firstLine="720"/>
        <w:jc w:val="both"/>
        <w:rPr>
          <w:rFonts w:ascii="Book Antiqua" w:hAnsi="Book Antiqua"/>
          <w:bCs/>
          <w:szCs w:val="24"/>
          <w:lang w:val="es-ES"/>
        </w:rPr>
      </w:pPr>
    </w:p>
    <w:p w14:paraId="45308EBE" w14:textId="01162203" w:rsidR="00931EA0" w:rsidRPr="003052D8" w:rsidRDefault="00931EA0" w:rsidP="00CA770B">
      <w:pPr>
        <w:ind w:firstLine="720"/>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la Comisión</w:t>
      </w:r>
      <w:r w:rsidRPr="003052D8">
        <w:rPr>
          <w:rFonts w:ascii="Book Antiqua" w:hAnsi="Book Antiqua"/>
          <w:spacing w:val="-3"/>
          <w:szCs w:val="24"/>
          <w:lang w:val="es-ES"/>
        </w:rPr>
        <w:t xml:space="preserve"> </w:t>
      </w:r>
      <w:r>
        <w:rPr>
          <w:rFonts w:ascii="Book Antiqua" w:hAnsi="Book Antiqua"/>
          <w:spacing w:val="-3"/>
          <w:szCs w:val="24"/>
          <w:lang w:val="es-ES"/>
        </w:rPr>
        <w:t>del Trabajo y Asuntos Laborales</w:t>
      </w:r>
      <w:r w:rsidRPr="003052D8">
        <w:rPr>
          <w:rFonts w:ascii="Book Antiqua" w:hAnsi="Book Antiqua"/>
          <w:spacing w:val="-3"/>
          <w:szCs w:val="24"/>
          <w:lang w:val="es-ES"/>
        </w:rPr>
        <w:t xml:space="preserve"> de</w:t>
      </w:r>
      <w:r>
        <w:rPr>
          <w:rFonts w:ascii="Book Antiqua" w:hAnsi="Book Antiqua"/>
          <w:spacing w:val="-3"/>
          <w:szCs w:val="24"/>
          <w:lang w:val="es-ES"/>
        </w:rPr>
        <w:t xml:space="preserve"> la Cámara de</w:t>
      </w:r>
      <w:r w:rsidRPr="003052D8">
        <w:rPr>
          <w:rFonts w:ascii="Book Antiqua" w:hAnsi="Book Antiqua"/>
          <w:spacing w:val="-3"/>
          <w:szCs w:val="24"/>
          <w:lang w:val="es-ES"/>
        </w:rPr>
        <w:t xml:space="preserve"> Representantes </w:t>
      </w:r>
      <w:r w:rsidRPr="003052D8">
        <w:rPr>
          <w:rFonts w:ascii="Book Antiqua" w:hAnsi="Book Antiqua"/>
          <w:szCs w:val="24"/>
          <w:lang w:val="es-ES"/>
        </w:rPr>
        <w:t xml:space="preserve">de Puerto Rico, previo estudio y consideración, presenta ante este Cuerpo el </w:t>
      </w:r>
      <w:r w:rsidR="00005681">
        <w:rPr>
          <w:rFonts w:ascii="Book Antiqua" w:hAnsi="Book Antiqua"/>
          <w:szCs w:val="24"/>
          <w:lang w:val="es-ES"/>
        </w:rPr>
        <w:t>Informe</w:t>
      </w:r>
      <w:r w:rsidR="00EC7840">
        <w:rPr>
          <w:rFonts w:ascii="Book Antiqua" w:hAnsi="Book Antiqua"/>
          <w:szCs w:val="24"/>
          <w:lang w:val="es-ES"/>
        </w:rPr>
        <w:t xml:space="preserve"> Negativo</w:t>
      </w:r>
      <w:r w:rsidRPr="003052D8">
        <w:rPr>
          <w:rFonts w:ascii="Book Antiqua" w:hAnsi="Book Antiqua"/>
          <w:szCs w:val="24"/>
          <w:lang w:val="es-ES"/>
        </w:rPr>
        <w:t xml:space="preserve"> sobre el </w:t>
      </w:r>
      <w:r w:rsidRPr="003052D8">
        <w:rPr>
          <w:rFonts w:ascii="Book Antiqua" w:hAnsi="Book Antiqua"/>
          <w:b/>
          <w:szCs w:val="24"/>
          <w:lang w:val="es-ES"/>
        </w:rPr>
        <w:t>Proyecto de</w:t>
      </w:r>
      <w:r w:rsidR="00ED7589">
        <w:rPr>
          <w:rFonts w:ascii="Book Antiqua" w:hAnsi="Book Antiqua"/>
          <w:b/>
          <w:szCs w:val="24"/>
          <w:lang w:val="es-ES"/>
        </w:rPr>
        <w:t xml:space="preserve">l Senado </w:t>
      </w:r>
      <w:r w:rsidR="00CA770B">
        <w:rPr>
          <w:rFonts w:ascii="Book Antiqua" w:hAnsi="Book Antiqua"/>
          <w:b/>
          <w:szCs w:val="24"/>
          <w:lang w:val="es-ES"/>
        </w:rPr>
        <w:t>133</w:t>
      </w:r>
      <w:r w:rsidRPr="003052D8">
        <w:rPr>
          <w:rFonts w:ascii="Book Antiqua" w:hAnsi="Book Antiqua"/>
          <w:szCs w:val="24"/>
          <w:lang w:val="es-ES"/>
        </w:rPr>
        <w:t xml:space="preserve">, recomendando que el proyecto no sea aprobado. </w:t>
      </w:r>
    </w:p>
    <w:p w14:paraId="629E6DC5" w14:textId="6A9E52A3" w:rsidR="00ED30AA" w:rsidRPr="009C3FBC" w:rsidRDefault="00ED30AA" w:rsidP="00ED30AA">
      <w:pPr>
        <w:jc w:val="both"/>
        <w:rPr>
          <w:rFonts w:ascii="Book Antiqua" w:hAnsi="Book Antiqua"/>
          <w:szCs w:val="24"/>
          <w:lang w:val="es-ES"/>
        </w:rPr>
      </w:pPr>
    </w:p>
    <w:p w14:paraId="72E607D6" w14:textId="7F6406B1" w:rsidR="00ED30AA"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B5714E1" w14:textId="2E261BED" w:rsidR="0025267F" w:rsidRPr="009C3FBC" w:rsidRDefault="0025267F" w:rsidP="00ED30AA">
      <w:pPr>
        <w:jc w:val="both"/>
        <w:rPr>
          <w:rFonts w:ascii="Book Antiqua" w:hAnsi="Book Antiqua"/>
          <w:szCs w:val="24"/>
          <w:lang w:val="es-ES"/>
        </w:rPr>
      </w:pPr>
    </w:p>
    <w:p w14:paraId="3086D103" w14:textId="77777777" w:rsidR="005D7640" w:rsidRDefault="005D7640" w:rsidP="00ED30AA">
      <w:pPr>
        <w:jc w:val="both"/>
        <w:rPr>
          <w:rFonts w:ascii="Book Antiqua" w:hAnsi="Book Antiqua"/>
          <w:b/>
          <w:bCs/>
          <w:i/>
          <w:iCs/>
          <w:szCs w:val="24"/>
          <w:lang w:val="es-ES"/>
        </w:rPr>
        <w:sectPr w:rsidR="005D7640" w:rsidSect="005718E8">
          <w:headerReference w:type="default" r:id="rId13"/>
          <w:footerReference w:type="default" r:id="rId14"/>
          <w:pgSz w:w="12240" w:h="15840" w:code="1"/>
          <w:pgMar w:top="1440" w:right="1440" w:bottom="1440" w:left="1440" w:header="720" w:footer="720" w:gutter="0"/>
          <w:cols w:space="720"/>
          <w:titlePg/>
          <w:docGrid w:linePitch="326"/>
        </w:sectPr>
      </w:pPr>
    </w:p>
    <w:p w14:paraId="66CAB1A5" w14:textId="77777777" w:rsidR="00ED7589" w:rsidRDefault="00ED7589" w:rsidP="00ED30AA">
      <w:pPr>
        <w:jc w:val="both"/>
        <w:rPr>
          <w:rFonts w:ascii="Book Antiqua" w:hAnsi="Book Antiqua"/>
          <w:b/>
          <w:bCs/>
          <w:i/>
          <w:iCs/>
          <w:szCs w:val="24"/>
          <w:lang w:val="es-ES"/>
        </w:rPr>
      </w:pPr>
    </w:p>
    <w:p w14:paraId="4B762190" w14:textId="270786CA"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3F350E8E" w14:textId="77777777" w:rsidR="005D7640" w:rsidRDefault="00ED30AA" w:rsidP="004B7C0B">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59D85F44" w14:textId="1FA9FA54" w:rsidR="005D7640"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sectPr w:rsidR="005D7640" w:rsidRPr="009C3FBC" w:rsidSect="005D7640">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5D747" w14:textId="77777777" w:rsidR="00E52B46" w:rsidRDefault="00E52B46">
      <w:r>
        <w:separator/>
      </w:r>
    </w:p>
  </w:endnote>
  <w:endnote w:type="continuationSeparator" w:id="0">
    <w:p w14:paraId="1D1492F7" w14:textId="77777777" w:rsidR="00E52B46" w:rsidRDefault="00E52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C3EFD" w14:textId="77777777" w:rsidR="00E52B46" w:rsidRDefault="00E52B46">
      <w:r>
        <w:separator/>
      </w:r>
    </w:p>
  </w:footnote>
  <w:footnote w:type="continuationSeparator" w:id="0">
    <w:p w14:paraId="3A873FA8" w14:textId="77777777" w:rsidR="00E52B46" w:rsidRDefault="00E52B46">
      <w:r>
        <w:continuationSeparator/>
      </w:r>
    </w:p>
  </w:footnote>
  <w:footnote w:id="1">
    <w:p w14:paraId="340F1874" w14:textId="4AF3C73E" w:rsidR="00C03F1E" w:rsidRPr="00C03F1E" w:rsidRDefault="00C03F1E">
      <w:pPr>
        <w:pStyle w:val="FootnoteText"/>
        <w:rPr>
          <w:lang w:val="es-PR"/>
        </w:rPr>
      </w:pPr>
      <w:r>
        <w:rPr>
          <w:rStyle w:val="FootnoteReference"/>
        </w:rPr>
        <w:footnoteRef/>
      </w:r>
      <w:r w:rsidRPr="00C03F1E">
        <w:rPr>
          <w:lang w:val="es-PR"/>
        </w:rPr>
        <w:t xml:space="preserve"> El memorial fue recibido el 2</w:t>
      </w:r>
      <w:r>
        <w:rPr>
          <w:lang w:val="es-PR"/>
        </w:rPr>
        <w:t>3 de junio de 2025.</w:t>
      </w:r>
    </w:p>
  </w:footnote>
  <w:footnote w:id="2">
    <w:p w14:paraId="05BC4C63" w14:textId="1D37418A" w:rsidR="00C03F1E" w:rsidRPr="00C03F1E" w:rsidRDefault="00C03F1E">
      <w:pPr>
        <w:pStyle w:val="FootnoteText"/>
        <w:rPr>
          <w:lang w:val="es-PR"/>
        </w:rPr>
      </w:pPr>
      <w:r>
        <w:rPr>
          <w:rStyle w:val="FootnoteReference"/>
        </w:rPr>
        <w:footnoteRef/>
      </w:r>
      <w:r w:rsidRPr="00C03F1E">
        <w:rPr>
          <w:lang w:val="es-PR"/>
        </w:rPr>
        <w:t xml:space="preserve"> El memorial fue recibido el 9</w:t>
      </w:r>
      <w:r>
        <w:rPr>
          <w:lang w:val="es-PR"/>
        </w:rPr>
        <w:t xml:space="preserve"> de marzo de 2026.</w:t>
      </w:r>
    </w:p>
  </w:footnote>
  <w:footnote w:id="3">
    <w:p w14:paraId="24DB7A6A" w14:textId="6C3CE817" w:rsidR="00C03F1E" w:rsidRPr="00501484" w:rsidRDefault="00C03F1E">
      <w:pPr>
        <w:pStyle w:val="FootnoteText"/>
        <w:rPr>
          <w:lang w:val="es-PR"/>
        </w:rPr>
      </w:pPr>
      <w:r>
        <w:rPr>
          <w:rStyle w:val="FootnoteReference"/>
        </w:rPr>
        <w:footnoteRef/>
      </w:r>
      <w:r w:rsidRPr="00501484">
        <w:rPr>
          <w:lang w:val="es-PR"/>
        </w:rPr>
        <w:t xml:space="preserve"> </w:t>
      </w:r>
      <w:r w:rsidR="00E23267" w:rsidRPr="00E23267">
        <w:rPr>
          <w:lang w:val="es-PR"/>
        </w:rPr>
        <w:t>Informe 2025-238 | PS 133</w:t>
      </w:r>
      <w:r w:rsidR="00501484" w:rsidRPr="00501484">
        <w:rPr>
          <w:lang w:val="es-PR"/>
        </w:rPr>
        <w:t>recibido en junio de 2</w:t>
      </w:r>
      <w:r w:rsidR="00501484">
        <w:rPr>
          <w:lang w:val="es-PR"/>
        </w:rPr>
        <w:t>025.</w:t>
      </w:r>
      <w:r w:rsidR="00E23267" w:rsidRPr="00E23267">
        <w:rPr>
          <w:lang w:val="es-PR"/>
        </w:rPr>
        <w:t xml:space="preserve"> </w:t>
      </w:r>
      <w:hyperlink r:id="rId1" w:history="1">
        <w:r w:rsidR="00E23267" w:rsidRPr="008E53FF">
          <w:rPr>
            <w:rStyle w:val="Hyperlink"/>
            <w:lang w:val="es-PR"/>
          </w:rPr>
          <w:t>https://www.opal.pr.gov/informes/informe-2025-238-ps-133</w:t>
        </w:r>
      </w:hyperlink>
      <w:r w:rsidR="00E23267">
        <w:rPr>
          <w:lang w:val="es-PR"/>
        </w:rPr>
        <w:t xml:space="preserve"> </w:t>
      </w:r>
    </w:p>
  </w:footnote>
  <w:footnote w:id="4">
    <w:p w14:paraId="4C5D2111" w14:textId="18C04C00" w:rsidR="00501484" w:rsidRPr="00501484" w:rsidRDefault="00501484">
      <w:pPr>
        <w:pStyle w:val="FootnoteText"/>
        <w:rPr>
          <w:lang w:val="es-PR"/>
        </w:rPr>
      </w:pPr>
      <w:r>
        <w:rPr>
          <w:rStyle w:val="FootnoteReference"/>
        </w:rPr>
        <w:footnoteRef/>
      </w:r>
      <w:r w:rsidRPr="00501484">
        <w:rPr>
          <w:lang w:val="es-PR"/>
        </w:rPr>
        <w:t xml:space="preserve"> El 25 de febrero de 2026 se s</w:t>
      </w:r>
      <w:r>
        <w:rPr>
          <w:lang w:val="es-PR"/>
        </w:rPr>
        <w:t>olicitó memorial</w:t>
      </w:r>
      <w:r w:rsidR="009372ED">
        <w:rPr>
          <w:lang w:val="es-PR"/>
        </w:rPr>
        <w:t xml:space="preserve"> al DH</w:t>
      </w:r>
      <w:r>
        <w:rPr>
          <w:lang w:val="es-PR"/>
        </w:rPr>
        <w:t xml:space="preserve">, al memento de presentar este informe no estaba disponible. </w:t>
      </w:r>
    </w:p>
  </w:footnote>
  <w:footnote w:id="5">
    <w:p w14:paraId="64F23AA6" w14:textId="11FCD99B" w:rsidR="00CA770B" w:rsidRPr="00CA770B" w:rsidRDefault="00CA770B">
      <w:pPr>
        <w:pStyle w:val="FootnoteText"/>
        <w:rPr>
          <w:lang w:val="es-PR"/>
        </w:rPr>
      </w:pPr>
      <w:r>
        <w:rPr>
          <w:rStyle w:val="FootnoteReference"/>
        </w:rPr>
        <w:footnoteRef/>
      </w:r>
      <w:r w:rsidRPr="00CA770B">
        <w:rPr>
          <w:lang w:val="es-PR"/>
        </w:rPr>
        <w:t xml:space="preserve"> Informe 2025-238| PS 133 </w:t>
      </w:r>
      <w:hyperlink r:id="rId2" w:history="1">
        <w:r w:rsidRPr="006C3CFE">
          <w:rPr>
            <w:rStyle w:val="Hyperlink"/>
            <w:lang w:val="es-PR"/>
          </w:rPr>
          <w:t>https://www.opal.pr.gov/informes/informe-2025-238-ps-133</w:t>
        </w:r>
      </w:hyperlink>
      <w:r>
        <w:rPr>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399CF552" w:rsidR="004E5AFE" w:rsidRDefault="00005681" w:rsidP="00A77674">
    <w:pPr>
      <w:pStyle w:val="Header"/>
      <w:pBdr>
        <w:bottom w:val="single" w:sz="12" w:space="1" w:color="auto"/>
      </w:pBdr>
      <w:rPr>
        <w:rFonts w:ascii="Book Antiqua" w:hAnsi="Book Antiqua"/>
        <w:b/>
        <w:sz w:val="20"/>
        <w:lang w:val="es-PR"/>
      </w:rPr>
    </w:pPr>
    <w:r>
      <w:rPr>
        <w:rFonts w:ascii="Book Antiqua" w:hAnsi="Book Antiqua"/>
        <w:b/>
        <w:sz w:val="20"/>
        <w:lang w:val="es-PR"/>
      </w:rPr>
      <w:t>Informe</w:t>
    </w:r>
    <w:r w:rsidR="00501484">
      <w:rPr>
        <w:rFonts w:ascii="Book Antiqua" w:hAnsi="Book Antiqua"/>
        <w:b/>
        <w:sz w:val="20"/>
        <w:lang w:val="es-PR"/>
      </w:rPr>
      <w:t xml:space="preserve"> Negativo</w:t>
    </w:r>
  </w:p>
  <w:p w14:paraId="418D21AC" w14:textId="435AA3CF"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w:t>
    </w:r>
    <w:r w:rsidR="00ED7589">
      <w:rPr>
        <w:rFonts w:ascii="Book Antiqua" w:hAnsi="Book Antiqua"/>
        <w:b/>
        <w:sz w:val="20"/>
        <w:lang w:val="es-PR"/>
      </w:rPr>
      <w:t xml:space="preserve">el S. </w:t>
    </w:r>
    <w:r w:rsidR="00501484">
      <w:rPr>
        <w:rFonts w:ascii="Book Antiqua" w:hAnsi="Book Antiqua"/>
        <w:b/>
        <w:sz w:val="20"/>
        <w:lang w:val="es-PR"/>
      </w:rPr>
      <w:t>133</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04F91"/>
    <w:multiLevelType w:val="hybridMultilevel"/>
    <w:tmpl w:val="48BCE550"/>
    <w:lvl w:ilvl="0" w:tplc="174AF5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C85DF9"/>
    <w:multiLevelType w:val="hybridMultilevel"/>
    <w:tmpl w:val="D9B0BE20"/>
    <w:lvl w:ilvl="0" w:tplc="763C3F1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6"/>
  </w:num>
  <w:num w:numId="2" w16cid:durableId="996879017">
    <w:abstractNumId w:val="17"/>
  </w:num>
  <w:num w:numId="3" w16cid:durableId="1363820785">
    <w:abstractNumId w:val="10"/>
  </w:num>
  <w:num w:numId="4" w16cid:durableId="303313110">
    <w:abstractNumId w:val="2"/>
  </w:num>
  <w:num w:numId="5" w16cid:durableId="874389364">
    <w:abstractNumId w:val="22"/>
  </w:num>
  <w:num w:numId="6" w16cid:durableId="1358460559">
    <w:abstractNumId w:val="6"/>
  </w:num>
  <w:num w:numId="7" w16cid:durableId="198127431">
    <w:abstractNumId w:val="12"/>
  </w:num>
  <w:num w:numId="8" w16cid:durableId="1751612478">
    <w:abstractNumId w:val="20"/>
  </w:num>
  <w:num w:numId="9" w16cid:durableId="392125813">
    <w:abstractNumId w:val="3"/>
  </w:num>
  <w:num w:numId="10" w16cid:durableId="688794570">
    <w:abstractNumId w:val="21"/>
  </w:num>
  <w:num w:numId="11" w16cid:durableId="591013037">
    <w:abstractNumId w:val="1"/>
  </w:num>
  <w:num w:numId="12" w16cid:durableId="40909517">
    <w:abstractNumId w:val="19"/>
  </w:num>
  <w:num w:numId="13" w16cid:durableId="138772109">
    <w:abstractNumId w:val="13"/>
  </w:num>
  <w:num w:numId="14" w16cid:durableId="2006399549">
    <w:abstractNumId w:val="23"/>
  </w:num>
  <w:num w:numId="15" w16cid:durableId="1322201008">
    <w:abstractNumId w:val="5"/>
  </w:num>
  <w:num w:numId="16" w16cid:durableId="499083648">
    <w:abstractNumId w:val="4"/>
  </w:num>
  <w:num w:numId="17" w16cid:durableId="838958967">
    <w:abstractNumId w:val="15"/>
  </w:num>
  <w:num w:numId="18" w16cid:durableId="210961959">
    <w:abstractNumId w:val="7"/>
  </w:num>
  <w:num w:numId="19" w16cid:durableId="2050110963">
    <w:abstractNumId w:val="18"/>
  </w:num>
  <w:num w:numId="20" w16cid:durableId="1232740073">
    <w:abstractNumId w:val="0"/>
  </w:num>
  <w:num w:numId="21" w16cid:durableId="993484377">
    <w:abstractNumId w:val="9"/>
  </w:num>
  <w:num w:numId="22" w16cid:durableId="440684007">
    <w:abstractNumId w:val="11"/>
  </w:num>
  <w:num w:numId="23" w16cid:durableId="274485611">
    <w:abstractNumId w:val="14"/>
  </w:num>
  <w:num w:numId="24" w16cid:durableId="19072543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5681"/>
    <w:rsid w:val="0001070C"/>
    <w:rsid w:val="0001112A"/>
    <w:rsid w:val="000127EC"/>
    <w:rsid w:val="00022A9E"/>
    <w:rsid w:val="00027A0E"/>
    <w:rsid w:val="0003731B"/>
    <w:rsid w:val="00040FE4"/>
    <w:rsid w:val="00047F89"/>
    <w:rsid w:val="00050C79"/>
    <w:rsid w:val="00055ADA"/>
    <w:rsid w:val="00060FF8"/>
    <w:rsid w:val="00063100"/>
    <w:rsid w:val="00065570"/>
    <w:rsid w:val="00066E3A"/>
    <w:rsid w:val="000746D5"/>
    <w:rsid w:val="00077A90"/>
    <w:rsid w:val="00082612"/>
    <w:rsid w:val="000867B6"/>
    <w:rsid w:val="00090545"/>
    <w:rsid w:val="000A4FAB"/>
    <w:rsid w:val="000A671F"/>
    <w:rsid w:val="000B28A3"/>
    <w:rsid w:val="000C1C3D"/>
    <w:rsid w:val="000C4470"/>
    <w:rsid w:val="000C4965"/>
    <w:rsid w:val="000D59B8"/>
    <w:rsid w:val="000E7F54"/>
    <w:rsid w:val="001036CE"/>
    <w:rsid w:val="00104C64"/>
    <w:rsid w:val="0010744E"/>
    <w:rsid w:val="0011496A"/>
    <w:rsid w:val="00116975"/>
    <w:rsid w:val="001223AA"/>
    <w:rsid w:val="001236A1"/>
    <w:rsid w:val="0013323E"/>
    <w:rsid w:val="00140A28"/>
    <w:rsid w:val="00141E9A"/>
    <w:rsid w:val="00147BF2"/>
    <w:rsid w:val="00150C55"/>
    <w:rsid w:val="00157D83"/>
    <w:rsid w:val="00185E95"/>
    <w:rsid w:val="00190D17"/>
    <w:rsid w:val="001919F6"/>
    <w:rsid w:val="0019674E"/>
    <w:rsid w:val="001977A4"/>
    <w:rsid w:val="001A4C2B"/>
    <w:rsid w:val="001B0938"/>
    <w:rsid w:val="001B0FF8"/>
    <w:rsid w:val="001B4BB6"/>
    <w:rsid w:val="001C0C85"/>
    <w:rsid w:val="001C12C0"/>
    <w:rsid w:val="001D03DB"/>
    <w:rsid w:val="001D7A7B"/>
    <w:rsid w:val="001E0043"/>
    <w:rsid w:val="001E2EE8"/>
    <w:rsid w:val="001E56A7"/>
    <w:rsid w:val="001F6DD7"/>
    <w:rsid w:val="00201000"/>
    <w:rsid w:val="002057D6"/>
    <w:rsid w:val="002221AA"/>
    <w:rsid w:val="00233258"/>
    <w:rsid w:val="002375CB"/>
    <w:rsid w:val="002437B5"/>
    <w:rsid w:val="00251EAD"/>
    <w:rsid w:val="0025267F"/>
    <w:rsid w:val="002548B8"/>
    <w:rsid w:val="002618D7"/>
    <w:rsid w:val="00265F4C"/>
    <w:rsid w:val="0027727B"/>
    <w:rsid w:val="0028282F"/>
    <w:rsid w:val="00290173"/>
    <w:rsid w:val="00290180"/>
    <w:rsid w:val="00290737"/>
    <w:rsid w:val="002949EC"/>
    <w:rsid w:val="0029568E"/>
    <w:rsid w:val="0029599C"/>
    <w:rsid w:val="002A0C2B"/>
    <w:rsid w:val="002A6D67"/>
    <w:rsid w:val="002B4DBD"/>
    <w:rsid w:val="002D006E"/>
    <w:rsid w:val="002D0DC0"/>
    <w:rsid w:val="002D1053"/>
    <w:rsid w:val="002D12F9"/>
    <w:rsid w:val="002D7B0E"/>
    <w:rsid w:val="002F1E64"/>
    <w:rsid w:val="002F4C29"/>
    <w:rsid w:val="003007B4"/>
    <w:rsid w:val="0030733A"/>
    <w:rsid w:val="00325C6C"/>
    <w:rsid w:val="0033091C"/>
    <w:rsid w:val="00330C1C"/>
    <w:rsid w:val="0033517D"/>
    <w:rsid w:val="00337195"/>
    <w:rsid w:val="0033762A"/>
    <w:rsid w:val="00342195"/>
    <w:rsid w:val="0034592F"/>
    <w:rsid w:val="00346032"/>
    <w:rsid w:val="00346595"/>
    <w:rsid w:val="003648B8"/>
    <w:rsid w:val="00366580"/>
    <w:rsid w:val="00376315"/>
    <w:rsid w:val="00376DFB"/>
    <w:rsid w:val="00380AE8"/>
    <w:rsid w:val="00392175"/>
    <w:rsid w:val="00393121"/>
    <w:rsid w:val="003A4410"/>
    <w:rsid w:val="003B01A3"/>
    <w:rsid w:val="003B16BF"/>
    <w:rsid w:val="003C1E4B"/>
    <w:rsid w:val="003C279C"/>
    <w:rsid w:val="003C2D21"/>
    <w:rsid w:val="003D01D6"/>
    <w:rsid w:val="003D0913"/>
    <w:rsid w:val="003D7D0C"/>
    <w:rsid w:val="003E1D69"/>
    <w:rsid w:val="003E23DC"/>
    <w:rsid w:val="003E268A"/>
    <w:rsid w:val="003E2953"/>
    <w:rsid w:val="003E3A56"/>
    <w:rsid w:val="003E7F33"/>
    <w:rsid w:val="003F1A6D"/>
    <w:rsid w:val="003F27C7"/>
    <w:rsid w:val="003F727F"/>
    <w:rsid w:val="00402CA2"/>
    <w:rsid w:val="0040308A"/>
    <w:rsid w:val="00405A9B"/>
    <w:rsid w:val="00405BAC"/>
    <w:rsid w:val="00414C4D"/>
    <w:rsid w:val="00417AF3"/>
    <w:rsid w:val="004207FC"/>
    <w:rsid w:val="004224E5"/>
    <w:rsid w:val="00426536"/>
    <w:rsid w:val="00431C14"/>
    <w:rsid w:val="0043433B"/>
    <w:rsid w:val="00441885"/>
    <w:rsid w:val="00441FB6"/>
    <w:rsid w:val="004424B4"/>
    <w:rsid w:val="00442993"/>
    <w:rsid w:val="0044665B"/>
    <w:rsid w:val="00465534"/>
    <w:rsid w:val="00471FA3"/>
    <w:rsid w:val="004770CF"/>
    <w:rsid w:val="00477B35"/>
    <w:rsid w:val="00485200"/>
    <w:rsid w:val="0048779C"/>
    <w:rsid w:val="00491727"/>
    <w:rsid w:val="00491C0F"/>
    <w:rsid w:val="0049368E"/>
    <w:rsid w:val="004941AC"/>
    <w:rsid w:val="004A659C"/>
    <w:rsid w:val="004B2368"/>
    <w:rsid w:val="004B7C0B"/>
    <w:rsid w:val="004C1167"/>
    <w:rsid w:val="004D1649"/>
    <w:rsid w:val="004D513B"/>
    <w:rsid w:val="004E00C4"/>
    <w:rsid w:val="004E5AFE"/>
    <w:rsid w:val="004F629E"/>
    <w:rsid w:val="00500CC7"/>
    <w:rsid w:val="00501484"/>
    <w:rsid w:val="005027AD"/>
    <w:rsid w:val="00502E18"/>
    <w:rsid w:val="00503F3C"/>
    <w:rsid w:val="00504E9B"/>
    <w:rsid w:val="00506D0F"/>
    <w:rsid w:val="00516A65"/>
    <w:rsid w:val="0052399A"/>
    <w:rsid w:val="005414EF"/>
    <w:rsid w:val="00551362"/>
    <w:rsid w:val="005532A3"/>
    <w:rsid w:val="00555018"/>
    <w:rsid w:val="00561187"/>
    <w:rsid w:val="00562EFE"/>
    <w:rsid w:val="00565E86"/>
    <w:rsid w:val="005718E8"/>
    <w:rsid w:val="00572735"/>
    <w:rsid w:val="00577E77"/>
    <w:rsid w:val="00581921"/>
    <w:rsid w:val="00597E80"/>
    <w:rsid w:val="005A749E"/>
    <w:rsid w:val="005B1F1A"/>
    <w:rsid w:val="005B44FD"/>
    <w:rsid w:val="005B6660"/>
    <w:rsid w:val="005D1A6B"/>
    <w:rsid w:val="005D3D5C"/>
    <w:rsid w:val="005D7640"/>
    <w:rsid w:val="005E0522"/>
    <w:rsid w:val="005E2D25"/>
    <w:rsid w:val="005F3BF6"/>
    <w:rsid w:val="005F67C5"/>
    <w:rsid w:val="00603D56"/>
    <w:rsid w:val="006045E0"/>
    <w:rsid w:val="00604E08"/>
    <w:rsid w:val="00610112"/>
    <w:rsid w:val="00615919"/>
    <w:rsid w:val="00616270"/>
    <w:rsid w:val="00627F99"/>
    <w:rsid w:val="00627FF4"/>
    <w:rsid w:val="00634C00"/>
    <w:rsid w:val="0064060E"/>
    <w:rsid w:val="00640F83"/>
    <w:rsid w:val="006456CC"/>
    <w:rsid w:val="00646C64"/>
    <w:rsid w:val="0065169F"/>
    <w:rsid w:val="00657A3B"/>
    <w:rsid w:val="00660503"/>
    <w:rsid w:val="00660DEA"/>
    <w:rsid w:val="00670B29"/>
    <w:rsid w:val="00671884"/>
    <w:rsid w:val="00673DF5"/>
    <w:rsid w:val="00683D71"/>
    <w:rsid w:val="00686237"/>
    <w:rsid w:val="00690E19"/>
    <w:rsid w:val="0069371B"/>
    <w:rsid w:val="0069716C"/>
    <w:rsid w:val="006A098B"/>
    <w:rsid w:val="006A1550"/>
    <w:rsid w:val="006A3010"/>
    <w:rsid w:val="006A3B82"/>
    <w:rsid w:val="006C3E0A"/>
    <w:rsid w:val="006C3E43"/>
    <w:rsid w:val="006C7654"/>
    <w:rsid w:val="006D74EC"/>
    <w:rsid w:val="006D7EDB"/>
    <w:rsid w:val="006E14B4"/>
    <w:rsid w:val="006E4D94"/>
    <w:rsid w:val="006F173C"/>
    <w:rsid w:val="006F5C9D"/>
    <w:rsid w:val="006F6F45"/>
    <w:rsid w:val="00703972"/>
    <w:rsid w:val="00707CB9"/>
    <w:rsid w:val="00711370"/>
    <w:rsid w:val="00717F21"/>
    <w:rsid w:val="00725EBC"/>
    <w:rsid w:val="00726A1E"/>
    <w:rsid w:val="00730DB1"/>
    <w:rsid w:val="00731286"/>
    <w:rsid w:val="00736686"/>
    <w:rsid w:val="00740F1E"/>
    <w:rsid w:val="0074531D"/>
    <w:rsid w:val="007453CD"/>
    <w:rsid w:val="00750189"/>
    <w:rsid w:val="00750A4C"/>
    <w:rsid w:val="00752D3C"/>
    <w:rsid w:val="00753A00"/>
    <w:rsid w:val="00755CBC"/>
    <w:rsid w:val="007621E1"/>
    <w:rsid w:val="007677D7"/>
    <w:rsid w:val="007721AD"/>
    <w:rsid w:val="00785266"/>
    <w:rsid w:val="00792EBB"/>
    <w:rsid w:val="00795520"/>
    <w:rsid w:val="0079639C"/>
    <w:rsid w:val="007A0B8D"/>
    <w:rsid w:val="007A0EDD"/>
    <w:rsid w:val="007A6992"/>
    <w:rsid w:val="007A6F4D"/>
    <w:rsid w:val="007B0550"/>
    <w:rsid w:val="007C5DD4"/>
    <w:rsid w:val="007D2039"/>
    <w:rsid w:val="007D44E4"/>
    <w:rsid w:val="007F0F99"/>
    <w:rsid w:val="007F3057"/>
    <w:rsid w:val="007F4155"/>
    <w:rsid w:val="007F46F0"/>
    <w:rsid w:val="007F4D2B"/>
    <w:rsid w:val="0080177C"/>
    <w:rsid w:val="00802D8F"/>
    <w:rsid w:val="008059B1"/>
    <w:rsid w:val="0080637C"/>
    <w:rsid w:val="00815062"/>
    <w:rsid w:val="00824F94"/>
    <w:rsid w:val="0082542F"/>
    <w:rsid w:val="008371ED"/>
    <w:rsid w:val="00847610"/>
    <w:rsid w:val="008517CF"/>
    <w:rsid w:val="00852716"/>
    <w:rsid w:val="008536D1"/>
    <w:rsid w:val="0086325E"/>
    <w:rsid w:val="008663F2"/>
    <w:rsid w:val="00867577"/>
    <w:rsid w:val="00872C3D"/>
    <w:rsid w:val="008731C3"/>
    <w:rsid w:val="00875D0B"/>
    <w:rsid w:val="0087699D"/>
    <w:rsid w:val="00877813"/>
    <w:rsid w:val="0088333D"/>
    <w:rsid w:val="00883C0D"/>
    <w:rsid w:val="00884074"/>
    <w:rsid w:val="00892942"/>
    <w:rsid w:val="00893989"/>
    <w:rsid w:val="008A054B"/>
    <w:rsid w:val="008A2A15"/>
    <w:rsid w:val="008A37EC"/>
    <w:rsid w:val="008B01AC"/>
    <w:rsid w:val="008B79A1"/>
    <w:rsid w:val="008D0A5E"/>
    <w:rsid w:val="008D1BAF"/>
    <w:rsid w:val="008D1DB5"/>
    <w:rsid w:val="008D4ABA"/>
    <w:rsid w:val="008E11CC"/>
    <w:rsid w:val="008E29CD"/>
    <w:rsid w:val="008E6C73"/>
    <w:rsid w:val="008F281B"/>
    <w:rsid w:val="008F3069"/>
    <w:rsid w:val="008F3DDD"/>
    <w:rsid w:val="008F4E1D"/>
    <w:rsid w:val="008F71D8"/>
    <w:rsid w:val="00904FAC"/>
    <w:rsid w:val="00907B34"/>
    <w:rsid w:val="0091120E"/>
    <w:rsid w:val="00920D9C"/>
    <w:rsid w:val="00925C0B"/>
    <w:rsid w:val="00926C56"/>
    <w:rsid w:val="00931EA0"/>
    <w:rsid w:val="009372ED"/>
    <w:rsid w:val="0095520C"/>
    <w:rsid w:val="00964006"/>
    <w:rsid w:val="009647F8"/>
    <w:rsid w:val="00971BCE"/>
    <w:rsid w:val="00973CE5"/>
    <w:rsid w:val="00974382"/>
    <w:rsid w:val="00986798"/>
    <w:rsid w:val="00986EE7"/>
    <w:rsid w:val="00987D90"/>
    <w:rsid w:val="00991228"/>
    <w:rsid w:val="00993159"/>
    <w:rsid w:val="00993A4A"/>
    <w:rsid w:val="009966A7"/>
    <w:rsid w:val="009A08BB"/>
    <w:rsid w:val="009A40BF"/>
    <w:rsid w:val="009B3FB4"/>
    <w:rsid w:val="009C0408"/>
    <w:rsid w:val="009C132F"/>
    <w:rsid w:val="009C304E"/>
    <w:rsid w:val="009C3FBC"/>
    <w:rsid w:val="009C5EDF"/>
    <w:rsid w:val="009C7AD6"/>
    <w:rsid w:val="009C7CFB"/>
    <w:rsid w:val="009C7FC6"/>
    <w:rsid w:val="009D6FD8"/>
    <w:rsid w:val="009E14F4"/>
    <w:rsid w:val="009E3D79"/>
    <w:rsid w:val="009F1EE7"/>
    <w:rsid w:val="009F3AEE"/>
    <w:rsid w:val="009F6796"/>
    <w:rsid w:val="00A00844"/>
    <w:rsid w:val="00A23DD3"/>
    <w:rsid w:val="00A27969"/>
    <w:rsid w:val="00A27F80"/>
    <w:rsid w:val="00A30C0A"/>
    <w:rsid w:val="00A31456"/>
    <w:rsid w:val="00A32341"/>
    <w:rsid w:val="00A426A2"/>
    <w:rsid w:val="00A43947"/>
    <w:rsid w:val="00A47CF0"/>
    <w:rsid w:val="00A66CF3"/>
    <w:rsid w:val="00A77674"/>
    <w:rsid w:val="00A82809"/>
    <w:rsid w:val="00A86164"/>
    <w:rsid w:val="00A94CBC"/>
    <w:rsid w:val="00A96E04"/>
    <w:rsid w:val="00AA5521"/>
    <w:rsid w:val="00AA6704"/>
    <w:rsid w:val="00AA7044"/>
    <w:rsid w:val="00AA752E"/>
    <w:rsid w:val="00AB3915"/>
    <w:rsid w:val="00AB6058"/>
    <w:rsid w:val="00AD009F"/>
    <w:rsid w:val="00AD2D77"/>
    <w:rsid w:val="00AE2FE8"/>
    <w:rsid w:val="00AE50F2"/>
    <w:rsid w:val="00AF2B6E"/>
    <w:rsid w:val="00B0028A"/>
    <w:rsid w:val="00B15FE6"/>
    <w:rsid w:val="00B1720E"/>
    <w:rsid w:val="00B22AF6"/>
    <w:rsid w:val="00B23C1F"/>
    <w:rsid w:val="00B2443A"/>
    <w:rsid w:val="00B24750"/>
    <w:rsid w:val="00B27D8A"/>
    <w:rsid w:val="00B31342"/>
    <w:rsid w:val="00B44A73"/>
    <w:rsid w:val="00B45C79"/>
    <w:rsid w:val="00B51BF0"/>
    <w:rsid w:val="00B55416"/>
    <w:rsid w:val="00B55A53"/>
    <w:rsid w:val="00B7319D"/>
    <w:rsid w:val="00B80F89"/>
    <w:rsid w:val="00B81ED0"/>
    <w:rsid w:val="00B82A58"/>
    <w:rsid w:val="00B841C6"/>
    <w:rsid w:val="00B85AFA"/>
    <w:rsid w:val="00BA5706"/>
    <w:rsid w:val="00BA6610"/>
    <w:rsid w:val="00BC0447"/>
    <w:rsid w:val="00BC5A56"/>
    <w:rsid w:val="00BD078C"/>
    <w:rsid w:val="00BD6D44"/>
    <w:rsid w:val="00BF160B"/>
    <w:rsid w:val="00BF25CF"/>
    <w:rsid w:val="00C03F1E"/>
    <w:rsid w:val="00C0637B"/>
    <w:rsid w:val="00C11220"/>
    <w:rsid w:val="00C11477"/>
    <w:rsid w:val="00C14A21"/>
    <w:rsid w:val="00C1596C"/>
    <w:rsid w:val="00C20C6A"/>
    <w:rsid w:val="00C22967"/>
    <w:rsid w:val="00C25C7B"/>
    <w:rsid w:val="00C2602B"/>
    <w:rsid w:val="00C32414"/>
    <w:rsid w:val="00C41234"/>
    <w:rsid w:val="00C47BE6"/>
    <w:rsid w:val="00C55D90"/>
    <w:rsid w:val="00C80616"/>
    <w:rsid w:val="00C81F4D"/>
    <w:rsid w:val="00C875C4"/>
    <w:rsid w:val="00C917EB"/>
    <w:rsid w:val="00C91D3A"/>
    <w:rsid w:val="00CA4006"/>
    <w:rsid w:val="00CA770B"/>
    <w:rsid w:val="00CA779D"/>
    <w:rsid w:val="00CB4105"/>
    <w:rsid w:val="00CB4CB9"/>
    <w:rsid w:val="00CB7175"/>
    <w:rsid w:val="00CB7C9D"/>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1503"/>
    <w:rsid w:val="00D12FA5"/>
    <w:rsid w:val="00D14654"/>
    <w:rsid w:val="00D17736"/>
    <w:rsid w:val="00D213BD"/>
    <w:rsid w:val="00D2409B"/>
    <w:rsid w:val="00D2448F"/>
    <w:rsid w:val="00D3090A"/>
    <w:rsid w:val="00D431D0"/>
    <w:rsid w:val="00D4768B"/>
    <w:rsid w:val="00D522C4"/>
    <w:rsid w:val="00D60B52"/>
    <w:rsid w:val="00D60DF7"/>
    <w:rsid w:val="00D63234"/>
    <w:rsid w:val="00D63DFA"/>
    <w:rsid w:val="00D64371"/>
    <w:rsid w:val="00D661D1"/>
    <w:rsid w:val="00D7154A"/>
    <w:rsid w:val="00D744FB"/>
    <w:rsid w:val="00D764DA"/>
    <w:rsid w:val="00D843CB"/>
    <w:rsid w:val="00D97A55"/>
    <w:rsid w:val="00DA59A8"/>
    <w:rsid w:val="00DA78FC"/>
    <w:rsid w:val="00DB60D3"/>
    <w:rsid w:val="00DB7B0A"/>
    <w:rsid w:val="00DC070F"/>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3267"/>
    <w:rsid w:val="00E25B40"/>
    <w:rsid w:val="00E26CDC"/>
    <w:rsid w:val="00E37C60"/>
    <w:rsid w:val="00E4167A"/>
    <w:rsid w:val="00E43303"/>
    <w:rsid w:val="00E442B2"/>
    <w:rsid w:val="00E47932"/>
    <w:rsid w:val="00E51678"/>
    <w:rsid w:val="00E52B46"/>
    <w:rsid w:val="00E66D0E"/>
    <w:rsid w:val="00E72ADB"/>
    <w:rsid w:val="00E8453D"/>
    <w:rsid w:val="00E84D1F"/>
    <w:rsid w:val="00E85143"/>
    <w:rsid w:val="00E875B5"/>
    <w:rsid w:val="00E919A7"/>
    <w:rsid w:val="00E919F3"/>
    <w:rsid w:val="00E94489"/>
    <w:rsid w:val="00EA0336"/>
    <w:rsid w:val="00EA3F62"/>
    <w:rsid w:val="00EA42E1"/>
    <w:rsid w:val="00EA48E7"/>
    <w:rsid w:val="00EB26D6"/>
    <w:rsid w:val="00EC4AC9"/>
    <w:rsid w:val="00EC7840"/>
    <w:rsid w:val="00ED30AA"/>
    <w:rsid w:val="00ED38AE"/>
    <w:rsid w:val="00ED7589"/>
    <w:rsid w:val="00EE2267"/>
    <w:rsid w:val="00EE55F8"/>
    <w:rsid w:val="00EE669C"/>
    <w:rsid w:val="00EE7946"/>
    <w:rsid w:val="00EF11D6"/>
    <w:rsid w:val="00EF3604"/>
    <w:rsid w:val="00EF4598"/>
    <w:rsid w:val="00EF4941"/>
    <w:rsid w:val="00EF6B58"/>
    <w:rsid w:val="00F054D6"/>
    <w:rsid w:val="00F235EC"/>
    <w:rsid w:val="00F367B5"/>
    <w:rsid w:val="00F4364D"/>
    <w:rsid w:val="00F463B1"/>
    <w:rsid w:val="00F466F9"/>
    <w:rsid w:val="00F54DF0"/>
    <w:rsid w:val="00F6086C"/>
    <w:rsid w:val="00F71400"/>
    <w:rsid w:val="00F8350F"/>
    <w:rsid w:val="00F83D10"/>
    <w:rsid w:val="00F85731"/>
    <w:rsid w:val="00F93653"/>
    <w:rsid w:val="00F937D1"/>
    <w:rsid w:val="00FA1D0D"/>
    <w:rsid w:val="00FB5B25"/>
    <w:rsid w:val="00FC6F2F"/>
    <w:rsid w:val="00FD13FD"/>
    <w:rsid w:val="00FD1A3E"/>
    <w:rsid w:val="00FE4BE8"/>
    <w:rsid w:val="00FE560C"/>
    <w:rsid w:val="00FE631A"/>
    <w:rsid w:val="00FF2DB5"/>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 w:type="paragraph" w:customStyle="1" w:styleId="ColorfulList-Accent11">
    <w:name w:val="Colorful List - Accent 11"/>
    <w:basedOn w:val="Normal"/>
    <w:uiPriority w:val="34"/>
    <w:qFormat/>
    <w:rsid w:val="0025267F"/>
    <w:pPr>
      <w:ind w:left="720"/>
      <w:contextualSpacing/>
    </w:pPr>
    <w:rPr>
      <w:rFonts w:eastAsia="Batang"/>
    </w:rPr>
  </w:style>
  <w:style w:type="character" w:styleId="UnresolvedMention">
    <w:name w:val="Unresolved Mention"/>
    <w:basedOn w:val="DefaultParagraphFont"/>
    <w:uiPriority w:val="99"/>
    <w:semiHidden/>
    <w:unhideWhenUsed/>
    <w:rsid w:val="00CA77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opal.pr.gov/informes/informe-2025-238-ps-133" TargetMode="External"/><Relationship Id="rId1" Type="http://schemas.openxmlformats.org/officeDocument/2006/relationships/hyperlink" Target="https://www.opal.pr.gov/informes/informe-2025-238-ps-1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2.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3.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5.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6.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1386</Words>
  <Characters>7903</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2026-06-05T13:56:00Z</cp:lastPrinted>
  <dcterms:created xsi:type="dcterms:W3CDTF">2026-06-05T13:56:00Z</dcterms:created>
  <dcterms:modified xsi:type="dcterms:W3CDTF">2026-06-05T13:56:00Z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