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292777BC" w14:textId="77777777" w:rsidR="006E3A97" w:rsidRPr="003E3789" w:rsidRDefault="006E3A97"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77807FB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6E3A97">
        <w:rPr>
          <w:rFonts w:ascii="Book Antiqua" w:hAnsi="Book Antiqua"/>
          <w:b/>
          <w:sz w:val="52"/>
          <w:szCs w:val="52"/>
          <w:lang w:val="es-ES"/>
        </w:rPr>
        <w:t>44</w:t>
      </w:r>
    </w:p>
    <w:p w14:paraId="195D415D" w14:textId="3EC08782" w:rsidR="00B811F4" w:rsidRPr="003E3789" w:rsidRDefault="00290354" w:rsidP="00A41002">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B811F4" w:rsidRPr="003E3789">
        <w:rPr>
          <w:rFonts w:ascii="Book Antiqua" w:hAnsi="Book Antiqua"/>
          <w:b/>
          <w:sz w:val="28"/>
          <w:szCs w:val="28"/>
          <w:lang w:val="es-ES"/>
        </w:rPr>
        <w:t>INFORME</w:t>
      </w:r>
      <w:r w:rsidR="002C2EE7">
        <w:rPr>
          <w:rFonts w:ascii="Book Antiqua" w:hAnsi="Book Antiqua"/>
          <w:b/>
          <w:sz w:val="28"/>
          <w:szCs w:val="28"/>
          <w:lang w:val="es-ES"/>
        </w:rPr>
        <w:t xml:space="preserv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347C26C3"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1A6418">
        <w:rPr>
          <w:rFonts w:ascii="Book Antiqua" w:hAnsi="Book Antiqua"/>
          <w:lang w:val="es-ES_tradnl"/>
        </w:rPr>
        <w:t>23</w:t>
      </w:r>
      <w:r w:rsidRPr="009E60BD">
        <w:rPr>
          <w:rFonts w:ascii="Book Antiqua" w:hAnsi="Book Antiqua"/>
          <w:lang w:val="es-ES_tradnl"/>
        </w:rPr>
        <w:t xml:space="preserve"> de </w:t>
      </w:r>
      <w:r w:rsidR="007B3C36">
        <w:rPr>
          <w:rFonts w:ascii="Book Antiqua" w:hAnsi="Book Antiqua"/>
          <w:lang w:val="es-ES_tradnl"/>
        </w:rPr>
        <w:t>abril</w:t>
      </w:r>
      <w:r w:rsidRPr="009E60BD">
        <w:rPr>
          <w:rFonts w:ascii="Book Antiqua" w:hAnsi="Book Antiqua"/>
          <w:lang w:val="es-ES_tradnl"/>
        </w:rPr>
        <w:t xml:space="preserve"> de 202</w:t>
      </w:r>
      <w:r w:rsidR="006E3A97">
        <w:rPr>
          <w:rFonts w:ascii="Book Antiqua" w:hAnsi="Book Antiqua"/>
          <w:lang w:val="es-ES_tradnl"/>
        </w:rPr>
        <w:t>6</w:t>
      </w:r>
    </w:p>
    <w:p w14:paraId="0F87ADF6" w14:textId="77777777" w:rsidR="00B811F4" w:rsidRDefault="00B811F4" w:rsidP="00A41002">
      <w:pPr>
        <w:spacing w:line="360" w:lineRule="auto"/>
        <w:rPr>
          <w:rFonts w:ascii="Book Antiqua" w:hAnsi="Book Antiqua"/>
          <w:b/>
          <w:lang w:val="es-ES"/>
        </w:rPr>
      </w:pPr>
    </w:p>
    <w:p w14:paraId="3A910E78" w14:textId="77777777" w:rsidR="00E24AD8" w:rsidRDefault="00E24AD8" w:rsidP="00A41002">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29EF1032"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w:t>
      </w:r>
      <w:r w:rsidR="00DE1C0F">
        <w:rPr>
          <w:rFonts w:ascii="Book Antiqua" w:hAnsi="Book Antiqua"/>
          <w:lang w:val="es-ES_tradnl"/>
        </w:rPr>
        <w:t xml:space="preserve">, y la Comisión de Seguridad Pública </w:t>
      </w:r>
      <w:r w:rsidRPr="00E24AD8">
        <w:rPr>
          <w:rFonts w:ascii="Book Antiqua" w:hAnsi="Book Antiqua"/>
          <w:lang w:val="es-ES_tradnl"/>
        </w:rPr>
        <w:t>de la Cámara de Representantes de Puerto Rico; previo estudio y consideración del Proyecto del Senado 1</w:t>
      </w:r>
      <w:r w:rsidR="006E3A97">
        <w:rPr>
          <w:rFonts w:ascii="Book Antiqua" w:hAnsi="Book Antiqua"/>
          <w:lang w:val="es-ES_tradnl"/>
        </w:rPr>
        <w:t>44</w:t>
      </w:r>
      <w:r w:rsidRPr="00E24AD8">
        <w:rPr>
          <w:rFonts w:ascii="Book Antiqua" w:hAnsi="Book Antiqua"/>
          <w:lang w:val="es-ES_tradnl"/>
        </w:rPr>
        <w:t>, tiene</w:t>
      </w:r>
      <w:r w:rsidR="00DE1C0F">
        <w:rPr>
          <w:rFonts w:ascii="Book Antiqua" w:hAnsi="Book Antiqua"/>
          <w:lang w:val="es-ES_tradnl"/>
        </w:rPr>
        <w:t>n</w:t>
      </w:r>
      <w:r w:rsidRPr="00E24AD8">
        <w:rPr>
          <w:rFonts w:ascii="Book Antiqua" w:hAnsi="Book Antiqua"/>
          <w:lang w:val="es-ES_tradnl"/>
        </w:rPr>
        <w:t xml:space="preserve"> a bien recomendar a este Alto Cuerpo la aprobación de la pieza legislativa </w:t>
      </w:r>
      <w:r w:rsidR="00290354">
        <w:rPr>
          <w:rFonts w:ascii="Book Antiqua" w:hAnsi="Book Antiqua"/>
          <w:lang w:val="es-ES_tradnl"/>
        </w:rPr>
        <w:t>con</w:t>
      </w:r>
      <w:r w:rsidRPr="00E24AD8">
        <w:rPr>
          <w:rFonts w:ascii="Book Antiqua" w:hAnsi="Book Antiqua"/>
          <w:lang w:val="es-ES_tradnl"/>
        </w:rPr>
        <w:t xml:space="preserve"> </w:t>
      </w:r>
      <w:r w:rsidR="00290354">
        <w:rPr>
          <w:rFonts w:ascii="Book Antiqua" w:hAnsi="Book Antiqua"/>
          <w:lang w:val="es-ES_tradnl"/>
        </w:rPr>
        <w:t xml:space="preserve">las </w:t>
      </w:r>
      <w:r w:rsidRPr="00E24AD8">
        <w:rPr>
          <w:rFonts w:ascii="Book Antiqua" w:hAnsi="Book Antiqua"/>
          <w:lang w:val="es-ES_tradnl"/>
        </w:rPr>
        <w:t>enmiendas</w:t>
      </w:r>
      <w:r w:rsidR="00290354">
        <w:rPr>
          <w:rFonts w:ascii="Book Antiqua" w:hAnsi="Book Antiqua"/>
          <w:lang w:val="es-ES_tradnl"/>
        </w:rPr>
        <w:t xml:space="preserve"> incluidas en el </w:t>
      </w:r>
      <w:proofErr w:type="spellStart"/>
      <w:r w:rsidR="00290354">
        <w:rPr>
          <w:rFonts w:ascii="Book Antiqua" w:hAnsi="Book Antiqua"/>
          <w:lang w:val="es-ES_tradnl"/>
        </w:rPr>
        <w:t>Entirillado</w:t>
      </w:r>
      <w:proofErr w:type="spellEnd"/>
      <w:r w:rsidR="00290354">
        <w:rPr>
          <w:rFonts w:ascii="Book Antiqua" w:hAnsi="Book Antiqua"/>
          <w:lang w:val="es-ES_tradnl"/>
        </w:rPr>
        <w:t xml:space="preserve"> Electrónico</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2DBCE581" w:rsidR="00E24AD8" w:rsidRDefault="00C766EC" w:rsidP="00E24AD8">
      <w:pPr>
        <w:tabs>
          <w:tab w:val="left" w:pos="0"/>
        </w:tabs>
        <w:spacing w:line="360" w:lineRule="auto"/>
        <w:ind w:firstLine="360"/>
        <w:jc w:val="both"/>
        <w:rPr>
          <w:rFonts w:ascii="Book Antiqua" w:hAnsi="Book Antiqua"/>
          <w:lang w:val="es-PR"/>
        </w:rPr>
      </w:pPr>
      <w:r w:rsidRPr="00E24AD8">
        <w:rPr>
          <w:rFonts w:ascii="Book Antiqua" w:hAnsi="Book Antiqua"/>
          <w:lang w:val="es-ES"/>
        </w:rPr>
        <w:tab/>
      </w:r>
      <w:r w:rsidR="006E3A97" w:rsidRPr="006E3A97">
        <w:rPr>
          <w:rFonts w:ascii="Book Antiqua" w:hAnsi="Book Antiqua"/>
          <w:lang w:val="es-PR"/>
        </w:rPr>
        <w:t>El Proyecto del Senado 144, tiene como objetivo enmendar el Art</w:t>
      </w:r>
      <w:r w:rsidR="00290354">
        <w:rPr>
          <w:rFonts w:ascii="Book Antiqua" w:hAnsi="Book Antiqua"/>
          <w:lang w:val="es-PR"/>
        </w:rPr>
        <w:t>í</w:t>
      </w:r>
      <w:r w:rsidR="006E3A97" w:rsidRPr="006E3A97">
        <w:rPr>
          <w:rFonts w:ascii="Book Antiqua" w:hAnsi="Book Antiqua"/>
          <w:lang w:val="es-PR"/>
        </w:rPr>
        <w:t>culo 27 de la Ley 355-1999, s</w:t>
      </w:r>
      <w:r w:rsidR="00290354">
        <w:rPr>
          <w:rFonts w:ascii="Book Antiqua" w:hAnsi="Book Antiqua"/>
          <w:lang w:val="es-PR"/>
        </w:rPr>
        <w:t>egún</w:t>
      </w:r>
      <w:r w:rsidR="006E3A97" w:rsidRPr="006E3A97">
        <w:rPr>
          <w:rFonts w:ascii="Book Antiqua" w:hAnsi="Book Antiqua"/>
          <w:lang w:val="es-PR"/>
        </w:rPr>
        <w:t xml:space="preserve"> enmendada, conocida como "Ley Uniforme de R</w:t>
      </w:r>
      <w:r w:rsidR="00290354">
        <w:rPr>
          <w:rFonts w:ascii="Book Antiqua" w:hAnsi="Book Antiqua"/>
          <w:lang w:val="es-PR"/>
        </w:rPr>
        <w:t>ó</w:t>
      </w:r>
      <w:r w:rsidR="006E3A97" w:rsidRPr="006E3A97">
        <w:rPr>
          <w:rFonts w:ascii="Book Antiqua" w:hAnsi="Book Antiqua"/>
          <w:lang w:val="es-PR"/>
        </w:rPr>
        <w:t xml:space="preserve">tulos y Anuncios de Puerto Rico de </w:t>
      </w:r>
      <w:r w:rsidR="001A6418">
        <w:rPr>
          <w:rFonts w:ascii="Book Antiqua" w:hAnsi="Book Antiqua"/>
          <w:lang w:val="es-PR"/>
        </w:rPr>
        <w:t>1</w:t>
      </w:r>
      <w:r w:rsidR="006E3A97" w:rsidRPr="006E3A97">
        <w:rPr>
          <w:rFonts w:ascii="Book Antiqua" w:hAnsi="Book Antiqua"/>
          <w:lang w:val="es-PR"/>
        </w:rPr>
        <w:t>999" a</w:t>
      </w:r>
      <w:r w:rsidR="006E3A97">
        <w:rPr>
          <w:rFonts w:ascii="Book Antiqua" w:hAnsi="Book Antiqua"/>
          <w:lang w:val="es-PR"/>
        </w:rPr>
        <w:t xml:space="preserve"> </w:t>
      </w:r>
      <w:r w:rsidR="006E3A97" w:rsidRPr="006E3A97">
        <w:rPr>
          <w:rFonts w:ascii="Book Antiqua" w:hAnsi="Book Antiqua"/>
          <w:lang w:val="es-PR"/>
        </w:rPr>
        <w:t>los efectos de disponer que cuando se active la publicaci</w:t>
      </w:r>
      <w:r w:rsidR="001A6418">
        <w:rPr>
          <w:rFonts w:ascii="Book Antiqua" w:hAnsi="Book Antiqua"/>
          <w:lang w:val="es-PR"/>
        </w:rPr>
        <w:t>ó</w:t>
      </w:r>
      <w:r w:rsidR="006E3A97" w:rsidRPr="006E3A97">
        <w:rPr>
          <w:rFonts w:ascii="Book Antiqua" w:hAnsi="Book Antiqua"/>
          <w:lang w:val="es-PR"/>
        </w:rPr>
        <w:t>n de alertas de emergencia, las mismas permanecer</w:t>
      </w:r>
      <w:r w:rsidR="001A6418">
        <w:rPr>
          <w:rFonts w:ascii="Book Antiqua" w:hAnsi="Book Antiqua"/>
          <w:lang w:val="es-PR"/>
        </w:rPr>
        <w:t>á</w:t>
      </w:r>
      <w:r w:rsidR="006E3A97" w:rsidRPr="006E3A97">
        <w:rPr>
          <w:rFonts w:ascii="Book Antiqua" w:hAnsi="Book Antiqua"/>
          <w:lang w:val="es-PR"/>
        </w:rPr>
        <w:t xml:space="preserve">n </w:t>
      </w:r>
      <w:r w:rsidR="001A6418">
        <w:rPr>
          <w:rFonts w:ascii="Book Antiqua" w:hAnsi="Book Antiqua"/>
          <w:lang w:val="es-PR"/>
        </w:rPr>
        <w:t xml:space="preserve">desplegadas </w:t>
      </w:r>
      <w:r w:rsidR="006E3A97" w:rsidRPr="006E3A97">
        <w:rPr>
          <w:rFonts w:ascii="Book Antiqua" w:hAnsi="Book Antiqua"/>
          <w:lang w:val="es-PR"/>
        </w:rPr>
        <w:t>por un mínimo de setenta y dos (72) horas.</w:t>
      </w:r>
    </w:p>
    <w:p w14:paraId="473CA0DC" w14:textId="77777777" w:rsidR="006E3A97" w:rsidRDefault="006E3A97" w:rsidP="00E24AD8">
      <w:pPr>
        <w:tabs>
          <w:tab w:val="left" w:pos="0"/>
        </w:tabs>
        <w:spacing w:line="360" w:lineRule="auto"/>
        <w:ind w:firstLine="360"/>
        <w:jc w:val="both"/>
        <w:rPr>
          <w:rFonts w:ascii="Book Antiqua" w:hAnsi="Book Antiqua"/>
          <w:lang w:val="es-PR"/>
        </w:rPr>
      </w:pPr>
    </w:p>
    <w:p w14:paraId="57132895" w14:textId="77777777" w:rsidR="006E3A97" w:rsidRDefault="006E3A97" w:rsidP="00E24AD8">
      <w:pPr>
        <w:tabs>
          <w:tab w:val="left" w:pos="0"/>
        </w:tabs>
        <w:spacing w:line="360" w:lineRule="auto"/>
        <w:ind w:firstLine="360"/>
        <w:jc w:val="both"/>
        <w:rPr>
          <w:rFonts w:ascii="Book Antiqua" w:hAnsi="Book Antiqua"/>
          <w:lang w:val="es-PR"/>
        </w:rPr>
      </w:pPr>
    </w:p>
    <w:p w14:paraId="5FCF9505" w14:textId="77777777" w:rsidR="007B3C36" w:rsidRDefault="007B3C36" w:rsidP="00E24AD8">
      <w:pPr>
        <w:tabs>
          <w:tab w:val="left" w:pos="0"/>
        </w:tabs>
        <w:spacing w:line="360" w:lineRule="auto"/>
        <w:ind w:firstLine="360"/>
        <w:jc w:val="both"/>
        <w:rPr>
          <w:rFonts w:ascii="Book Antiqua" w:hAnsi="Book Antiqua"/>
          <w:lang w:val="es-PR"/>
        </w:rPr>
      </w:pPr>
    </w:p>
    <w:p w14:paraId="1E589C33" w14:textId="77777777" w:rsidR="007B3C36" w:rsidRPr="006E3A97" w:rsidRDefault="007B3C36" w:rsidP="00E24AD8">
      <w:pPr>
        <w:tabs>
          <w:tab w:val="left" w:pos="0"/>
        </w:tabs>
        <w:spacing w:line="360" w:lineRule="auto"/>
        <w:ind w:firstLine="360"/>
        <w:jc w:val="both"/>
        <w:rPr>
          <w:rFonts w:ascii="Book Antiqua" w:hAnsi="Book Antiqua"/>
          <w:lang w:val="es-PR"/>
        </w:rPr>
      </w:pPr>
    </w:p>
    <w:p w14:paraId="21C1C842" w14:textId="66165A00"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t>INTRODUCCIÓN</w:t>
      </w:r>
    </w:p>
    <w:p w14:paraId="2E662A05" w14:textId="77777777" w:rsidR="00D221D7" w:rsidRPr="00E24AD8" w:rsidRDefault="00D221D7" w:rsidP="00E24AD8">
      <w:pPr>
        <w:spacing w:line="360" w:lineRule="auto"/>
        <w:jc w:val="center"/>
        <w:rPr>
          <w:rFonts w:ascii="Book Antiqua" w:hAnsi="Book Antiqua"/>
          <w:b/>
          <w:color w:val="000000"/>
          <w:lang w:val="es-ES"/>
        </w:rPr>
      </w:pPr>
    </w:p>
    <w:p w14:paraId="2EDF69C8" w14:textId="77777777" w:rsidR="00D221D7" w:rsidRDefault="009A246A" w:rsidP="00D221D7">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D221D7" w:rsidRPr="00D221D7">
        <w:rPr>
          <w:rFonts w:ascii="Book Antiqua" w:hAnsi="Book Antiqua"/>
          <w:bCs/>
          <w:color w:val="000000"/>
          <w:lang w:val="es-PR"/>
        </w:rPr>
        <w:t>La Comisión ha evaluado el Proyecto del Senado 144, mediante el cual se propone enmendar el Artículo 27 de la Ley 355-1999, según enmendada, conocida como la “Ley Uniforme de Rótulos y Anuncios de Puerto Rico de 1999”. Esta medida tiene el propósito de fortalecer los mecanismos de difusión de información pública durante situaciones de emergencia, disponiendo que las alertas oficiales activadas por las autoridades permanezcan desplegadas en los tableros de anuncios digitales por un periodo mínimo de setenta y dos (72) horas, salvo que el Negociado de la Policía de Puerto Rico ordene su desactivación con anterioridad.</w:t>
      </w:r>
    </w:p>
    <w:p w14:paraId="25BAA58F"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4BE9E789" w14:textId="47DE1FE5"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La Asamblea Legislativa ha reconocido la importancia de los tableros de anuncios digitales como herramienta eficaz para la diseminación rápida y amplia de información crucial para la seguridad pública. En años recientes, en Puerto Rico se han desarrollado diversos protocolos de alerta con el fin de apoyar la búsqueda de personas desaparecidas y la resolución expedita de situaciones que pongan en riesgo la vida e integridad de la ciudadanía.</w:t>
      </w:r>
    </w:p>
    <w:p w14:paraId="0F0A82A9"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6764505A" w14:textId="6BA54869"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El Proyecto del Senado 144 amplía </w:t>
      </w:r>
      <w:r>
        <w:rPr>
          <w:rFonts w:ascii="Book Antiqua" w:hAnsi="Book Antiqua"/>
          <w:bCs/>
          <w:color w:val="000000"/>
          <w:lang w:val="es-PR"/>
        </w:rPr>
        <w:t>l</w:t>
      </w:r>
      <w:r w:rsidR="00D221D7" w:rsidRPr="00D221D7">
        <w:rPr>
          <w:rFonts w:ascii="Book Antiqua" w:hAnsi="Book Antiqua"/>
          <w:bCs/>
          <w:color w:val="000000"/>
          <w:lang w:val="es-PR"/>
        </w:rPr>
        <w:t>as disposiciones</w:t>
      </w:r>
      <w:r>
        <w:rPr>
          <w:rFonts w:ascii="Book Antiqua" w:hAnsi="Book Antiqua"/>
          <w:bCs/>
          <w:color w:val="000000"/>
          <w:lang w:val="es-PR"/>
        </w:rPr>
        <w:t xml:space="preserve"> aprobadas en la Ley 27 de 2023</w:t>
      </w:r>
      <w:r w:rsidR="00D221D7" w:rsidRPr="00D221D7">
        <w:rPr>
          <w:rFonts w:ascii="Book Antiqua" w:hAnsi="Book Antiqua"/>
          <w:bCs/>
          <w:color w:val="000000"/>
          <w:lang w:val="es-PR"/>
        </w:rPr>
        <w:t>,</w:t>
      </w:r>
      <w:r>
        <w:rPr>
          <w:rFonts w:ascii="Book Antiqua" w:hAnsi="Book Antiqua"/>
          <w:bCs/>
          <w:color w:val="000000"/>
          <w:lang w:val="es-PR"/>
        </w:rPr>
        <w:t xml:space="preserve"> la cual enmendó la Ley 355-1999,</w:t>
      </w:r>
      <w:r w:rsidR="00D221D7" w:rsidRPr="00D221D7">
        <w:rPr>
          <w:rFonts w:ascii="Book Antiqua" w:hAnsi="Book Antiqua"/>
          <w:bCs/>
          <w:color w:val="000000"/>
          <w:lang w:val="es-PR"/>
        </w:rPr>
        <w:t xml:space="preserve"> </w:t>
      </w:r>
      <w:r w:rsidRPr="00D221D7">
        <w:rPr>
          <w:rFonts w:ascii="Book Antiqua" w:hAnsi="Book Antiqua"/>
          <w:bCs/>
          <w:color w:val="000000"/>
          <w:lang w:val="es-PR"/>
        </w:rPr>
        <w:t>reforz</w:t>
      </w:r>
      <w:r>
        <w:rPr>
          <w:rFonts w:ascii="Book Antiqua" w:hAnsi="Book Antiqua"/>
          <w:bCs/>
          <w:color w:val="000000"/>
          <w:lang w:val="es-PR"/>
        </w:rPr>
        <w:t>ando</w:t>
      </w:r>
      <w:r w:rsidRPr="00D221D7">
        <w:rPr>
          <w:rFonts w:ascii="Book Antiqua" w:hAnsi="Book Antiqua"/>
          <w:bCs/>
          <w:color w:val="000000"/>
          <w:lang w:val="es-PR"/>
        </w:rPr>
        <w:t xml:space="preserve"> la utilización de </w:t>
      </w:r>
      <w:r>
        <w:rPr>
          <w:rFonts w:ascii="Book Antiqua" w:hAnsi="Book Antiqua"/>
          <w:bCs/>
          <w:color w:val="000000"/>
          <w:lang w:val="es-PR"/>
        </w:rPr>
        <w:t>l</w:t>
      </w:r>
      <w:r w:rsidRPr="00D221D7">
        <w:rPr>
          <w:rFonts w:ascii="Book Antiqua" w:hAnsi="Book Antiqua"/>
          <w:bCs/>
          <w:color w:val="000000"/>
          <w:lang w:val="es-PR"/>
        </w:rPr>
        <w:t>os tableros por parte de las autoridades policiacas al momento de la activación</w:t>
      </w:r>
      <w:r>
        <w:rPr>
          <w:rFonts w:ascii="Book Antiqua" w:hAnsi="Book Antiqua"/>
          <w:bCs/>
          <w:color w:val="000000"/>
          <w:lang w:val="es-PR"/>
        </w:rPr>
        <w:t xml:space="preserve"> de alertas,</w:t>
      </w:r>
      <w:r w:rsidRPr="00D221D7">
        <w:rPr>
          <w:rFonts w:ascii="Book Antiqua" w:hAnsi="Book Antiqua"/>
          <w:bCs/>
          <w:color w:val="000000"/>
          <w:lang w:val="es-PR"/>
        </w:rPr>
        <w:t xml:space="preserve"> </w:t>
      </w:r>
      <w:r w:rsidR="00D221D7" w:rsidRPr="00D221D7">
        <w:rPr>
          <w:rFonts w:ascii="Book Antiqua" w:hAnsi="Book Antiqua"/>
          <w:bCs/>
          <w:color w:val="000000"/>
          <w:lang w:val="es-PR"/>
        </w:rPr>
        <w:t>garantizando que la información permanezca visible por un plazo razonable que aumente las probabilidades de localizar a las personas involucradas y facilite el trabajo investigativo y preventivo de las agencias concernidas.</w:t>
      </w:r>
    </w:p>
    <w:p w14:paraId="2B3F26A5"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0E6B87E1" w14:textId="691AC8BB" w:rsidR="00D221D7" w:rsidRP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Luego de analizar la medida, </w:t>
      </w:r>
      <w:r>
        <w:rPr>
          <w:rFonts w:ascii="Book Antiqua" w:hAnsi="Book Antiqua"/>
          <w:bCs/>
          <w:color w:val="000000"/>
          <w:lang w:val="es-PR"/>
        </w:rPr>
        <w:t>esta</w:t>
      </w:r>
      <w:r w:rsidR="00D221D7" w:rsidRPr="00D221D7">
        <w:rPr>
          <w:rFonts w:ascii="Book Antiqua" w:hAnsi="Book Antiqua"/>
          <w:bCs/>
          <w:color w:val="000000"/>
          <w:lang w:val="es-PR"/>
        </w:rPr>
        <w:t xml:space="preserve"> Comisión considera que </w:t>
      </w:r>
      <w:r>
        <w:rPr>
          <w:rFonts w:ascii="Book Antiqua" w:hAnsi="Book Antiqua"/>
          <w:bCs/>
          <w:color w:val="000000"/>
          <w:lang w:val="es-PR"/>
        </w:rPr>
        <w:t>l</w:t>
      </w:r>
      <w:r w:rsidR="00D221D7" w:rsidRPr="00D221D7">
        <w:rPr>
          <w:rFonts w:ascii="Book Antiqua" w:hAnsi="Book Antiqua"/>
          <w:bCs/>
          <w:color w:val="000000"/>
          <w:lang w:val="es-PR"/>
        </w:rPr>
        <w:t xml:space="preserve">a propuesta responde adecuadamente a la necesidad de maximizar los mecanismos de difusión de alertas de </w:t>
      </w:r>
      <w:r w:rsidR="00D221D7" w:rsidRPr="00D221D7">
        <w:rPr>
          <w:rFonts w:ascii="Book Antiqua" w:hAnsi="Book Antiqua"/>
          <w:bCs/>
          <w:color w:val="000000"/>
          <w:lang w:val="es-PR"/>
        </w:rPr>
        <w:lastRenderedPageBreak/>
        <w:t>emergencia, fortaleciendo los esfuerzos de seguridad pública y contribuyendo a la protección de vidas.</w:t>
      </w:r>
    </w:p>
    <w:p w14:paraId="00D6EB2F" w14:textId="3C269FAF" w:rsidR="00E24AD8" w:rsidRDefault="00B811F4" w:rsidP="00FB15F4">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3321B963" w14:textId="77777777" w:rsidR="00FB15F4" w:rsidRDefault="00FB15F4" w:rsidP="00FB15F4">
      <w:pPr>
        <w:spacing w:line="360" w:lineRule="auto"/>
        <w:jc w:val="both"/>
        <w:rPr>
          <w:rFonts w:ascii="Book Antiqua" w:hAnsi="Book Antiqua"/>
          <w:lang w:val="es-PR"/>
        </w:rPr>
      </w:pPr>
      <w:r>
        <w:rPr>
          <w:rFonts w:ascii="Book Antiqua" w:hAnsi="Book Antiqua"/>
          <w:lang w:val="es-PR"/>
        </w:rPr>
        <w:tab/>
      </w:r>
    </w:p>
    <w:p w14:paraId="21F947A6" w14:textId="3A97328D" w:rsidR="00FB15F4" w:rsidRDefault="00FB15F4" w:rsidP="00FB15F4">
      <w:pPr>
        <w:spacing w:line="360" w:lineRule="auto"/>
        <w:jc w:val="both"/>
        <w:rPr>
          <w:rFonts w:ascii="Book Antiqua" w:hAnsi="Book Antiqua"/>
          <w:lang w:val="es-PR"/>
        </w:rPr>
      </w:pPr>
      <w:r>
        <w:rPr>
          <w:rFonts w:ascii="Book Antiqua" w:hAnsi="Book Antiqua"/>
          <w:lang w:val="es-PR"/>
        </w:rPr>
        <w:tab/>
        <w:t>Como parte del</w:t>
      </w:r>
      <w:r w:rsidRPr="00E24AD8">
        <w:rPr>
          <w:rFonts w:ascii="Book Antiqua" w:hAnsi="Book Antiqua"/>
          <w:lang w:val="es-PR"/>
        </w:rPr>
        <w:t xml:space="preserve"> análisis realizado por esta Comisión, </w:t>
      </w:r>
      <w:r>
        <w:rPr>
          <w:rFonts w:ascii="Book Antiqua" w:hAnsi="Book Antiqua"/>
          <w:lang w:val="es-PR"/>
        </w:rPr>
        <w:t>se estudiaron las ponencias de la Oficina de la Procuradora de las Mujeres (OPM), el Departamento de Seguridad Pública (DSP) y el Departamento de Desarrollo Económico (DDEC).</w:t>
      </w:r>
    </w:p>
    <w:p w14:paraId="2CF2A7DB" w14:textId="77777777" w:rsidR="00FB15F4" w:rsidRDefault="00FB15F4" w:rsidP="00FB15F4">
      <w:pPr>
        <w:spacing w:line="360" w:lineRule="auto"/>
        <w:jc w:val="both"/>
        <w:rPr>
          <w:rFonts w:ascii="Book Antiqua" w:hAnsi="Book Antiqua"/>
          <w:lang w:val="es-PR"/>
        </w:rPr>
      </w:pPr>
    </w:p>
    <w:p w14:paraId="50705961" w14:textId="51953B44" w:rsidR="000C4037" w:rsidRPr="00D375CF" w:rsidRDefault="00FB15F4" w:rsidP="00FB15F4">
      <w:pPr>
        <w:spacing w:line="360" w:lineRule="auto"/>
        <w:jc w:val="both"/>
        <w:rPr>
          <w:rFonts w:ascii="Book Antiqua" w:hAnsi="Book Antiqua"/>
          <w:lang w:val="es-PR"/>
        </w:rPr>
      </w:pPr>
      <w:r>
        <w:rPr>
          <w:rFonts w:ascii="Book Antiqua" w:hAnsi="Book Antiqua"/>
          <w:lang w:val="es-PR"/>
        </w:rPr>
        <w:tab/>
        <w:t>La OPM en su escrito, además de apoyar la medida, indica que al desactivar los carteles digitales en veinticuatro (24) horas, como ocurre actualmente, va en contrasentido a</w:t>
      </w:r>
      <w:r w:rsidR="000C4037">
        <w:rPr>
          <w:rFonts w:ascii="Book Antiqua" w:hAnsi="Book Antiqua"/>
          <w:lang w:val="es-PR"/>
        </w:rPr>
        <w:t>l propósito de la reglamentación, atentado contra la posibilidad de viabilizar y agilizar la búsqueda de una víctima. Concluyeron su ponencia estableciendo que la medida representa un esfuerzo viable en momento de emergencia salvaguardando la vida de una posible víctima, así como la captura de su agresor o perpetrador.</w:t>
      </w:r>
      <w:r w:rsidR="00D375CF">
        <w:rPr>
          <w:rFonts w:ascii="Book Antiqua" w:hAnsi="Book Antiqua"/>
          <w:lang w:val="es-PR"/>
        </w:rPr>
        <w:t xml:space="preserve"> </w:t>
      </w:r>
      <w:r w:rsidR="000C4037">
        <w:rPr>
          <w:rFonts w:ascii="Book Antiqua" w:hAnsi="Book Antiqua"/>
          <w:lang w:val="es-PR"/>
        </w:rPr>
        <w:t>Por su parte</w:t>
      </w:r>
      <w:r w:rsidR="00D375CF">
        <w:rPr>
          <w:rFonts w:ascii="Book Antiqua" w:hAnsi="Book Antiqua"/>
          <w:lang w:val="es-PR"/>
        </w:rPr>
        <w:t>, tanto el DSP como el DDEC reconocieron el fin loable de la medida. Mientras que el DDEC les dio deferencia a las agencias con pertinencia.</w:t>
      </w:r>
    </w:p>
    <w:p w14:paraId="3F7E3A03" w14:textId="77777777" w:rsidR="00FB15F4" w:rsidRPr="00FB15F4" w:rsidRDefault="00FB15F4" w:rsidP="00FB15F4">
      <w:pPr>
        <w:spacing w:line="360" w:lineRule="auto"/>
        <w:jc w:val="center"/>
        <w:rPr>
          <w:rFonts w:ascii="Book Antiqua" w:hAnsi="Book Antiqua"/>
          <w:b/>
          <w:caps/>
          <w:color w:val="000000"/>
          <w:lang w:val="es-ES"/>
        </w:rPr>
      </w:pPr>
    </w:p>
    <w:p w14:paraId="376296DB" w14:textId="79D6112E"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25E862E" w14:textId="3492DD6E" w:rsidR="00805F10" w:rsidRPr="00E24AD8" w:rsidRDefault="00805F10" w:rsidP="00E24AD8">
      <w:pPr>
        <w:pStyle w:val="NoSpacing"/>
        <w:spacing w:line="360" w:lineRule="auto"/>
        <w:jc w:val="both"/>
        <w:rPr>
          <w:rFonts w:ascii="Book Antiqua" w:hAnsi="Book Antiqua"/>
          <w:b/>
          <w:color w:val="000000"/>
          <w:szCs w:val="24"/>
          <w:lang w:val="es-ES"/>
        </w:rPr>
      </w:pPr>
      <w:r w:rsidRPr="00E24AD8">
        <w:rPr>
          <w:rFonts w:ascii="Book Antiqua" w:hAnsi="Book Antiqua"/>
          <w:b/>
          <w:color w:val="000000"/>
          <w:szCs w:val="24"/>
          <w:lang w:val="es-ES"/>
        </w:rPr>
        <w:tab/>
      </w:r>
      <w:r w:rsidR="00FB15F4">
        <w:rPr>
          <w:rFonts w:ascii="Book Antiqua" w:hAnsi="Book Antiqua"/>
          <w:lang w:val="es-ES"/>
        </w:rPr>
        <w:t>E</w:t>
      </w:r>
      <w:r w:rsidRPr="00E24AD8">
        <w:rPr>
          <w:rFonts w:ascii="Book Antiqua" w:hAnsi="Book Antiqua"/>
          <w:lang w:val="es-PR"/>
        </w:rPr>
        <w:t xml:space="preserve">sta Comisión, a tenor con el Artículo 1.007 de la Ley 107-2020, según enmendada, conocida como "Código Municipal de Puerto Rico", </w:t>
      </w:r>
      <w:r w:rsidR="00FB15F4">
        <w:rPr>
          <w:rFonts w:ascii="Book Antiqua" w:hAnsi="Book Antiqua"/>
          <w:lang w:val="es-PR"/>
        </w:rPr>
        <w:t xml:space="preserve">entiende que de la información analizada </w:t>
      </w:r>
      <w:r w:rsidRPr="00E24AD8">
        <w:rPr>
          <w:rFonts w:ascii="Book Antiqua" w:hAnsi="Book Antiqua"/>
          <w:lang w:val="es-PR"/>
        </w:rPr>
        <w:t>no surge que la medida tenga impacto fiscal sobre las finanzas municipales</w:t>
      </w:r>
      <w:r w:rsidR="006E3A97">
        <w:rPr>
          <w:rFonts w:ascii="Book Antiqua" w:hAnsi="Book Antiqua"/>
          <w:lang w:val="es-PR"/>
        </w:rPr>
        <w:t xml:space="preserve">, ni altera de </w:t>
      </w:r>
      <w:r w:rsidR="00FB15F4">
        <w:rPr>
          <w:rFonts w:ascii="Book Antiqua" w:hAnsi="Book Antiqua"/>
          <w:lang w:val="es-PR"/>
        </w:rPr>
        <w:t>al</w:t>
      </w:r>
      <w:r w:rsidR="006E3A97">
        <w:rPr>
          <w:rFonts w:ascii="Book Antiqua" w:hAnsi="Book Antiqua"/>
          <w:lang w:val="es-PR"/>
        </w:rPr>
        <w:t>guna forma el Plan Fiscal.</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0FB67B86" w14:textId="77777777" w:rsidR="00D221D7" w:rsidRDefault="00B811F4" w:rsidP="00D221D7">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6042D248" w14:textId="77777777" w:rsidR="00641072" w:rsidRDefault="00641072" w:rsidP="00D221D7">
      <w:pPr>
        <w:pStyle w:val="ColorfulList-Accent11"/>
        <w:spacing w:line="360" w:lineRule="auto"/>
        <w:ind w:left="0"/>
        <w:jc w:val="center"/>
        <w:rPr>
          <w:rFonts w:ascii="Book Antiqua" w:hAnsi="Book Antiqua"/>
          <w:b/>
          <w:color w:val="000000"/>
          <w:lang w:val="es-ES"/>
        </w:rPr>
      </w:pPr>
    </w:p>
    <w:p w14:paraId="578909B6" w14:textId="496C0281" w:rsidR="00D221D7" w:rsidRDefault="00D221D7" w:rsidP="00D221D7">
      <w:pPr>
        <w:pStyle w:val="ColorfulList-Accent11"/>
        <w:spacing w:line="360" w:lineRule="auto"/>
        <w:ind w:left="0"/>
        <w:jc w:val="both"/>
        <w:rPr>
          <w:rFonts w:ascii="Book Antiqua" w:hAnsi="Book Antiqua"/>
          <w:b/>
          <w:color w:val="000000"/>
          <w:lang w:val="es-ES"/>
        </w:rPr>
      </w:pPr>
      <w:r>
        <w:rPr>
          <w:rFonts w:ascii="Book Antiqua" w:hAnsi="Book Antiqua"/>
          <w:bCs/>
          <w:color w:val="000000"/>
          <w:lang w:val="es-PR"/>
        </w:rPr>
        <w:tab/>
      </w:r>
      <w:r w:rsidRPr="00D221D7">
        <w:rPr>
          <w:rFonts w:ascii="Book Antiqua" w:hAnsi="Book Antiqua"/>
          <w:bCs/>
          <w:color w:val="000000"/>
          <w:lang w:val="es-PR"/>
        </w:rPr>
        <w:t xml:space="preserve">Luego de evaluar el contenido y propósito del Proyecto del Senado 144, </w:t>
      </w:r>
      <w:r w:rsidR="001A6418">
        <w:rPr>
          <w:rFonts w:ascii="Book Antiqua" w:hAnsi="Book Antiqua"/>
          <w:bCs/>
          <w:color w:val="000000"/>
          <w:lang w:val="es-PR"/>
        </w:rPr>
        <w:t>esta</w:t>
      </w:r>
      <w:r w:rsidRPr="00D221D7">
        <w:rPr>
          <w:rFonts w:ascii="Book Antiqua" w:hAnsi="Book Antiqua"/>
          <w:bCs/>
          <w:color w:val="000000"/>
          <w:lang w:val="es-PR"/>
        </w:rPr>
        <w:t xml:space="preserve"> Comisión concluye que la medida constituye un paso afirmativo hacia el fortalecimiento de los mecanismos de seguridad pública en Puerto Rico. Garantizar que las alertas </w:t>
      </w:r>
      <w:r w:rsidRPr="00D221D7">
        <w:rPr>
          <w:rFonts w:ascii="Book Antiqua" w:hAnsi="Book Antiqua"/>
          <w:bCs/>
          <w:color w:val="000000"/>
          <w:lang w:val="es-PR"/>
        </w:rPr>
        <w:lastRenderedPageBreak/>
        <w:t>oficiales se mantengan visibles en los tableros de anuncios digitales por un mínimo de setenta y dos (72) horas aumenta significativamente las probabilidades de localizar personas desaparecidas, prevenir actos delictivos y facilitar la rápida intervención de las autoridades.</w:t>
      </w:r>
    </w:p>
    <w:p w14:paraId="0CF4A1A6" w14:textId="77777777" w:rsidR="00D221D7" w:rsidRDefault="00D221D7" w:rsidP="00D221D7">
      <w:pPr>
        <w:pStyle w:val="ColorfulList-Accent11"/>
        <w:spacing w:line="360" w:lineRule="auto"/>
        <w:ind w:left="0"/>
        <w:jc w:val="both"/>
        <w:rPr>
          <w:rFonts w:ascii="Book Antiqua" w:hAnsi="Book Antiqua"/>
          <w:b/>
          <w:color w:val="000000"/>
          <w:lang w:val="es-ES"/>
        </w:rPr>
      </w:pPr>
    </w:p>
    <w:p w14:paraId="12ADF745" w14:textId="432A3D6F" w:rsid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Pr="00D221D7">
        <w:rPr>
          <w:rFonts w:ascii="Book Antiqua" w:hAnsi="Book Antiqua"/>
          <w:bCs/>
          <w:color w:val="000000"/>
          <w:lang w:val="es-PR"/>
        </w:rPr>
        <w:t>La propuesta armoniza con los objetivos de política pública previamente establecidos mediante la Ley 355-1999 y sus enmiendas, incluyendo la Ley 27-2023, y complementa los esfuerzos existentes para optimizar la difusión de información crítica en situaciones de emergencia. Además, provee a la ciudadanía y a las agencias del orden público una herramienta adicional para la protección de vidas y la pronta resolución de casos urgentes.</w:t>
      </w:r>
      <w:r>
        <w:rPr>
          <w:rFonts w:ascii="Book Antiqua" w:hAnsi="Book Antiqua"/>
          <w:bCs/>
          <w:color w:val="000000"/>
          <w:lang w:val="es-PR"/>
        </w:rPr>
        <w:t xml:space="preserve"> </w:t>
      </w:r>
    </w:p>
    <w:p w14:paraId="217C6FB7" w14:textId="77777777" w:rsidR="00D375CF" w:rsidRDefault="00D375CF" w:rsidP="00D221D7">
      <w:pPr>
        <w:pStyle w:val="ColorfulList-Accent11"/>
        <w:spacing w:line="360" w:lineRule="auto"/>
        <w:ind w:left="0"/>
        <w:jc w:val="both"/>
        <w:rPr>
          <w:rFonts w:ascii="Book Antiqua" w:hAnsi="Book Antiqua"/>
          <w:bCs/>
          <w:color w:val="000000"/>
          <w:lang w:val="es-PR"/>
        </w:rPr>
      </w:pPr>
    </w:p>
    <w:p w14:paraId="6C6FCC17" w14:textId="448B2AA0" w:rsidR="00D221D7" w:rsidRP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001A6418" w:rsidRPr="00E24AD8">
        <w:rPr>
          <w:rFonts w:ascii="Book Antiqua" w:hAnsi="Book Antiqua"/>
          <w:lang w:val="es-PR"/>
        </w:rPr>
        <w:t>POR LO ANTES EXPUESTO, la Comisión de Desarrollo Económico</w:t>
      </w:r>
      <w:r w:rsidR="00DE1C0F">
        <w:rPr>
          <w:rFonts w:ascii="Book Antiqua" w:hAnsi="Book Antiqua"/>
          <w:lang w:val="es-PR"/>
        </w:rPr>
        <w:t xml:space="preserve">, junto a la Comisión de Seguridad Pública </w:t>
      </w:r>
      <w:r w:rsidR="001A6418" w:rsidRPr="00E24AD8">
        <w:rPr>
          <w:rFonts w:ascii="Book Antiqua" w:hAnsi="Book Antiqua"/>
          <w:lang w:val="es-PR"/>
        </w:rPr>
        <w:t>de la Cámara de Representantes de Puerto Rico</w:t>
      </w:r>
      <w:r w:rsidR="00DE1C0F">
        <w:rPr>
          <w:rFonts w:ascii="Book Antiqua" w:hAnsi="Book Antiqua"/>
          <w:lang w:val="es-PR"/>
        </w:rPr>
        <w:t>,</w:t>
      </w:r>
      <w:r w:rsidR="001A6418" w:rsidRPr="00E24AD8">
        <w:rPr>
          <w:rFonts w:ascii="Book Antiqua" w:hAnsi="Book Antiqua"/>
          <w:lang w:val="es-PR"/>
        </w:rPr>
        <w:t xml:space="preserve"> previo estudio y consideración, tiene</w:t>
      </w:r>
      <w:r w:rsidR="00DE1C0F">
        <w:rPr>
          <w:rFonts w:ascii="Book Antiqua" w:hAnsi="Book Antiqua"/>
          <w:lang w:val="es-PR"/>
        </w:rPr>
        <w:t>n</w:t>
      </w:r>
      <w:r w:rsidR="001A6418" w:rsidRPr="00E24AD8">
        <w:rPr>
          <w:rFonts w:ascii="Book Antiqua" w:hAnsi="Book Antiqua"/>
          <w:lang w:val="es-PR"/>
        </w:rPr>
        <w:t xml:space="preserve"> a bien presentar ante este Alto Cuerpo el </w:t>
      </w:r>
      <w:r w:rsidR="001A6418">
        <w:rPr>
          <w:rFonts w:ascii="Book Antiqua" w:hAnsi="Book Antiqua"/>
          <w:lang w:val="es-PR"/>
        </w:rPr>
        <w:t xml:space="preserve">Segundo </w:t>
      </w:r>
      <w:r w:rsidR="001A6418" w:rsidRPr="00E24AD8">
        <w:rPr>
          <w:rFonts w:ascii="Book Antiqua" w:hAnsi="Book Antiqua"/>
          <w:lang w:val="es-PR"/>
        </w:rPr>
        <w:t>Informe</w:t>
      </w:r>
      <w:r w:rsidR="002C2EE7">
        <w:rPr>
          <w:rFonts w:ascii="Book Antiqua" w:hAnsi="Book Antiqua"/>
          <w:lang w:val="es-PR"/>
        </w:rPr>
        <w:t xml:space="preserve"> Positivo</w:t>
      </w:r>
      <w:r w:rsidR="001A6418" w:rsidRPr="00E24AD8">
        <w:rPr>
          <w:rFonts w:ascii="Book Antiqua" w:hAnsi="Book Antiqua"/>
          <w:lang w:val="es-PR"/>
        </w:rPr>
        <w:t xml:space="preserve"> sobre el Proyecto de</w:t>
      </w:r>
      <w:r w:rsidR="001A6418">
        <w:rPr>
          <w:rFonts w:ascii="Book Antiqua" w:hAnsi="Book Antiqua"/>
          <w:lang w:val="es-PR"/>
        </w:rPr>
        <w:t>l Senado 144</w:t>
      </w:r>
      <w:r w:rsidR="001A6418" w:rsidRPr="00E24AD8">
        <w:rPr>
          <w:rFonts w:ascii="Book Antiqua" w:hAnsi="Book Antiqua"/>
          <w:lang w:val="es-PR"/>
        </w:rPr>
        <w:t xml:space="preserve">, recomendando su aprobación </w:t>
      </w:r>
      <w:r w:rsidR="001A6418">
        <w:rPr>
          <w:rFonts w:ascii="Book Antiqua" w:hAnsi="Book Antiqua"/>
          <w:lang w:val="es-PR"/>
        </w:rPr>
        <w:t>con las</w:t>
      </w:r>
      <w:r w:rsidR="001A6418" w:rsidRPr="00E24AD8">
        <w:rPr>
          <w:rFonts w:ascii="Book Antiqua" w:hAnsi="Book Antiqua"/>
          <w:lang w:val="es-PR"/>
        </w:rPr>
        <w:t xml:space="preserve"> enmiendas</w:t>
      </w:r>
      <w:r w:rsidR="001A6418">
        <w:rPr>
          <w:rFonts w:ascii="Book Antiqua" w:hAnsi="Book Antiqua"/>
          <w:lang w:val="es-PR"/>
        </w:rPr>
        <w:t xml:space="preserve"> realizadas que se incluyen a este en el </w:t>
      </w:r>
      <w:proofErr w:type="spellStart"/>
      <w:r w:rsidR="001A6418">
        <w:rPr>
          <w:rFonts w:ascii="Book Antiqua" w:hAnsi="Book Antiqua"/>
          <w:lang w:val="es-PR"/>
        </w:rPr>
        <w:t>Entirillado</w:t>
      </w:r>
      <w:proofErr w:type="spellEnd"/>
      <w:r w:rsidR="001A6418">
        <w:rPr>
          <w:rFonts w:ascii="Book Antiqua" w:hAnsi="Book Antiqua"/>
          <w:lang w:val="es-PR"/>
        </w:rPr>
        <w:t xml:space="preserve"> Electrónico</w:t>
      </w:r>
      <w:r w:rsidR="001A6418" w:rsidRPr="00E24AD8">
        <w:rPr>
          <w:rFonts w:ascii="Book Antiqua" w:hAnsi="Book Antiqua"/>
          <w:lang w:val="es-PR"/>
        </w:rPr>
        <w:t>.</w:t>
      </w:r>
    </w:p>
    <w:p w14:paraId="0DFCDA50" w14:textId="07C11681" w:rsidR="00CF31C5" w:rsidRPr="00E24AD8" w:rsidRDefault="00CF31C5" w:rsidP="006E3A97">
      <w:pPr>
        <w:spacing w:line="360" w:lineRule="auto"/>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Default="00B811F4" w:rsidP="00E24AD8">
      <w:pPr>
        <w:spacing w:line="360" w:lineRule="auto"/>
        <w:jc w:val="both"/>
        <w:rPr>
          <w:rFonts w:ascii="Book Antiqua" w:hAnsi="Book Antiqua"/>
          <w:lang w:val="es-PR"/>
        </w:rPr>
      </w:pPr>
    </w:p>
    <w:p w14:paraId="6583D94D" w14:textId="77777777" w:rsidR="00DE1C0F" w:rsidRPr="00E24AD8" w:rsidRDefault="00DE1C0F" w:rsidP="00E24AD8">
      <w:pPr>
        <w:spacing w:line="360" w:lineRule="auto"/>
        <w:jc w:val="both"/>
        <w:rPr>
          <w:rFonts w:ascii="Book Antiqua" w:hAnsi="Book Antiqua"/>
          <w:lang w:val="es-PR"/>
        </w:rPr>
      </w:pPr>
    </w:p>
    <w:p w14:paraId="3CBC4E40" w14:textId="3B2AF382" w:rsidR="00B811F4" w:rsidRPr="00E24AD8" w:rsidRDefault="00B811F4" w:rsidP="00DE1C0F">
      <w:pPr>
        <w:tabs>
          <w:tab w:val="left" w:pos="5835"/>
        </w:tabs>
        <w:jc w:val="both"/>
        <w:rPr>
          <w:rFonts w:ascii="Book Antiqua" w:hAnsi="Book Antiqua"/>
          <w:lang w:val="es-PR"/>
        </w:rPr>
      </w:pPr>
      <w:r w:rsidRPr="00E24AD8">
        <w:rPr>
          <w:rFonts w:ascii="Book Antiqua" w:hAnsi="Book Antiqua"/>
          <w:lang w:val="es-PR"/>
        </w:rPr>
        <w:t>Hon. Joel I. Franqui Atiles</w:t>
      </w:r>
      <w:r w:rsidR="00DE1C0F">
        <w:rPr>
          <w:rFonts w:ascii="Book Antiqua" w:hAnsi="Book Antiqua"/>
          <w:lang w:val="es-PR"/>
        </w:rPr>
        <w:tab/>
      </w:r>
    </w:p>
    <w:p w14:paraId="1F12AEBD" w14:textId="77777777" w:rsidR="00B811F4" w:rsidRPr="00E24AD8" w:rsidRDefault="00B811F4" w:rsidP="00DE1C0F">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DE1C0F">
      <w:pPr>
        <w:jc w:val="both"/>
        <w:rPr>
          <w:rFonts w:ascii="Book Antiqua" w:hAnsi="Book Antiqua"/>
          <w:lang w:val="es-PR"/>
        </w:rPr>
      </w:pPr>
      <w:r w:rsidRPr="00E24AD8">
        <w:rPr>
          <w:rFonts w:ascii="Book Antiqua" w:hAnsi="Book Antiqua"/>
          <w:lang w:val="es-PR"/>
        </w:rPr>
        <w:t>Comisión de Desarrollo Económico</w:t>
      </w:r>
    </w:p>
    <w:p w14:paraId="35B6A662" w14:textId="3B0CF324" w:rsidR="00D375CF" w:rsidRDefault="00D375CF" w:rsidP="00DE1C0F">
      <w:pPr>
        <w:jc w:val="both"/>
        <w:rPr>
          <w:rFonts w:ascii="Book Antiqua" w:hAnsi="Book Antiqua"/>
          <w:lang w:val="es-PR"/>
        </w:rPr>
      </w:pPr>
      <w:r>
        <w:rPr>
          <w:rFonts w:ascii="Book Antiqua" w:hAnsi="Book Antiqua"/>
          <w:lang w:val="es-PR"/>
        </w:rPr>
        <w:t>C</w:t>
      </w:r>
      <w:r w:rsidR="00641072">
        <w:rPr>
          <w:rFonts w:ascii="Book Antiqua" w:hAnsi="Book Antiqua"/>
          <w:lang w:val="es-PR"/>
        </w:rPr>
        <w:t>á</w:t>
      </w:r>
      <w:r>
        <w:rPr>
          <w:rFonts w:ascii="Book Antiqua" w:hAnsi="Book Antiqua"/>
          <w:lang w:val="es-PR"/>
        </w:rPr>
        <w:t>mara de Representantes de Puerto Rico</w:t>
      </w:r>
    </w:p>
    <w:p w14:paraId="457D0100" w14:textId="77777777" w:rsidR="00DE1C0F" w:rsidRDefault="00DE1C0F" w:rsidP="00DE1C0F">
      <w:pPr>
        <w:jc w:val="both"/>
        <w:rPr>
          <w:rFonts w:ascii="Book Antiqua" w:hAnsi="Book Antiqua"/>
          <w:lang w:val="es-PR"/>
        </w:rPr>
      </w:pPr>
    </w:p>
    <w:p w14:paraId="186037AC" w14:textId="77777777" w:rsidR="00DE1C0F" w:rsidRDefault="00DE1C0F" w:rsidP="00DE1C0F">
      <w:pPr>
        <w:jc w:val="both"/>
        <w:rPr>
          <w:rFonts w:ascii="Book Antiqua" w:hAnsi="Book Antiqua"/>
          <w:lang w:val="es-PR"/>
        </w:rPr>
      </w:pPr>
    </w:p>
    <w:p w14:paraId="4DEABE9A" w14:textId="77777777" w:rsidR="00DE1C0F" w:rsidRDefault="00DE1C0F" w:rsidP="00DE1C0F">
      <w:pPr>
        <w:spacing w:line="360" w:lineRule="auto"/>
        <w:jc w:val="both"/>
        <w:rPr>
          <w:rFonts w:ascii="Book Antiqua" w:hAnsi="Book Antiqua"/>
          <w:lang w:val="es-PR"/>
        </w:rPr>
      </w:pPr>
    </w:p>
    <w:p w14:paraId="426702FD" w14:textId="5A946EC4" w:rsidR="00DE1C0F" w:rsidRPr="00E24AD8" w:rsidRDefault="00DE1C0F" w:rsidP="00DE1C0F">
      <w:pPr>
        <w:tabs>
          <w:tab w:val="left" w:pos="5835"/>
        </w:tabs>
        <w:jc w:val="both"/>
        <w:rPr>
          <w:rFonts w:ascii="Book Antiqua" w:hAnsi="Book Antiqua"/>
          <w:lang w:val="es-PR"/>
        </w:rPr>
      </w:pPr>
      <w:r w:rsidRPr="00E24AD8">
        <w:rPr>
          <w:rFonts w:ascii="Book Antiqua" w:hAnsi="Book Antiqua"/>
          <w:lang w:val="es-PR"/>
        </w:rPr>
        <w:t xml:space="preserve">Hon. </w:t>
      </w:r>
      <w:proofErr w:type="spellStart"/>
      <w:r>
        <w:rPr>
          <w:rFonts w:ascii="Book Antiqua" w:hAnsi="Book Antiqua"/>
          <w:lang w:val="es-PR"/>
        </w:rPr>
        <w:t>Felix</w:t>
      </w:r>
      <w:proofErr w:type="spellEnd"/>
      <w:r>
        <w:rPr>
          <w:rFonts w:ascii="Book Antiqua" w:hAnsi="Book Antiqua"/>
          <w:lang w:val="es-PR"/>
        </w:rPr>
        <w:t xml:space="preserve"> E. Pacheco Burgos</w:t>
      </w:r>
      <w:r>
        <w:rPr>
          <w:rFonts w:ascii="Book Antiqua" w:hAnsi="Book Antiqua"/>
          <w:lang w:val="es-PR"/>
        </w:rPr>
        <w:tab/>
      </w:r>
    </w:p>
    <w:p w14:paraId="04EA7D01" w14:textId="77777777" w:rsidR="00DE1C0F" w:rsidRPr="00E24AD8" w:rsidRDefault="00DE1C0F" w:rsidP="00DE1C0F">
      <w:pPr>
        <w:jc w:val="both"/>
        <w:rPr>
          <w:rFonts w:ascii="Book Antiqua" w:hAnsi="Book Antiqua"/>
          <w:lang w:val="es-PR"/>
        </w:rPr>
      </w:pPr>
      <w:r w:rsidRPr="00E24AD8">
        <w:rPr>
          <w:rFonts w:ascii="Book Antiqua" w:hAnsi="Book Antiqua"/>
          <w:lang w:val="es-PR"/>
        </w:rPr>
        <w:t>Presidente</w:t>
      </w:r>
    </w:p>
    <w:p w14:paraId="32CA41B7" w14:textId="013EEFC9" w:rsidR="00DE1C0F" w:rsidRDefault="00DE1C0F" w:rsidP="00DE1C0F">
      <w:pPr>
        <w:jc w:val="both"/>
        <w:rPr>
          <w:rFonts w:ascii="Book Antiqua" w:hAnsi="Book Antiqua"/>
          <w:lang w:val="es-PR"/>
        </w:rPr>
      </w:pPr>
      <w:r w:rsidRPr="00E24AD8">
        <w:rPr>
          <w:rFonts w:ascii="Book Antiqua" w:hAnsi="Book Antiqua"/>
          <w:lang w:val="es-PR"/>
        </w:rPr>
        <w:t xml:space="preserve">Comisión de </w:t>
      </w:r>
      <w:r>
        <w:rPr>
          <w:rFonts w:ascii="Book Antiqua" w:hAnsi="Book Antiqua"/>
          <w:lang w:val="es-PR"/>
        </w:rPr>
        <w:t>Seguridad Pública</w:t>
      </w:r>
    </w:p>
    <w:p w14:paraId="6F976046" w14:textId="0E345045" w:rsidR="00DE1C0F" w:rsidRPr="00D375CF" w:rsidRDefault="00DE1C0F" w:rsidP="00DE1C0F">
      <w:pPr>
        <w:jc w:val="both"/>
        <w:rPr>
          <w:rFonts w:ascii="Book Antiqua" w:hAnsi="Book Antiqua"/>
          <w:lang w:val="es-PR"/>
        </w:rPr>
      </w:pPr>
      <w:r>
        <w:rPr>
          <w:rFonts w:ascii="Book Antiqua" w:hAnsi="Book Antiqua"/>
          <w:lang w:val="es-PR"/>
        </w:rPr>
        <w:t>Cámara de Representantes de Puerto Rico</w:t>
      </w:r>
    </w:p>
    <w:sectPr w:rsidR="00DE1C0F" w:rsidRPr="00D375CF"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FB867" w14:textId="77777777" w:rsidR="00225537" w:rsidRDefault="00225537" w:rsidP="002F7B2E">
      <w:r>
        <w:separator/>
      </w:r>
    </w:p>
  </w:endnote>
  <w:endnote w:type="continuationSeparator" w:id="0">
    <w:p w14:paraId="3593F1E0" w14:textId="77777777" w:rsidR="00225537" w:rsidRDefault="00225537"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86310" w14:textId="77777777" w:rsidR="00225537" w:rsidRDefault="00225537" w:rsidP="002F7B2E">
      <w:r>
        <w:separator/>
      </w:r>
    </w:p>
  </w:footnote>
  <w:footnote w:type="continuationSeparator" w:id="0">
    <w:p w14:paraId="4678FF57" w14:textId="77777777" w:rsidR="00225537" w:rsidRDefault="00225537"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27F8587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6E3A97">
      <w:rPr>
        <w:rFonts w:ascii="Book Antiqua" w:hAnsi="Book Antiqua"/>
        <w:b/>
        <w:i/>
        <w:color w:val="7F7F7F"/>
        <w:spacing w:val="60"/>
        <w:lang w:val="es-PR"/>
      </w:rPr>
      <w:t>44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45B7B"/>
    <w:rsid w:val="00053FA5"/>
    <w:rsid w:val="000541FB"/>
    <w:rsid w:val="00055DA5"/>
    <w:rsid w:val="000C4037"/>
    <w:rsid w:val="000C4E98"/>
    <w:rsid w:val="000D27F4"/>
    <w:rsid w:val="001013F2"/>
    <w:rsid w:val="0014096F"/>
    <w:rsid w:val="00175115"/>
    <w:rsid w:val="001A6418"/>
    <w:rsid w:val="001B38B9"/>
    <w:rsid w:val="001C0BE5"/>
    <w:rsid w:val="001D000E"/>
    <w:rsid w:val="00225537"/>
    <w:rsid w:val="0022735F"/>
    <w:rsid w:val="00262741"/>
    <w:rsid w:val="00290354"/>
    <w:rsid w:val="002A0EDE"/>
    <w:rsid w:val="002C2EE7"/>
    <w:rsid w:val="002F7B2E"/>
    <w:rsid w:val="003049CD"/>
    <w:rsid w:val="00307DF9"/>
    <w:rsid w:val="003134C2"/>
    <w:rsid w:val="00346F29"/>
    <w:rsid w:val="00371060"/>
    <w:rsid w:val="003A0E91"/>
    <w:rsid w:val="00407EF3"/>
    <w:rsid w:val="004669B7"/>
    <w:rsid w:val="0047123F"/>
    <w:rsid w:val="004D7C9A"/>
    <w:rsid w:val="00515DB5"/>
    <w:rsid w:val="005169D0"/>
    <w:rsid w:val="00517E09"/>
    <w:rsid w:val="005236C2"/>
    <w:rsid w:val="00576234"/>
    <w:rsid w:val="005C06BC"/>
    <w:rsid w:val="00641072"/>
    <w:rsid w:val="00661426"/>
    <w:rsid w:val="006D3BB6"/>
    <w:rsid w:val="006E3A97"/>
    <w:rsid w:val="007176EB"/>
    <w:rsid w:val="007934BD"/>
    <w:rsid w:val="007B3C36"/>
    <w:rsid w:val="007D6D6E"/>
    <w:rsid w:val="007E0E47"/>
    <w:rsid w:val="00805F10"/>
    <w:rsid w:val="0082112D"/>
    <w:rsid w:val="00880BDB"/>
    <w:rsid w:val="00897B3A"/>
    <w:rsid w:val="008B48B3"/>
    <w:rsid w:val="009166FB"/>
    <w:rsid w:val="00940D90"/>
    <w:rsid w:val="00952F7F"/>
    <w:rsid w:val="009921CF"/>
    <w:rsid w:val="009A246A"/>
    <w:rsid w:val="009A3EBA"/>
    <w:rsid w:val="00A05221"/>
    <w:rsid w:val="00A10863"/>
    <w:rsid w:val="00A41002"/>
    <w:rsid w:val="00A547B8"/>
    <w:rsid w:val="00A62074"/>
    <w:rsid w:val="00AB4ADB"/>
    <w:rsid w:val="00AB66D5"/>
    <w:rsid w:val="00B07897"/>
    <w:rsid w:val="00B111FE"/>
    <w:rsid w:val="00B36364"/>
    <w:rsid w:val="00B811F4"/>
    <w:rsid w:val="00BE5AAE"/>
    <w:rsid w:val="00C676A0"/>
    <w:rsid w:val="00C766EC"/>
    <w:rsid w:val="00C839DF"/>
    <w:rsid w:val="00CD105B"/>
    <w:rsid w:val="00CD7719"/>
    <w:rsid w:val="00CE12EE"/>
    <w:rsid w:val="00CF1A87"/>
    <w:rsid w:val="00CF31C5"/>
    <w:rsid w:val="00D221D7"/>
    <w:rsid w:val="00D375CF"/>
    <w:rsid w:val="00D55894"/>
    <w:rsid w:val="00DE1C0F"/>
    <w:rsid w:val="00DE6202"/>
    <w:rsid w:val="00E24AD8"/>
    <w:rsid w:val="00E40E2E"/>
    <w:rsid w:val="00E90810"/>
    <w:rsid w:val="00E92A85"/>
    <w:rsid w:val="00EC2662"/>
    <w:rsid w:val="00ED074A"/>
    <w:rsid w:val="00ED7CBD"/>
    <w:rsid w:val="00F03D3F"/>
    <w:rsid w:val="00F90F2E"/>
    <w:rsid w:val="00FB15F4"/>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4745</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2026-04-23T18:25:00Z</cp:lastPrinted>
  <dcterms:created xsi:type="dcterms:W3CDTF">2026-04-23T19:30:00Z</dcterms:created>
  <dcterms:modified xsi:type="dcterms:W3CDTF">2026-04-23T19:30:00Z</dcterms:modified>
</cp:coreProperties>
</file>