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0F16D79F" w:rsidR="001A4A89" w:rsidRPr="00AC627E" w:rsidRDefault="00C07B92" w:rsidP="00B76F7C">
      <w:pPr>
        <w:ind w:firstLine="720"/>
        <w:jc w:val="center"/>
        <w:rPr>
          <w:rFonts w:ascii="Book Antiqua" w:hAnsi="Book Antiqua"/>
          <w:b/>
          <w:sz w:val="52"/>
          <w:lang w:val="es-ES"/>
        </w:rPr>
      </w:pPr>
      <w:r>
        <w:rPr>
          <w:rFonts w:ascii="Book Antiqua" w:hAnsi="Book Antiqua"/>
          <w:b/>
          <w:sz w:val="52"/>
          <w:lang w:val="es-ES"/>
        </w:rPr>
        <w:t>P. de</w:t>
      </w:r>
      <w:r w:rsidR="00796275">
        <w:rPr>
          <w:rFonts w:ascii="Book Antiqua" w:hAnsi="Book Antiqua"/>
          <w:b/>
          <w:sz w:val="52"/>
          <w:lang w:val="es-ES"/>
        </w:rPr>
        <w:t xml:space="preserve">l S. </w:t>
      </w:r>
      <w:r w:rsidR="00335908">
        <w:rPr>
          <w:rFonts w:ascii="Book Antiqua" w:hAnsi="Book Antiqua"/>
          <w:b/>
          <w:sz w:val="52"/>
          <w:lang w:val="es-ES"/>
        </w:rPr>
        <w:t>146</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766848EC"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EB44FA" w:rsidRPr="00D75FBB">
        <w:rPr>
          <w:rFonts w:ascii="Book Antiqua" w:hAnsi="Book Antiqua"/>
          <w:b/>
          <w:sz w:val="28"/>
          <w:lang w:val="es-ES"/>
        </w:rPr>
        <w:t>POSITIVO</w:t>
      </w:r>
    </w:p>
    <w:p w14:paraId="7E659FF4" w14:textId="29A0CEC5" w:rsidR="00D71003" w:rsidRPr="00160853" w:rsidRDefault="00E80527"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9</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502D87">
        <w:rPr>
          <w:rFonts w:ascii="Book Antiqua" w:hAnsi="Book Antiqua"/>
          <w:color w:val="000000" w:themeColor="text1"/>
          <w:sz w:val="22"/>
          <w:szCs w:val="18"/>
          <w:lang w:val="es-PR"/>
        </w:rPr>
        <w:t>ABRIL</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04A45A10" w:rsidR="00F70E67" w:rsidRPr="00C1650E" w:rsidRDefault="00F70E67" w:rsidP="00F70E67">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sidR="00815223">
        <w:rPr>
          <w:rFonts w:ascii="Book Antiqua" w:hAnsi="Book Antiqua"/>
          <w:lang w:val="es-PR"/>
        </w:rPr>
        <w:t xml:space="preserve"> de la Cámara de Representantes</w:t>
      </w:r>
      <w:r w:rsidRPr="00C1650E">
        <w:rPr>
          <w:rFonts w:ascii="Book Antiqua" w:hAnsi="Book Antiqua"/>
          <w:lang w:val="es-PR"/>
        </w:rPr>
        <w:t>, tras un exhaustivo análisis y evaluación, recomienda respetuosamente a este Honorable Cuerpo Legislativo la aprobación de</w:t>
      </w:r>
      <w:r w:rsidR="00C07B92">
        <w:rPr>
          <w:rFonts w:ascii="Book Antiqua" w:hAnsi="Book Antiqua"/>
          <w:lang w:val="es-PR"/>
        </w:rPr>
        <w:t>l Proyecto d</w:t>
      </w:r>
      <w:r w:rsidR="00796275">
        <w:rPr>
          <w:rFonts w:ascii="Book Antiqua" w:hAnsi="Book Antiqua"/>
          <w:lang w:val="es-PR"/>
        </w:rPr>
        <w:t>el Senado</w:t>
      </w:r>
      <w:r w:rsidR="000255DE">
        <w:rPr>
          <w:rFonts w:ascii="Book Antiqua" w:hAnsi="Book Antiqua"/>
          <w:lang w:val="es-PR"/>
        </w:rPr>
        <w:t xml:space="preserve"> </w:t>
      </w:r>
      <w:r w:rsidR="00335908">
        <w:rPr>
          <w:rFonts w:ascii="Book Antiqua" w:hAnsi="Book Antiqua"/>
          <w:lang w:val="es-PR"/>
        </w:rPr>
        <w:t>146</w:t>
      </w:r>
      <w:r w:rsidR="000255DE">
        <w:rPr>
          <w:rFonts w:ascii="Book Antiqua" w:hAnsi="Book Antiqua"/>
          <w:lang w:val="es-PR"/>
        </w:rPr>
        <w:t xml:space="preserve"> </w:t>
      </w:r>
      <w:r w:rsidRPr="00C1650E">
        <w:rPr>
          <w:rFonts w:ascii="Book Antiqua" w:hAnsi="Book Antiqua"/>
          <w:lang w:val="es-PR"/>
        </w:rPr>
        <w:t xml:space="preserve">(en adelante, </w:t>
      </w:r>
      <w:r w:rsidR="00C07B92">
        <w:rPr>
          <w:rFonts w:ascii="Book Antiqua" w:hAnsi="Book Antiqua"/>
          <w:lang w:val="es-PR"/>
        </w:rPr>
        <w:t>P. de</w:t>
      </w:r>
      <w:r w:rsidR="00796275">
        <w:rPr>
          <w:rFonts w:ascii="Book Antiqua" w:hAnsi="Book Antiqua"/>
          <w:lang w:val="es-PR"/>
        </w:rPr>
        <w:t xml:space="preserve">l S. </w:t>
      </w:r>
      <w:r w:rsidR="00335908">
        <w:rPr>
          <w:rFonts w:ascii="Book Antiqua" w:hAnsi="Book Antiqua"/>
          <w:lang w:val="es-PR"/>
        </w:rPr>
        <w:t>14</w:t>
      </w:r>
      <w:r w:rsidR="00F21E1E">
        <w:rPr>
          <w:rFonts w:ascii="Book Antiqua" w:hAnsi="Book Antiqua"/>
          <w:lang w:val="es-PR"/>
        </w:rPr>
        <w:t>6</w:t>
      </w:r>
      <w:r w:rsidRPr="00C1650E">
        <w:rPr>
          <w:rFonts w:ascii="Book Antiqua" w:hAnsi="Book Antiqua"/>
          <w:lang w:val="es-PR"/>
        </w:rPr>
        <w:t xml:space="preserve">), mediante el presente Informe Positivo </w:t>
      </w:r>
      <w:r w:rsidRPr="000255DE">
        <w:rPr>
          <w:rFonts w:ascii="Book Antiqua" w:hAnsi="Book Antiqua"/>
          <w:color w:val="000000" w:themeColor="text1"/>
          <w:lang w:val="es-PR"/>
        </w:rPr>
        <w:t xml:space="preserve">incorporando las enmiendas sugeridas al contenido, que se detallan en el </w:t>
      </w:r>
      <w:proofErr w:type="spellStart"/>
      <w:r w:rsidRPr="000255DE">
        <w:rPr>
          <w:rFonts w:ascii="Book Antiqua" w:hAnsi="Book Antiqua"/>
          <w:color w:val="000000" w:themeColor="text1"/>
          <w:lang w:val="es-PR"/>
        </w:rPr>
        <w:t>entirillado</w:t>
      </w:r>
      <w:proofErr w:type="spellEnd"/>
      <w:r w:rsidRPr="000255DE">
        <w:rPr>
          <w:rFonts w:ascii="Book Antiqua" w:hAnsi="Book Antiqua"/>
          <w:color w:val="000000" w:themeColor="text1"/>
          <w:lang w:val="es-PR"/>
        </w:rPr>
        <w:t xml:space="preserve"> electrónico que se acompaña.</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26C62843" w14:textId="0077EADB" w:rsidR="00364902" w:rsidRDefault="00C07B92" w:rsidP="00335908">
      <w:pPr>
        <w:ind w:firstLine="720"/>
        <w:jc w:val="both"/>
        <w:rPr>
          <w:rFonts w:ascii="Book Antiqua" w:hAnsi="Book Antiqua"/>
          <w:szCs w:val="24"/>
          <w:lang w:val="es-PR"/>
        </w:rPr>
      </w:pPr>
      <w:r>
        <w:rPr>
          <w:rFonts w:ascii="Book Antiqua" w:hAnsi="Book Antiqua"/>
          <w:szCs w:val="24"/>
          <w:lang w:val="es-ES_tradnl"/>
        </w:rPr>
        <w:t>El P. de</w:t>
      </w:r>
      <w:r w:rsidR="00796275">
        <w:rPr>
          <w:rFonts w:ascii="Book Antiqua" w:hAnsi="Book Antiqua"/>
          <w:szCs w:val="24"/>
          <w:lang w:val="es-ES_tradnl"/>
        </w:rPr>
        <w:t xml:space="preserve">l S. </w:t>
      </w:r>
      <w:r w:rsidR="00335908">
        <w:rPr>
          <w:rFonts w:ascii="Book Antiqua" w:hAnsi="Book Antiqua"/>
          <w:szCs w:val="24"/>
          <w:lang w:val="es-ES_tradnl"/>
        </w:rPr>
        <w:t>14</w:t>
      </w:r>
      <w:r w:rsidR="00F21E1E">
        <w:rPr>
          <w:rFonts w:ascii="Book Antiqua" w:hAnsi="Book Antiqua"/>
          <w:szCs w:val="24"/>
          <w:lang w:val="es-ES_tradnl"/>
        </w:rPr>
        <w:t>6</w:t>
      </w:r>
      <w:r w:rsidR="00796275">
        <w:rPr>
          <w:rFonts w:ascii="Book Antiqua" w:hAnsi="Book Antiqua"/>
          <w:szCs w:val="24"/>
          <w:lang w:val="es-ES_tradnl"/>
        </w:rPr>
        <w:t xml:space="preserve"> </w:t>
      </w:r>
      <w:r w:rsidR="002C1204" w:rsidRPr="00C1650E">
        <w:rPr>
          <w:rFonts w:ascii="Book Antiqua" w:hAnsi="Book Antiqua"/>
          <w:szCs w:val="24"/>
          <w:lang w:val="es-PR"/>
        </w:rPr>
        <w:t xml:space="preserve">tiene como </w:t>
      </w:r>
      <w:r w:rsidR="00F21E1E">
        <w:rPr>
          <w:rFonts w:ascii="Book Antiqua" w:hAnsi="Book Antiqua"/>
          <w:szCs w:val="24"/>
          <w:lang w:val="es-PR"/>
        </w:rPr>
        <w:t>propósito</w:t>
      </w:r>
      <w:r w:rsidR="001B3C3A">
        <w:rPr>
          <w:rFonts w:ascii="Book Antiqua" w:hAnsi="Book Antiqua"/>
          <w:szCs w:val="24"/>
          <w:lang w:val="es-PR"/>
        </w:rPr>
        <w:t xml:space="preserve"> </w:t>
      </w:r>
      <w:r w:rsidR="00335908" w:rsidRPr="00335908">
        <w:rPr>
          <w:rFonts w:ascii="Book Antiqua" w:hAnsi="Book Antiqua"/>
          <w:szCs w:val="24"/>
          <w:lang w:val="es-PR"/>
        </w:rPr>
        <w:t xml:space="preserve">añadir un nuevo </w:t>
      </w:r>
      <w:proofErr w:type="spellStart"/>
      <w:r w:rsidR="00335908" w:rsidRPr="00335908">
        <w:rPr>
          <w:rFonts w:ascii="Book Antiqua" w:hAnsi="Book Antiqua"/>
          <w:szCs w:val="24"/>
          <w:lang w:val="es-PR"/>
        </w:rPr>
        <w:t>sub-inciso</w:t>
      </w:r>
      <w:proofErr w:type="spellEnd"/>
      <w:r w:rsidR="00335908" w:rsidRPr="00335908">
        <w:rPr>
          <w:rFonts w:ascii="Book Antiqua" w:hAnsi="Book Antiqua"/>
          <w:szCs w:val="24"/>
          <w:lang w:val="es-PR"/>
        </w:rPr>
        <w:t xml:space="preserve"> 69 al inciso (b) del Artículo 2.04 de la Ley 85-2018, según enmendada, conocida como “Ley de Reforma Educativa de Puerto Rico”, a los fines de imponer la obligación al Secretario de Educación de incluir en el currículo del Programa de Salud Escolar actividades escolares, proyectos y módulos que les orienten con respecto a las condiciones de salud o trastornos del desarrollo que podrían afectar su aprendizaje, como lo son las enfermedades crónicas, entre otras.</w:t>
      </w:r>
    </w:p>
    <w:p w14:paraId="381E1C7C" w14:textId="4A757FF1" w:rsidR="00335908" w:rsidRPr="00C06100" w:rsidRDefault="00C06100" w:rsidP="00C06100">
      <w:pPr>
        <w:ind w:firstLine="720"/>
        <w:jc w:val="center"/>
        <w:rPr>
          <w:rFonts w:ascii="Book Antiqua" w:hAnsi="Book Antiqua"/>
          <w:b/>
          <w:bCs/>
          <w:szCs w:val="24"/>
          <w:lang w:val="es-PR"/>
        </w:rPr>
      </w:pPr>
      <w:r w:rsidRPr="00C06100">
        <w:rPr>
          <w:rFonts w:ascii="Book Antiqua" w:hAnsi="Book Antiqua"/>
          <w:b/>
          <w:bCs/>
          <w:szCs w:val="24"/>
          <w:lang w:val="es-PR"/>
        </w:rPr>
        <w:t>INTRODUCCI</w:t>
      </w:r>
      <w:r>
        <w:rPr>
          <w:rFonts w:ascii="Book Antiqua" w:hAnsi="Book Antiqua"/>
          <w:b/>
          <w:bCs/>
          <w:szCs w:val="24"/>
          <w:lang w:val="es-PR"/>
        </w:rPr>
        <w:t>Ó</w:t>
      </w:r>
      <w:r w:rsidRPr="00C06100">
        <w:rPr>
          <w:rFonts w:ascii="Book Antiqua" w:hAnsi="Book Antiqua"/>
          <w:b/>
          <w:bCs/>
          <w:szCs w:val="24"/>
          <w:lang w:val="es-PR"/>
        </w:rPr>
        <w:t>N</w:t>
      </w:r>
    </w:p>
    <w:p w14:paraId="5140BA96" w14:textId="77777777" w:rsidR="00E82EED" w:rsidRDefault="00E82EED" w:rsidP="00E82EED">
      <w:pPr>
        <w:spacing w:before="100" w:beforeAutospacing="1" w:after="100" w:afterAutospacing="1"/>
        <w:ind w:firstLine="720"/>
        <w:jc w:val="both"/>
        <w:rPr>
          <w:rFonts w:ascii="Book Antiqua" w:hAnsi="Book Antiqua"/>
          <w:szCs w:val="24"/>
          <w:lang w:val="es-PR"/>
        </w:rPr>
      </w:pPr>
      <w:r w:rsidRPr="00E82EED">
        <w:rPr>
          <w:rFonts w:ascii="Book Antiqua" w:hAnsi="Book Antiqua"/>
          <w:szCs w:val="24"/>
          <w:lang w:val="es-PR"/>
        </w:rPr>
        <w:t xml:space="preserve">La Exposición de Motivos de esta medida legislativa reconoce que las enfermedades crónicas constituyen un desafío significativo para la salud pública, debido a su naturaleza prolongada y al impacto que generan en la vida cotidiana de quienes las padecen. Aunque tradicionalmente se han asociado con la población adulta, cada vez es más evidente que también afectan a niños y jóvenes, incidiendo en su desarrollo, su desempeño académico y su integración en la comunidad escolar. A pesar de los avances en el campo de la salud, persiste en nuestra sociedad un nivel insuficiente de </w:t>
      </w:r>
      <w:r w:rsidRPr="00E82EED">
        <w:rPr>
          <w:rFonts w:ascii="Book Antiqua" w:hAnsi="Book Antiqua"/>
          <w:szCs w:val="24"/>
          <w:lang w:val="es-PR"/>
        </w:rPr>
        <w:lastRenderedPageBreak/>
        <w:t>conocimiento sobre las causas, manifestaciones y tratamientos de estas condiciones. Esta falta de información fomenta la estigmatización y crea barreras dentro del entorno escolar, afectando tanto al estudiantado que vive con estas condiciones como a sus pares, quienes no cuentan con las herramientas necesarias para comprenderlas y manejarlas adecuadamente. La educación temprana sobre las enfermedades crónicas promueve la empatía, facilita la inclusión y prepara a los estudiantes para enfrentar situaciones relacionadas con estas condiciones en sus vidas personales y comunitarias.</w:t>
      </w:r>
    </w:p>
    <w:p w14:paraId="5B4168E9" w14:textId="77777777" w:rsidR="00E82EED" w:rsidRDefault="00E82EED" w:rsidP="00E82EED">
      <w:pPr>
        <w:spacing w:before="100" w:beforeAutospacing="1" w:after="100" w:afterAutospacing="1"/>
        <w:ind w:firstLine="720"/>
        <w:jc w:val="both"/>
        <w:rPr>
          <w:rFonts w:ascii="Book Antiqua" w:hAnsi="Book Antiqua"/>
          <w:szCs w:val="24"/>
          <w:lang w:val="es-PR"/>
        </w:rPr>
      </w:pPr>
      <w:r w:rsidRPr="00E82EED">
        <w:rPr>
          <w:rFonts w:ascii="Book Antiqua" w:hAnsi="Book Antiqua"/>
          <w:szCs w:val="24"/>
          <w:lang w:val="es-PR"/>
        </w:rPr>
        <w:t>Reconociendo que la escuela constituye un espacio esencial para la formación integral de los ciudadanos, resulta imperativo que el Departamento de Educación integre formalmente en el currículo escolar módulos educativos orientados a proveer información precisa y actualizada sobre las enfermedades crónicas. Estos esfuerzos deben promover actitudes de apoyo, aceptación e inclusión, y contribuir a un ambiente escolar más comprensivo y equitativo. Para asegurar la pertinencia y efectividad del contenido, se recomienda establecer alianzas estratégicas con el Departamento de Salud y con organizaciones especializadas en la materia.</w:t>
      </w:r>
    </w:p>
    <w:p w14:paraId="79D37594" w14:textId="11BEAEB7" w:rsidR="00E82EED" w:rsidRPr="00E82EED" w:rsidRDefault="00E82EED" w:rsidP="00E82EED">
      <w:pPr>
        <w:spacing w:before="100" w:beforeAutospacing="1" w:after="100" w:afterAutospacing="1"/>
        <w:ind w:firstLine="720"/>
        <w:jc w:val="both"/>
        <w:rPr>
          <w:rFonts w:ascii="Book Antiqua" w:hAnsi="Book Antiqua"/>
          <w:szCs w:val="24"/>
          <w:lang w:val="es-PR"/>
        </w:rPr>
      </w:pPr>
      <w:r w:rsidRPr="00E82EED">
        <w:rPr>
          <w:rFonts w:ascii="Book Antiqua" w:hAnsi="Book Antiqua"/>
          <w:szCs w:val="24"/>
          <w:lang w:val="es-PR"/>
        </w:rPr>
        <w:t xml:space="preserve">Esta Asamblea Legislativa reconoce que la incorporación de estas iniciativas al Programa de Salud Escolar fomentará la conciencia social, la responsabilidad cívica y el desarrollo de ciudadanos empáticos y mejor preparados para los retos del mundo contemporáneo. En consecuencia, se establece la necesidad de que el </w:t>
      </w:r>
      <w:proofErr w:type="gramStart"/>
      <w:r w:rsidRPr="00E82EED">
        <w:rPr>
          <w:rFonts w:ascii="Book Antiqua" w:hAnsi="Book Antiqua"/>
          <w:szCs w:val="24"/>
          <w:lang w:val="es-PR"/>
        </w:rPr>
        <w:t>Secretario</w:t>
      </w:r>
      <w:proofErr w:type="gramEnd"/>
      <w:r w:rsidRPr="00E82EED">
        <w:rPr>
          <w:rFonts w:ascii="Book Antiqua" w:hAnsi="Book Antiqua"/>
          <w:szCs w:val="24"/>
          <w:lang w:val="es-PR"/>
        </w:rPr>
        <w:t xml:space="preserve"> de Educación implemente actividades, proyectos y módulos educativos dirigidos a orientar al estudiantado sobre las enfermedades crónicas y sus implicaciones en la vida diaria.</w:t>
      </w:r>
    </w:p>
    <w:p w14:paraId="6D6403C5" w14:textId="2C730579"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045BAE30" w14:textId="098A010A" w:rsidR="00ED70B9" w:rsidRPr="00ED70B9" w:rsidRDefault="004E4E62" w:rsidP="00ED70B9">
      <w:pPr>
        <w:spacing w:before="100" w:beforeAutospacing="1" w:after="100" w:afterAutospacing="1"/>
        <w:jc w:val="both"/>
        <w:rPr>
          <w:rFonts w:ascii="Book Antiqua" w:hAnsi="Book Antiqua"/>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ED70B9" w:rsidRPr="00ED70B9">
        <w:rPr>
          <w:rFonts w:ascii="Book Antiqua" w:hAnsi="Book Antiqua"/>
          <w:lang w:val="es-PR"/>
        </w:rPr>
        <w:t>El P. del S. 146 fue referido a la Comisión de Educación de la Cámara de Representantes. Para la evaluación y análisis de la medida, se solicitaron memoriales explicativos al Departamento de Educación de Puerto Rico y a la Sociedad Americana contra el Cáncer.</w:t>
      </w:r>
    </w:p>
    <w:p w14:paraId="4C362255" w14:textId="77777777" w:rsidR="00ED70B9" w:rsidRPr="00ED70B9" w:rsidRDefault="00ED70B9" w:rsidP="00370984">
      <w:pPr>
        <w:spacing w:before="100" w:beforeAutospacing="1" w:after="100" w:afterAutospacing="1"/>
        <w:ind w:firstLine="720"/>
        <w:jc w:val="both"/>
        <w:rPr>
          <w:rFonts w:ascii="Book Antiqua" w:hAnsi="Book Antiqua"/>
          <w:szCs w:val="24"/>
          <w:lang w:val="es-PR"/>
        </w:rPr>
      </w:pPr>
      <w:r w:rsidRPr="00ED70B9">
        <w:rPr>
          <w:rFonts w:ascii="Book Antiqua" w:hAnsi="Book Antiqua"/>
          <w:szCs w:val="24"/>
          <w:lang w:val="es-PR"/>
        </w:rPr>
        <w:t>En cumplimiento de nuestra responsabilidad legislativa y con el propósito de contar con el insumo necesario, los memoriales recibidos fueron debidamente evaluados y analizados para la redacción del presente informe. A continuación, se presenta un resumen detallado de los comentarios provistos por las entidades gubernamentales antes mencionadas.</w:t>
      </w:r>
    </w:p>
    <w:p w14:paraId="2EA11240" w14:textId="53CFE7E0" w:rsidR="000D2A12" w:rsidRPr="000D2A12" w:rsidRDefault="000D2A12" w:rsidP="00F03B1B">
      <w:pPr>
        <w:spacing w:before="100" w:beforeAutospacing="1" w:after="100" w:afterAutospacing="1"/>
        <w:jc w:val="center"/>
        <w:rPr>
          <w:rFonts w:ascii="Book Antiqua" w:hAnsi="Book Antiqua"/>
          <w:b/>
          <w:bCs/>
          <w:color w:val="000000" w:themeColor="text1"/>
          <w:szCs w:val="24"/>
          <w:lang w:val="es-PR"/>
        </w:rPr>
      </w:pPr>
      <w:r w:rsidRPr="000D2A12">
        <w:rPr>
          <w:rFonts w:ascii="Book Antiqua" w:hAnsi="Book Antiqua"/>
          <w:b/>
          <w:bCs/>
          <w:color w:val="000000" w:themeColor="text1"/>
          <w:szCs w:val="24"/>
          <w:lang w:val="es-PR"/>
        </w:rPr>
        <w:t>DEPARTAMENTO DE EDUCACION DE PUERTO RICO</w:t>
      </w:r>
    </w:p>
    <w:p w14:paraId="2BEA40D1" w14:textId="77777777" w:rsidR="00E82EED" w:rsidRPr="00E82EED" w:rsidRDefault="00E82EED" w:rsidP="00E82EED">
      <w:pPr>
        <w:spacing w:before="100" w:beforeAutospacing="1" w:after="100" w:afterAutospacing="1"/>
        <w:ind w:firstLine="720"/>
        <w:jc w:val="both"/>
        <w:rPr>
          <w:rFonts w:ascii="Book Antiqua" w:hAnsi="Book Antiqua"/>
          <w:color w:val="000000" w:themeColor="text1"/>
          <w:szCs w:val="24"/>
          <w:lang w:val="es-PR"/>
        </w:rPr>
      </w:pPr>
      <w:r w:rsidRPr="00E82EED">
        <w:rPr>
          <w:rFonts w:ascii="Book Antiqua" w:hAnsi="Book Antiqua"/>
          <w:color w:val="000000" w:themeColor="text1"/>
          <w:szCs w:val="24"/>
          <w:lang w:val="es-PR"/>
        </w:rPr>
        <w:t xml:space="preserve">El Departamento de Educación de Puerto Rico (en adelante, DEPR), representado por su </w:t>
      </w:r>
      <w:proofErr w:type="gramStart"/>
      <w:r w:rsidRPr="00E82EED">
        <w:rPr>
          <w:rFonts w:ascii="Book Antiqua" w:hAnsi="Book Antiqua"/>
          <w:color w:val="000000" w:themeColor="text1"/>
          <w:szCs w:val="24"/>
          <w:lang w:val="es-PR"/>
        </w:rPr>
        <w:t>Secretario</w:t>
      </w:r>
      <w:proofErr w:type="gramEnd"/>
      <w:r w:rsidRPr="00E82EED">
        <w:rPr>
          <w:rFonts w:ascii="Book Antiqua" w:hAnsi="Book Antiqua"/>
          <w:color w:val="000000" w:themeColor="text1"/>
          <w:szCs w:val="24"/>
          <w:lang w:val="es-PR"/>
        </w:rPr>
        <w:t>, Lcdo. Eliezer Ramos Parés, emitió comentarios y recomendaciones sobre el P. del S. 146.</w:t>
      </w:r>
    </w:p>
    <w:p w14:paraId="54C5556F" w14:textId="77777777" w:rsidR="00E82EED" w:rsidRPr="00E82EED" w:rsidRDefault="00E82EED" w:rsidP="00E82EED">
      <w:pPr>
        <w:spacing w:before="100" w:beforeAutospacing="1" w:after="100" w:afterAutospacing="1"/>
        <w:ind w:firstLine="720"/>
        <w:jc w:val="both"/>
        <w:rPr>
          <w:rFonts w:ascii="Book Antiqua" w:hAnsi="Book Antiqua"/>
          <w:color w:val="000000" w:themeColor="text1"/>
          <w:szCs w:val="24"/>
          <w:lang w:val="es-PR"/>
        </w:rPr>
      </w:pPr>
      <w:r w:rsidRPr="00E82EED">
        <w:rPr>
          <w:rFonts w:ascii="Book Antiqua" w:hAnsi="Book Antiqua"/>
          <w:color w:val="000000" w:themeColor="text1"/>
          <w:szCs w:val="24"/>
          <w:lang w:val="es-PR"/>
        </w:rPr>
        <w:t xml:space="preserve">El DEPR expuso que su misión es promover el desarrollo holístico del estudiante, reconociéndolo como un ser integral compuesto por dimensiones físicas, mentales, emocionales, sociales, culturales y espirituales. A través del Programa de Salud Escolar, </w:t>
      </w:r>
      <w:r w:rsidRPr="00E82EED">
        <w:rPr>
          <w:rFonts w:ascii="Book Antiqua" w:hAnsi="Book Antiqua"/>
          <w:color w:val="000000" w:themeColor="text1"/>
          <w:szCs w:val="24"/>
          <w:lang w:val="es-PR"/>
        </w:rPr>
        <w:lastRenderedPageBreak/>
        <w:t>la agencia procura que el estudiantado adquiera conocimientos, destrezas y actitudes que favorezcan estilos de vida saludables y responsables. Asimismo, destacó que la educación en salud debe ser planificada y desarrollada desde el nivel preescolar hasta el nivel superior, de manera sistemática, secuencial y fundamentada en documentos normativos como el Marco Curricular y los Estándares de Contenido. Subrayó además la importancia del maestro certificado en Salud Escolar como profesional clave para guiar al estudiantado en la adopción de conductas favorables a la salud integral.</w:t>
      </w:r>
    </w:p>
    <w:p w14:paraId="316B766A" w14:textId="77777777" w:rsidR="00E82EED" w:rsidRPr="00E82EED" w:rsidRDefault="00E82EED" w:rsidP="00E82EED">
      <w:pPr>
        <w:spacing w:before="100" w:beforeAutospacing="1" w:after="100" w:afterAutospacing="1"/>
        <w:ind w:firstLine="720"/>
        <w:jc w:val="both"/>
        <w:rPr>
          <w:rFonts w:ascii="Book Antiqua" w:hAnsi="Book Antiqua"/>
          <w:color w:val="000000" w:themeColor="text1"/>
          <w:szCs w:val="24"/>
          <w:lang w:val="es-PR"/>
        </w:rPr>
      </w:pPr>
      <w:r w:rsidRPr="00E82EED">
        <w:rPr>
          <w:rFonts w:ascii="Book Antiqua" w:hAnsi="Book Antiqua"/>
          <w:color w:val="000000" w:themeColor="text1"/>
          <w:szCs w:val="24"/>
          <w:lang w:val="es-PR"/>
        </w:rPr>
        <w:t>El Programa de Salud Escolar integra métodos y estrategias educativas dirigidos a fortalecer factores protectores como la resiliencia, la inteligencia cognitiva y emocional, los valores y la vida familiar y comunitaria. De igual forma, enfatiza la prevención de factores de riesgo tales como la violencia, los accidentes, el uso de sustancias, conductas sexuales de riesgo, una alimentación inadecuada y la inactividad física. El DEPR afirmó que el fortalecimiento de la prevención de enfermedades crónicas dentro del currículo es cónsono con la Ley 85</w:t>
      </w:r>
      <w:r w:rsidRPr="00E82EED">
        <w:rPr>
          <w:rFonts w:ascii="Book Antiqua" w:hAnsi="Book Antiqua"/>
          <w:color w:val="000000" w:themeColor="text1"/>
          <w:szCs w:val="24"/>
          <w:lang w:val="es-PR"/>
        </w:rPr>
        <w:noBreakHyphen/>
        <w:t>2018 y se alinea con los objetivos del Programa de Salud Escolar. Señaló que la formación temprana en hábitos saludables reduce riesgos a largo plazo y promueve el bienestar del estudiantado. Además, indicó que la agencia mantiene una colaboración activa con el Departamento de Salud y otras organizaciones pertinentes en el desarrollo de estrategias dirigidas a mejorar la salud física, mental y emocional de los estudiantes.</w:t>
      </w:r>
    </w:p>
    <w:p w14:paraId="02AA9A5A" w14:textId="77777777" w:rsidR="00E82EED" w:rsidRPr="00E82EED" w:rsidRDefault="00E82EED" w:rsidP="00E82EED">
      <w:pPr>
        <w:spacing w:before="100" w:beforeAutospacing="1" w:after="100" w:afterAutospacing="1"/>
        <w:ind w:firstLine="720"/>
        <w:jc w:val="both"/>
        <w:rPr>
          <w:rFonts w:ascii="Book Antiqua" w:hAnsi="Book Antiqua"/>
          <w:color w:val="000000" w:themeColor="text1"/>
          <w:szCs w:val="24"/>
          <w:lang w:val="es-PR"/>
        </w:rPr>
      </w:pPr>
      <w:r w:rsidRPr="00E82EED">
        <w:rPr>
          <w:rFonts w:ascii="Book Antiqua" w:hAnsi="Book Antiqua"/>
          <w:color w:val="000000" w:themeColor="text1"/>
          <w:szCs w:val="24"/>
          <w:lang w:val="es-PR"/>
        </w:rPr>
        <w:t>El DEPR apoyó el P. del S. 146, afirmando que la medida es compatible con su misión institucional y que contribuye a la promoción de una cultura de prevención, autocuidado y bienestar integral en el sistema educativo público.</w:t>
      </w:r>
    </w:p>
    <w:p w14:paraId="49500EF3" w14:textId="319B58BF" w:rsidR="001B3C3A" w:rsidRDefault="00C06100" w:rsidP="001B3C3A">
      <w:pPr>
        <w:spacing w:before="100" w:beforeAutospacing="1" w:after="100" w:afterAutospacing="1"/>
        <w:ind w:firstLine="720"/>
        <w:jc w:val="center"/>
        <w:rPr>
          <w:rFonts w:ascii="Book Antiqua" w:hAnsi="Book Antiqua"/>
          <w:b/>
          <w:bCs/>
          <w:color w:val="000000" w:themeColor="text1"/>
          <w:szCs w:val="24"/>
          <w:lang w:val="es-PR"/>
        </w:rPr>
      </w:pPr>
      <w:r>
        <w:rPr>
          <w:rFonts w:ascii="Book Antiqua" w:hAnsi="Book Antiqua"/>
          <w:b/>
          <w:bCs/>
          <w:color w:val="000000" w:themeColor="text1"/>
          <w:szCs w:val="24"/>
          <w:lang w:val="es-PR"/>
        </w:rPr>
        <w:t>SOCIEDAD AMERICANA CONTRA EL CANCER</w:t>
      </w:r>
      <w:r w:rsidR="001D51FF">
        <w:rPr>
          <w:rFonts w:ascii="Book Antiqua" w:hAnsi="Book Antiqua"/>
          <w:b/>
          <w:bCs/>
          <w:color w:val="000000" w:themeColor="text1"/>
          <w:szCs w:val="24"/>
          <w:lang w:val="es-PR"/>
        </w:rPr>
        <w:t xml:space="preserve"> </w:t>
      </w:r>
    </w:p>
    <w:p w14:paraId="231F8A8C" w14:textId="77777777" w:rsidR="00A93C51" w:rsidRDefault="00A93C51" w:rsidP="00A93C51">
      <w:pPr>
        <w:spacing w:before="100" w:beforeAutospacing="1" w:after="100" w:afterAutospacing="1"/>
        <w:ind w:firstLine="720"/>
        <w:jc w:val="both"/>
        <w:rPr>
          <w:rFonts w:ascii="Book Antiqua" w:hAnsi="Book Antiqua"/>
          <w:color w:val="000000" w:themeColor="text1"/>
          <w:szCs w:val="24"/>
          <w:lang w:val="es-PR"/>
        </w:rPr>
      </w:pPr>
      <w:r w:rsidRPr="00A93C51">
        <w:rPr>
          <w:rFonts w:ascii="Book Antiqua" w:hAnsi="Book Antiqua"/>
          <w:color w:val="000000" w:themeColor="text1"/>
          <w:szCs w:val="24"/>
          <w:lang w:val="es-PR"/>
        </w:rPr>
        <w:t xml:space="preserve">La Sociedad Americana Contra el Cáncer (en adelante, SACC), representada por la Lcda. María </w:t>
      </w:r>
      <w:proofErr w:type="spellStart"/>
      <w:r w:rsidRPr="00A93C51">
        <w:rPr>
          <w:rFonts w:ascii="Book Antiqua" w:hAnsi="Book Antiqua"/>
          <w:color w:val="000000" w:themeColor="text1"/>
          <w:szCs w:val="24"/>
          <w:lang w:val="es-PR"/>
        </w:rPr>
        <w:t>Cristy</w:t>
      </w:r>
      <w:proofErr w:type="spellEnd"/>
      <w:r w:rsidRPr="00A93C51">
        <w:rPr>
          <w:rFonts w:ascii="Book Antiqua" w:hAnsi="Book Antiqua"/>
          <w:color w:val="000000" w:themeColor="text1"/>
          <w:szCs w:val="24"/>
          <w:lang w:val="es-PR"/>
        </w:rPr>
        <w:t>, emitió comentarios acerca del P. del S. 146.</w:t>
      </w:r>
    </w:p>
    <w:p w14:paraId="6002F7F3" w14:textId="3A8C81FF" w:rsidR="00A93C51" w:rsidRDefault="00A93C51" w:rsidP="00A93C51">
      <w:pPr>
        <w:spacing w:before="100" w:beforeAutospacing="1" w:after="100" w:afterAutospacing="1"/>
        <w:ind w:firstLine="720"/>
        <w:jc w:val="both"/>
        <w:rPr>
          <w:rFonts w:ascii="Book Antiqua" w:hAnsi="Book Antiqua"/>
          <w:color w:val="000000" w:themeColor="text1"/>
          <w:szCs w:val="24"/>
          <w:lang w:val="es-PR"/>
        </w:rPr>
      </w:pPr>
      <w:r w:rsidRPr="00A93C51">
        <w:rPr>
          <w:rFonts w:ascii="Book Antiqua" w:hAnsi="Book Antiqua"/>
          <w:color w:val="000000" w:themeColor="text1"/>
          <w:szCs w:val="24"/>
          <w:lang w:val="es-PR"/>
        </w:rPr>
        <w:t>SACC destacó que las enmiendas propuestas representan un esfuerzo valioso para proteger el desarrollo académico y las oportunidades de aprendizaje de la población estudiantil del país. Señaló que los niños y jóvenes no están exentos de condiciones severas como el cáncer, la diabetes, la epilepsia, la esclerosis múltiple y el asma, entre otras. La entidad presentó datos sobre la incidencia del cáncer pediátrico en Puerto Rico, indicando que representa el 1.3% de los diagnósticos totales. Entre 2016 y 2020 se registraron 341 casos en menores de 0 a 14 años y aproximadamente 42 muertes, destacándose la leucemia, los tumores cerebrales y los linfomas como los cánceres más comunes en esta población. La Sociedad enfatizó que la detección temprana y la prevención son esenciales para aumentar la supervivencia, la cual puede alcanzar hasta un 90% cuando los tratamientos se administran oportunamente.</w:t>
      </w:r>
    </w:p>
    <w:p w14:paraId="6DA404B4" w14:textId="4AE8CCBB" w:rsidR="00A93C51" w:rsidRPr="00A93C51" w:rsidRDefault="00A93C51" w:rsidP="00A93C51">
      <w:pPr>
        <w:spacing w:before="100" w:beforeAutospacing="1" w:after="100" w:afterAutospacing="1"/>
        <w:ind w:firstLine="720"/>
        <w:jc w:val="both"/>
        <w:rPr>
          <w:rFonts w:ascii="Book Antiqua" w:hAnsi="Book Antiqua"/>
          <w:color w:val="000000" w:themeColor="text1"/>
          <w:szCs w:val="24"/>
          <w:lang w:val="es-PR"/>
        </w:rPr>
      </w:pPr>
      <w:r w:rsidRPr="00A93C51">
        <w:rPr>
          <w:rFonts w:ascii="Book Antiqua" w:hAnsi="Book Antiqua"/>
          <w:color w:val="000000" w:themeColor="text1"/>
          <w:szCs w:val="24"/>
          <w:lang w:val="es-PR"/>
        </w:rPr>
        <w:t xml:space="preserve">La organización elogió los esfuerzos del DEPR en la implementación del Reglamento de Administración de Medicamentos en los planteles escolares y la presencia de personal de enfermería escolar, destacando que estos elementos son fundamentales </w:t>
      </w:r>
      <w:r w:rsidRPr="00A93C51">
        <w:rPr>
          <w:rFonts w:ascii="Book Antiqua" w:hAnsi="Book Antiqua"/>
          <w:color w:val="000000" w:themeColor="text1"/>
          <w:szCs w:val="24"/>
          <w:lang w:val="es-PR"/>
        </w:rPr>
        <w:lastRenderedPageBreak/>
        <w:t xml:space="preserve">para garantizar un ambiente seguro y facilitar el acceso del estudiantado a sus tratamientos. Asimismo, apoyó la inclusión de charlas y orientaciones en las escuelas para fomentar la responsabilidad y la atención temprana de condiciones de salud. SACC respaldó plenamente la aprobación de la medida y recomendó que la Comisión sostenga diálogos con el </w:t>
      </w:r>
      <w:proofErr w:type="gramStart"/>
      <w:r w:rsidRPr="00A93C51">
        <w:rPr>
          <w:rFonts w:ascii="Book Antiqua" w:hAnsi="Book Antiqua"/>
          <w:color w:val="000000" w:themeColor="text1"/>
          <w:szCs w:val="24"/>
          <w:lang w:val="es-PR"/>
        </w:rPr>
        <w:t>Secretario</w:t>
      </w:r>
      <w:proofErr w:type="gramEnd"/>
      <w:r w:rsidRPr="00A93C51">
        <w:rPr>
          <w:rFonts w:ascii="Book Antiqua" w:hAnsi="Book Antiqua"/>
          <w:color w:val="000000" w:themeColor="text1"/>
          <w:szCs w:val="24"/>
          <w:lang w:val="es-PR"/>
        </w:rPr>
        <w:t xml:space="preserve"> de Educación con el propósito de integrar esta iniciativa en la reglamentación vigente, particularmente en el Reglamento de Administración de Medicamentos, a fin de asegurar la implementación rápida y efectiva de los objetivos propuestos.</w:t>
      </w:r>
    </w:p>
    <w:p w14:paraId="08C63446" w14:textId="5A643613" w:rsidR="000871B0" w:rsidRPr="009D204B" w:rsidRDefault="000871B0" w:rsidP="00916AEC">
      <w:pPr>
        <w:spacing w:before="100" w:beforeAutospacing="1" w:after="100" w:afterAutospacing="1"/>
        <w:jc w:val="center"/>
        <w:rPr>
          <w:rFonts w:ascii="Book Antiqua" w:hAnsi="Book Antiqua"/>
          <w:b/>
          <w:bCs/>
          <w:szCs w:val="24"/>
          <w:lang w:val="es-PR"/>
        </w:rPr>
      </w:pPr>
      <w:r w:rsidRPr="009D204B">
        <w:rPr>
          <w:rFonts w:ascii="Book Antiqua" w:hAnsi="Book Antiqua"/>
          <w:b/>
          <w:bCs/>
          <w:szCs w:val="24"/>
          <w:lang w:val="es-PR"/>
        </w:rPr>
        <w:t>DETERMINACIÓN DE IMPACTO ECONÓMICO</w:t>
      </w:r>
    </w:p>
    <w:p w14:paraId="5B4E14D6" w14:textId="2F6E2AA1" w:rsidR="00A85AFF" w:rsidRPr="00C1650E" w:rsidRDefault="000871B0" w:rsidP="00F70E67">
      <w:pPr>
        <w:spacing w:before="100" w:beforeAutospacing="1" w:after="100" w:afterAutospacing="1"/>
        <w:jc w:val="both"/>
        <w:rPr>
          <w:rFonts w:ascii="Book Antiqua" w:hAnsi="Book Antiqua"/>
          <w:szCs w:val="24"/>
          <w:lang w:val="es-PR"/>
        </w:rPr>
      </w:pPr>
      <w:r w:rsidRPr="009D204B">
        <w:rPr>
          <w:rFonts w:ascii="Book Antiqua" w:hAnsi="Book Antiqua"/>
          <w:szCs w:val="24"/>
          <w:lang w:val="es-PR"/>
        </w:rPr>
        <w:t xml:space="preserve"> </w:t>
      </w:r>
      <w:r w:rsidR="00AC627E" w:rsidRPr="009D204B">
        <w:rPr>
          <w:rFonts w:ascii="Book Antiqua" w:hAnsi="Book Antiqua"/>
          <w:szCs w:val="24"/>
          <w:lang w:val="es-PR"/>
        </w:rPr>
        <w:tab/>
      </w:r>
      <w:r w:rsidRPr="009D204B">
        <w:rPr>
          <w:rFonts w:ascii="Book Antiqua" w:hAnsi="Book Antiqua"/>
          <w:szCs w:val="24"/>
          <w:lang w:val="es-PR"/>
        </w:rPr>
        <w:t xml:space="preserve">Conforme al análisis y los hallazgos de la medida, la Comisión de Educación considera que su aprobación </w:t>
      </w:r>
      <w:r w:rsidR="00A85AFF" w:rsidRPr="009D204B">
        <w:rPr>
          <w:rFonts w:ascii="Book Antiqua" w:hAnsi="Book Antiqua"/>
          <w:szCs w:val="24"/>
          <w:lang w:val="es-PR"/>
        </w:rPr>
        <w:t xml:space="preserve">no </w:t>
      </w:r>
      <w:r w:rsidRPr="009D204B">
        <w:rPr>
          <w:rFonts w:ascii="Book Antiqua" w:hAnsi="Book Antiqua"/>
          <w:szCs w:val="24"/>
          <w:lang w:val="es-PR"/>
        </w:rPr>
        <w:t xml:space="preserve">tendrá un impacto fiscal significativo en los presupuestos de las agencias, departamentos, organismos, instrumentalidades o corporaciones públicas </w:t>
      </w:r>
      <w:r w:rsidR="00A85AFF" w:rsidRPr="009D204B">
        <w:rPr>
          <w:rFonts w:ascii="Book Antiqua" w:hAnsi="Book Antiqua"/>
          <w:szCs w:val="24"/>
          <w:lang w:val="es-PR"/>
        </w:rPr>
        <w:t xml:space="preserve">que requiera </w:t>
      </w:r>
      <w:r w:rsidRPr="009D204B">
        <w:rPr>
          <w:rFonts w:ascii="Book Antiqua" w:hAnsi="Book Antiqua"/>
          <w:szCs w:val="24"/>
          <w:lang w:val="es-PR"/>
        </w:rPr>
        <w:t>certificación de la Oficina de Gerencia y Presupuesto.</w:t>
      </w:r>
      <w:r w:rsidR="00A43E00" w:rsidRPr="00C1650E">
        <w:rPr>
          <w:rFonts w:ascii="Book Antiqua" w:hAnsi="Book Antiqua"/>
          <w:szCs w:val="24"/>
          <w:lang w:val="es-PR"/>
        </w:rPr>
        <w:t xml:space="preserve"> </w:t>
      </w: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2A4F7E6C" w14:textId="7DD3C97B" w:rsidR="00A93C51" w:rsidRPr="00A93C51" w:rsidRDefault="00A93C51" w:rsidP="00A93C51">
      <w:pPr>
        <w:spacing w:before="100" w:beforeAutospacing="1"/>
        <w:ind w:firstLine="720"/>
        <w:jc w:val="both"/>
        <w:rPr>
          <w:rFonts w:ascii="Book Antiqua" w:hAnsi="Book Antiqua"/>
          <w:color w:val="000000" w:themeColor="text1"/>
          <w:lang w:val="es-PR"/>
        </w:rPr>
      </w:pPr>
      <w:r w:rsidRPr="00A93C51">
        <w:rPr>
          <w:rFonts w:ascii="Book Antiqua" w:hAnsi="Book Antiqua"/>
          <w:color w:val="000000" w:themeColor="text1"/>
          <w:lang w:val="es-PR"/>
        </w:rPr>
        <w:t>La Comisión de Educación</w:t>
      </w:r>
      <w:r w:rsidR="00B740EB">
        <w:rPr>
          <w:rFonts w:ascii="Book Antiqua" w:hAnsi="Book Antiqua"/>
          <w:color w:val="000000" w:themeColor="text1"/>
          <w:lang w:val="es-PR"/>
        </w:rPr>
        <w:t xml:space="preserve"> de la Cámara de Representantes</w:t>
      </w:r>
      <w:r w:rsidRPr="00A93C51">
        <w:rPr>
          <w:rFonts w:ascii="Book Antiqua" w:hAnsi="Book Antiqua"/>
          <w:color w:val="000000" w:themeColor="text1"/>
          <w:lang w:val="es-PR"/>
        </w:rPr>
        <w:t xml:space="preserve"> ha examinado detenidamente las comunicaciones y ponencias recibidas en torno al P. del S. 146. La evidencia presentada demuestra que las enfermedades crónicas impactan de manera significativa a niños y jóvenes, afectando su desarrollo físico, emocional y académico. Asimismo, se resaltó que la educación temprana, la prevención y la sensibilización en el entorno escolar constituyen herramientas esenciales para mitigar riesgos, promover estilos de vida saludables y fomentar la inclusión del estudiantado que enfrenta estas condiciones. Tanto el Departamento de Educación de Puerto Rico (DEPR) como la Sociedad Americana Contra el Cáncer (SACC) validaron la importancia de fortalecer el currículo escolar en estas áreas, subrayando la necesidad de una formación integral que promueva ambientes seguros, equitativos y favorables al aprendizaje. Ambas entidades coincidieron en que los esfuerzos propuestos por la medida complementan iniciativas vigentes, tales como el Reglamento de Administración de Medicamentos y la integración de personal de enfermería escolar en las comunidades educativas.</w:t>
      </w:r>
    </w:p>
    <w:p w14:paraId="7D6722E5" w14:textId="7AD2A048" w:rsidR="002860A0" w:rsidRPr="00FF140A" w:rsidRDefault="00A93C51" w:rsidP="00FF140A">
      <w:pPr>
        <w:spacing w:before="100" w:beforeAutospacing="1"/>
        <w:ind w:firstLine="720"/>
        <w:jc w:val="both"/>
        <w:rPr>
          <w:rFonts w:ascii="Book Antiqua" w:hAnsi="Book Antiqua"/>
          <w:color w:val="000000" w:themeColor="text1"/>
          <w:lang w:val="es-PR"/>
        </w:rPr>
      </w:pPr>
      <w:r w:rsidRPr="00A93C51">
        <w:rPr>
          <w:rFonts w:ascii="Book Antiqua" w:hAnsi="Book Antiqua"/>
          <w:color w:val="000000" w:themeColor="text1"/>
          <w:lang w:val="es-PR"/>
        </w:rPr>
        <w:t>En atención a todo lo anterior, esta Comisión concluye que la medida bajo evaluación constituye un avance significativo hacia la promoción de una cultura de prevención, autocuidado, apoyo mutuo y bienestar integral dentro del sistema educativo público de Puerto Rico.</w:t>
      </w:r>
    </w:p>
    <w:p w14:paraId="41584690" w14:textId="77777777" w:rsidR="00867AEC" w:rsidRDefault="00867AEC" w:rsidP="00FF140A">
      <w:pPr>
        <w:spacing w:before="100" w:beforeAutospacing="1"/>
        <w:ind w:firstLine="720"/>
        <w:jc w:val="both"/>
        <w:rPr>
          <w:rFonts w:ascii="Book Antiqua" w:hAnsi="Book Antiqua"/>
          <w:b/>
          <w:bCs/>
          <w:color w:val="000000" w:themeColor="text1"/>
          <w:lang w:val="es-PR"/>
        </w:rPr>
      </w:pPr>
    </w:p>
    <w:p w14:paraId="330EEC8D" w14:textId="77777777" w:rsidR="00867AEC" w:rsidRDefault="00867AEC" w:rsidP="00FF140A">
      <w:pPr>
        <w:spacing w:before="100" w:beforeAutospacing="1"/>
        <w:ind w:firstLine="720"/>
        <w:jc w:val="both"/>
        <w:rPr>
          <w:rFonts w:ascii="Book Antiqua" w:hAnsi="Book Antiqua"/>
          <w:b/>
          <w:bCs/>
          <w:color w:val="000000" w:themeColor="text1"/>
          <w:lang w:val="es-PR"/>
        </w:rPr>
      </w:pPr>
    </w:p>
    <w:p w14:paraId="2FD37B8A" w14:textId="77777777" w:rsidR="00867AEC" w:rsidRDefault="00867AEC" w:rsidP="00FF140A">
      <w:pPr>
        <w:spacing w:before="100" w:beforeAutospacing="1"/>
        <w:ind w:firstLine="720"/>
        <w:jc w:val="both"/>
        <w:rPr>
          <w:rFonts w:ascii="Book Antiqua" w:hAnsi="Book Antiqua"/>
          <w:b/>
          <w:bCs/>
          <w:color w:val="000000" w:themeColor="text1"/>
          <w:lang w:val="es-PR"/>
        </w:rPr>
      </w:pPr>
    </w:p>
    <w:p w14:paraId="617060B8" w14:textId="77777777" w:rsidR="00867AEC" w:rsidRDefault="00867AEC" w:rsidP="00FF140A">
      <w:pPr>
        <w:spacing w:before="100" w:beforeAutospacing="1"/>
        <w:ind w:firstLine="720"/>
        <w:jc w:val="both"/>
        <w:rPr>
          <w:rFonts w:ascii="Book Antiqua" w:hAnsi="Book Antiqua"/>
          <w:b/>
          <w:bCs/>
          <w:color w:val="000000" w:themeColor="text1"/>
          <w:lang w:val="es-PR"/>
        </w:rPr>
      </w:pPr>
    </w:p>
    <w:p w14:paraId="114FE35F" w14:textId="77777777" w:rsidR="00867AEC" w:rsidRDefault="00867AEC" w:rsidP="00FF140A">
      <w:pPr>
        <w:spacing w:before="100" w:beforeAutospacing="1"/>
        <w:ind w:firstLine="720"/>
        <w:jc w:val="both"/>
        <w:rPr>
          <w:rFonts w:ascii="Book Antiqua" w:hAnsi="Book Antiqua"/>
          <w:b/>
          <w:bCs/>
          <w:color w:val="000000" w:themeColor="text1"/>
          <w:lang w:val="es-PR"/>
        </w:rPr>
      </w:pPr>
    </w:p>
    <w:p w14:paraId="1ED041BC" w14:textId="375F86C9" w:rsidR="00A000D1" w:rsidRDefault="00F70E67" w:rsidP="00800733">
      <w:pPr>
        <w:ind w:firstLine="720"/>
        <w:jc w:val="both"/>
        <w:rPr>
          <w:rFonts w:ascii="Book Antiqua" w:hAnsi="Book Antiqua"/>
          <w:color w:val="000000" w:themeColor="text1"/>
          <w:lang w:val="es-PR"/>
        </w:rPr>
      </w:pPr>
      <w:r w:rsidRPr="00C1650E">
        <w:rPr>
          <w:rFonts w:ascii="Book Antiqua" w:hAnsi="Book Antiqua"/>
          <w:b/>
          <w:bCs/>
          <w:color w:val="000000" w:themeColor="text1"/>
          <w:lang w:val="es-PR"/>
        </w:rPr>
        <w:lastRenderedPageBreak/>
        <w:t>POR LO ANTES EXPUESTO</w:t>
      </w:r>
      <w:r w:rsidR="00AC627E" w:rsidRPr="00C1650E">
        <w:rPr>
          <w:rFonts w:ascii="Book Antiqua" w:hAnsi="Book Antiqua"/>
          <w:color w:val="000000" w:themeColor="text1"/>
          <w:lang w:val="es-PR"/>
        </w:rPr>
        <w:t xml:space="preserve">, </w:t>
      </w:r>
      <w:r w:rsidRPr="00C1650E">
        <w:rPr>
          <w:rFonts w:ascii="Book Antiqua" w:hAnsi="Book Antiqua"/>
          <w:color w:val="000000" w:themeColor="text1"/>
          <w:lang w:val="es-PR"/>
        </w:rPr>
        <w:t>la Comisión de Educación</w:t>
      </w:r>
      <w:r w:rsidR="002860A0">
        <w:rPr>
          <w:rFonts w:ascii="Book Antiqua" w:hAnsi="Book Antiqua"/>
          <w:color w:val="000000" w:themeColor="text1"/>
          <w:lang w:val="es-PR"/>
        </w:rPr>
        <w:t xml:space="preserve"> de la Cámara de </w:t>
      </w:r>
      <w:r w:rsidR="00B740EB">
        <w:rPr>
          <w:rFonts w:ascii="Book Antiqua" w:hAnsi="Book Antiqua"/>
          <w:color w:val="000000" w:themeColor="text1"/>
          <w:lang w:val="es-PR"/>
        </w:rPr>
        <w:t>R</w:t>
      </w:r>
      <w:r w:rsidR="002860A0">
        <w:rPr>
          <w:rFonts w:ascii="Book Antiqua" w:hAnsi="Book Antiqua"/>
          <w:color w:val="000000" w:themeColor="text1"/>
          <w:lang w:val="es-PR"/>
        </w:rPr>
        <w:t>epresentantes</w:t>
      </w:r>
      <w:r w:rsidRPr="00C1650E">
        <w:rPr>
          <w:rFonts w:ascii="Book Antiqua" w:hAnsi="Book Antiqua"/>
          <w:color w:val="000000" w:themeColor="text1"/>
          <w:lang w:val="es-PR"/>
        </w:rPr>
        <w:t xml:space="preserve"> recomienda </w:t>
      </w:r>
      <w:r w:rsidR="00AC627E" w:rsidRPr="00C1650E">
        <w:rPr>
          <w:rFonts w:ascii="Book Antiqua" w:hAnsi="Book Antiqua"/>
          <w:color w:val="000000" w:themeColor="text1"/>
          <w:lang w:val="es-PR"/>
        </w:rPr>
        <w:t xml:space="preserve">la aprobación </w:t>
      </w:r>
      <w:r w:rsidR="00C42A04">
        <w:rPr>
          <w:rFonts w:ascii="Book Antiqua" w:hAnsi="Book Antiqua"/>
          <w:color w:val="000000" w:themeColor="text1"/>
          <w:lang w:val="es-PR"/>
        </w:rPr>
        <w:t>de</w:t>
      </w:r>
      <w:r w:rsidR="006F31DC">
        <w:rPr>
          <w:rFonts w:ascii="Book Antiqua" w:hAnsi="Book Antiqua"/>
          <w:color w:val="000000" w:themeColor="text1"/>
          <w:lang w:val="es-PR"/>
        </w:rPr>
        <w:t>l P. de</w:t>
      </w:r>
      <w:r w:rsidR="00EB302B">
        <w:rPr>
          <w:rFonts w:ascii="Book Antiqua" w:hAnsi="Book Antiqua"/>
          <w:color w:val="000000" w:themeColor="text1"/>
          <w:lang w:val="es-PR"/>
        </w:rPr>
        <w:t xml:space="preserve">l S. </w:t>
      </w:r>
      <w:r w:rsidR="009D204B">
        <w:rPr>
          <w:rFonts w:ascii="Book Antiqua" w:hAnsi="Book Antiqua"/>
          <w:color w:val="000000" w:themeColor="text1"/>
          <w:lang w:val="es-PR"/>
        </w:rPr>
        <w:t>14</w:t>
      </w:r>
      <w:r w:rsidR="00F21E1E">
        <w:rPr>
          <w:rFonts w:ascii="Book Antiqua" w:hAnsi="Book Antiqua"/>
          <w:color w:val="000000" w:themeColor="text1"/>
          <w:lang w:val="es-PR"/>
        </w:rPr>
        <w:t>6</w:t>
      </w:r>
      <w:r w:rsidRPr="00C1650E">
        <w:rPr>
          <w:rFonts w:ascii="Book Antiqua" w:hAnsi="Book Antiqua"/>
          <w:color w:val="000000" w:themeColor="text1"/>
          <w:lang w:val="es-PR"/>
        </w:rPr>
        <w:t>,</w:t>
      </w:r>
      <w:r w:rsidR="00AC627E" w:rsidRPr="00C1650E">
        <w:rPr>
          <w:rFonts w:ascii="Book Antiqua" w:hAnsi="Book Antiqua"/>
          <w:color w:val="000000" w:themeColor="text1"/>
          <w:lang w:val="es-PR"/>
        </w:rPr>
        <w:t xml:space="preserve"> </w:t>
      </w:r>
      <w:r w:rsidR="00F877BB" w:rsidRPr="00C1650E">
        <w:rPr>
          <w:rFonts w:ascii="Book Antiqua" w:hAnsi="Book Antiqua"/>
          <w:color w:val="000000" w:themeColor="text1"/>
          <w:lang w:val="es-PR"/>
        </w:rPr>
        <w:t>mediante el presente Informe Positivo,</w:t>
      </w:r>
      <w:r w:rsidR="00F877BB" w:rsidRPr="00011E1C">
        <w:rPr>
          <w:rFonts w:ascii="Book Antiqua" w:hAnsi="Book Antiqua"/>
          <w:color w:val="000000" w:themeColor="text1"/>
          <w:lang w:val="es-PR"/>
        </w:rPr>
        <w:t xml:space="preserve"> </w:t>
      </w:r>
      <w:r w:rsidR="00AC627E" w:rsidRPr="00EB302B">
        <w:rPr>
          <w:rFonts w:ascii="Book Antiqua" w:hAnsi="Book Antiqua"/>
          <w:color w:val="000000" w:themeColor="text1"/>
          <w:lang w:val="es-PR"/>
        </w:rPr>
        <w:t xml:space="preserve">incorporando las enmiendas sugeridas al contenido, que se detallan en el </w:t>
      </w:r>
      <w:proofErr w:type="spellStart"/>
      <w:r w:rsidR="00AC627E" w:rsidRPr="00EB302B">
        <w:rPr>
          <w:rFonts w:ascii="Book Antiqua" w:hAnsi="Book Antiqua"/>
          <w:color w:val="000000" w:themeColor="text1"/>
          <w:lang w:val="es-PR"/>
        </w:rPr>
        <w:t>entirillado</w:t>
      </w:r>
      <w:proofErr w:type="spellEnd"/>
      <w:r w:rsidR="00AC627E" w:rsidRPr="00EB302B">
        <w:rPr>
          <w:rFonts w:ascii="Book Antiqua" w:hAnsi="Book Antiqua"/>
          <w:color w:val="000000" w:themeColor="text1"/>
          <w:lang w:val="es-PR"/>
        </w:rPr>
        <w:t xml:space="preserve"> electrónico que se acompaña.</w:t>
      </w:r>
    </w:p>
    <w:p w14:paraId="36980D89" w14:textId="77777777" w:rsidR="00A000D1" w:rsidRDefault="00A000D1" w:rsidP="00800733">
      <w:pPr>
        <w:ind w:firstLine="720"/>
        <w:jc w:val="both"/>
        <w:rPr>
          <w:rFonts w:ascii="Book Antiqua" w:hAnsi="Book Antiqua"/>
          <w:color w:val="000000" w:themeColor="text1"/>
          <w:lang w:val="es-PR"/>
        </w:rPr>
      </w:pPr>
    </w:p>
    <w:p w14:paraId="44F682D4" w14:textId="415A0654" w:rsidR="003D6317" w:rsidRPr="00C1650E" w:rsidRDefault="003D6317" w:rsidP="00800733">
      <w:pPr>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7AAA0837" w14:textId="77777777" w:rsidR="003D6317" w:rsidRPr="00C1650E" w:rsidRDefault="003D6317"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3BBDC" w14:textId="77777777" w:rsidR="00496661" w:rsidRDefault="00496661">
      <w:r>
        <w:separator/>
      </w:r>
    </w:p>
  </w:endnote>
  <w:endnote w:type="continuationSeparator" w:id="0">
    <w:p w14:paraId="463F7BD3" w14:textId="77777777" w:rsidR="00496661" w:rsidRDefault="0049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3767E" w14:textId="77777777" w:rsidR="00496661" w:rsidRDefault="00496661">
      <w:r>
        <w:separator/>
      </w:r>
    </w:p>
  </w:footnote>
  <w:footnote w:type="continuationSeparator" w:id="0">
    <w:p w14:paraId="153EA76E" w14:textId="77777777" w:rsidR="00496661" w:rsidRDefault="00496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55A4A565" w:rsidR="00F042CB" w:rsidRPr="00487A4D" w:rsidRDefault="00487A4D" w:rsidP="00487A4D">
    <w:pPr>
      <w:pStyle w:val="Header"/>
      <w:rPr>
        <w:lang w:val="es-PR"/>
      </w:rPr>
    </w:pPr>
    <w:r w:rsidRPr="00C1650E">
      <w:rPr>
        <w:rStyle w:val="PageNumber"/>
        <w:lang w:val="es-PR"/>
      </w:rPr>
      <w:t xml:space="preserve">Informe Positivo sobre </w:t>
    </w:r>
    <w:r w:rsidR="006F31DC">
      <w:rPr>
        <w:rStyle w:val="PageNumber"/>
        <w:lang w:val="es-PR"/>
      </w:rPr>
      <w:t>el P. de</w:t>
    </w:r>
    <w:r w:rsidR="00EB302B">
      <w:rPr>
        <w:rStyle w:val="PageNumber"/>
        <w:lang w:val="es-PR"/>
      </w:rPr>
      <w:t xml:space="preserve">l S. </w:t>
    </w:r>
    <w:r w:rsidR="00C06100">
      <w:rPr>
        <w:rStyle w:val="PageNumber"/>
        <w:lang w:val="es-PR"/>
      </w:rPr>
      <w:t>14</w:t>
    </w:r>
    <w:r w:rsidR="00F21E1E">
      <w:rPr>
        <w:rStyle w:val="PageNumber"/>
        <w:lang w:val="es-PR"/>
      </w:rPr>
      <w:t>6</w:t>
    </w:r>
    <w:r w:rsidR="00D75FBB">
      <w:rPr>
        <w:rStyle w:val="PageNumber"/>
        <w:lang w:val="es-PR"/>
      </w:rPr>
      <w:t xml:space="preserve"> </w:t>
    </w:r>
    <w:r w:rsidR="00441F40">
      <w:rPr>
        <w:rStyle w:val="PageNumber"/>
        <w:lang w:val="es-PR"/>
      </w:rPr>
      <w:t xml:space="preserve">   </w:t>
    </w:r>
    <w:r w:rsidR="00441F40">
      <w:rPr>
        <w:rStyle w:val="PageNumber"/>
        <w:lang w:val="es-PR"/>
      </w:rPr>
      <w:tab/>
    </w:r>
    <w:r w:rsidR="00441F40">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8"/>
  </w:num>
  <w:num w:numId="3" w16cid:durableId="31856016">
    <w:abstractNumId w:val="9"/>
  </w:num>
  <w:num w:numId="4" w16cid:durableId="1489134421">
    <w:abstractNumId w:val="1"/>
  </w:num>
  <w:num w:numId="5" w16cid:durableId="639266677">
    <w:abstractNumId w:val="3"/>
  </w:num>
  <w:num w:numId="6" w16cid:durableId="844244211">
    <w:abstractNumId w:val="4"/>
  </w:num>
  <w:num w:numId="7" w16cid:durableId="816726171">
    <w:abstractNumId w:val="6"/>
  </w:num>
  <w:num w:numId="8" w16cid:durableId="811870527">
    <w:abstractNumId w:val="0"/>
  </w:num>
  <w:num w:numId="9" w16cid:durableId="923299098">
    <w:abstractNumId w:val="7"/>
  </w:num>
  <w:num w:numId="10" w16cid:durableId="202828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PR"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55DE"/>
    <w:rsid w:val="00025BA7"/>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B4C54"/>
    <w:rsid w:val="000C2850"/>
    <w:rsid w:val="000C2CBF"/>
    <w:rsid w:val="000D2A12"/>
    <w:rsid w:val="000D60DB"/>
    <w:rsid w:val="000E2586"/>
    <w:rsid w:val="000E2DCB"/>
    <w:rsid w:val="000E3D6D"/>
    <w:rsid w:val="000E7F87"/>
    <w:rsid w:val="00105AB1"/>
    <w:rsid w:val="00111E71"/>
    <w:rsid w:val="001127B0"/>
    <w:rsid w:val="00114602"/>
    <w:rsid w:val="00115E83"/>
    <w:rsid w:val="00124D9A"/>
    <w:rsid w:val="00126435"/>
    <w:rsid w:val="00127C6A"/>
    <w:rsid w:val="001363FE"/>
    <w:rsid w:val="00141E2E"/>
    <w:rsid w:val="00144E2D"/>
    <w:rsid w:val="00146849"/>
    <w:rsid w:val="001606CA"/>
    <w:rsid w:val="00166098"/>
    <w:rsid w:val="0017132B"/>
    <w:rsid w:val="00173F45"/>
    <w:rsid w:val="00174574"/>
    <w:rsid w:val="00187B2B"/>
    <w:rsid w:val="001911C9"/>
    <w:rsid w:val="001959E7"/>
    <w:rsid w:val="001A062F"/>
    <w:rsid w:val="001A2E09"/>
    <w:rsid w:val="001A36DC"/>
    <w:rsid w:val="001A4A89"/>
    <w:rsid w:val="001A4DCF"/>
    <w:rsid w:val="001B3C3A"/>
    <w:rsid w:val="001D15CB"/>
    <w:rsid w:val="001D1A53"/>
    <w:rsid w:val="001D51FF"/>
    <w:rsid w:val="001D6FC5"/>
    <w:rsid w:val="001E15C2"/>
    <w:rsid w:val="001E211C"/>
    <w:rsid w:val="001E7954"/>
    <w:rsid w:val="001E7B89"/>
    <w:rsid w:val="001F1883"/>
    <w:rsid w:val="001F4CA3"/>
    <w:rsid w:val="001F5064"/>
    <w:rsid w:val="001F612A"/>
    <w:rsid w:val="00205FE7"/>
    <w:rsid w:val="00211396"/>
    <w:rsid w:val="002124E0"/>
    <w:rsid w:val="00220B05"/>
    <w:rsid w:val="00222320"/>
    <w:rsid w:val="00226AE6"/>
    <w:rsid w:val="00237FD4"/>
    <w:rsid w:val="00245B34"/>
    <w:rsid w:val="00250156"/>
    <w:rsid w:val="00253C48"/>
    <w:rsid w:val="0026318A"/>
    <w:rsid w:val="00263355"/>
    <w:rsid w:val="002648C4"/>
    <w:rsid w:val="002673C8"/>
    <w:rsid w:val="00273792"/>
    <w:rsid w:val="00280EF2"/>
    <w:rsid w:val="00284E77"/>
    <w:rsid w:val="002860A0"/>
    <w:rsid w:val="002878CD"/>
    <w:rsid w:val="00287B17"/>
    <w:rsid w:val="00291963"/>
    <w:rsid w:val="0029726D"/>
    <w:rsid w:val="002A1054"/>
    <w:rsid w:val="002A73D5"/>
    <w:rsid w:val="002B4F94"/>
    <w:rsid w:val="002C1204"/>
    <w:rsid w:val="002C6295"/>
    <w:rsid w:val="002C65F6"/>
    <w:rsid w:val="002D4AC8"/>
    <w:rsid w:val="002E112B"/>
    <w:rsid w:val="002E161E"/>
    <w:rsid w:val="002E36C3"/>
    <w:rsid w:val="00307183"/>
    <w:rsid w:val="00316789"/>
    <w:rsid w:val="00320BDF"/>
    <w:rsid w:val="00320D78"/>
    <w:rsid w:val="00322998"/>
    <w:rsid w:val="00335908"/>
    <w:rsid w:val="0034124E"/>
    <w:rsid w:val="003433DA"/>
    <w:rsid w:val="00363E11"/>
    <w:rsid w:val="00364902"/>
    <w:rsid w:val="00370984"/>
    <w:rsid w:val="00380FE5"/>
    <w:rsid w:val="00384455"/>
    <w:rsid w:val="003851A7"/>
    <w:rsid w:val="003924DD"/>
    <w:rsid w:val="00394108"/>
    <w:rsid w:val="00394FCB"/>
    <w:rsid w:val="003963BE"/>
    <w:rsid w:val="003963F4"/>
    <w:rsid w:val="003B5254"/>
    <w:rsid w:val="003B6568"/>
    <w:rsid w:val="003B75A6"/>
    <w:rsid w:val="003C7E14"/>
    <w:rsid w:val="003D2C21"/>
    <w:rsid w:val="003D46C3"/>
    <w:rsid w:val="003D6317"/>
    <w:rsid w:val="003F05CE"/>
    <w:rsid w:val="003F0BE6"/>
    <w:rsid w:val="003F5044"/>
    <w:rsid w:val="003F76A8"/>
    <w:rsid w:val="004061CA"/>
    <w:rsid w:val="00413299"/>
    <w:rsid w:val="00415689"/>
    <w:rsid w:val="00424D08"/>
    <w:rsid w:val="0044004B"/>
    <w:rsid w:val="00441F40"/>
    <w:rsid w:val="004440CB"/>
    <w:rsid w:val="00446A5C"/>
    <w:rsid w:val="00446B29"/>
    <w:rsid w:val="00446E40"/>
    <w:rsid w:val="004713D2"/>
    <w:rsid w:val="004731D3"/>
    <w:rsid w:val="00477EF6"/>
    <w:rsid w:val="00480F2B"/>
    <w:rsid w:val="00487A4D"/>
    <w:rsid w:val="00491D4B"/>
    <w:rsid w:val="0049600B"/>
    <w:rsid w:val="00496661"/>
    <w:rsid w:val="004B6E28"/>
    <w:rsid w:val="004B7486"/>
    <w:rsid w:val="004D1D90"/>
    <w:rsid w:val="004D350F"/>
    <w:rsid w:val="004D7000"/>
    <w:rsid w:val="004E4E62"/>
    <w:rsid w:val="004F5525"/>
    <w:rsid w:val="00502819"/>
    <w:rsid w:val="00502D87"/>
    <w:rsid w:val="00521639"/>
    <w:rsid w:val="005253DD"/>
    <w:rsid w:val="0053167D"/>
    <w:rsid w:val="00532BB7"/>
    <w:rsid w:val="005332E4"/>
    <w:rsid w:val="0053550C"/>
    <w:rsid w:val="00536D92"/>
    <w:rsid w:val="00537AB4"/>
    <w:rsid w:val="005475F2"/>
    <w:rsid w:val="00551919"/>
    <w:rsid w:val="00553C3F"/>
    <w:rsid w:val="00555018"/>
    <w:rsid w:val="00555CA0"/>
    <w:rsid w:val="0055748A"/>
    <w:rsid w:val="00561060"/>
    <w:rsid w:val="00566198"/>
    <w:rsid w:val="005723DC"/>
    <w:rsid w:val="00574A8A"/>
    <w:rsid w:val="00580214"/>
    <w:rsid w:val="00584305"/>
    <w:rsid w:val="00586324"/>
    <w:rsid w:val="005A43B5"/>
    <w:rsid w:val="005B00A9"/>
    <w:rsid w:val="005C1565"/>
    <w:rsid w:val="005D64AD"/>
    <w:rsid w:val="005F0B0E"/>
    <w:rsid w:val="005F3881"/>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1CBA"/>
    <w:rsid w:val="00653EED"/>
    <w:rsid w:val="006655F7"/>
    <w:rsid w:val="006709B8"/>
    <w:rsid w:val="00672DCF"/>
    <w:rsid w:val="00677B4B"/>
    <w:rsid w:val="006832CB"/>
    <w:rsid w:val="00685549"/>
    <w:rsid w:val="00693449"/>
    <w:rsid w:val="006A1FD5"/>
    <w:rsid w:val="006A397E"/>
    <w:rsid w:val="006B0196"/>
    <w:rsid w:val="006B183E"/>
    <w:rsid w:val="006B2451"/>
    <w:rsid w:val="006B7365"/>
    <w:rsid w:val="006C1C9E"/>
    <w:rsid w:val="006C2D81"/>
    <w:rsid w:val="006C6029"/>
    <w:rsid w:val="006C7DF8"/>
    <w:rsid w:val="006D0164"/>
    <w:rsid w:val="006D63D7"/>
    <w:rsid w:val="006D6856"/>
    <w:rsid w:val="006E67CA"/>
    <w:rsid w:val="006F31DC"/>
    <w:rsid w:val="006F3E81"/>
    <w:rsid w:val="006F40B9"/>
    <w:rsid w:val="006F48C0"/>
    <w:rsid w:val="0070273C"/>
    <w:rsid w:val="007143B6"/>
    <w:rsid w:val="0071440D"/>
    <w:rsid w:val="00715335"/>
    <w:rsid w:val="007154DC"/>
    <w:rsid w:val="007164EA"/>
    <w:rsid w:val="00716972"/>
    <w:rsid w:val="00736244"/>
    <w:rsid w:val="00741828"/>
    <w:rsid w:val="00741E9D"/>
    <w:rsid w:val="00742BED"/>
    <w:rsid w:val="00750FC8"/>
    <w:rsid w:val="007533D0"/>
    <w:rsid w:val="00753911"/>
    <w:rsid w:val="00755069"/>
    <w:rsid w:val="00762554"/>
    <w:rsid w:val="0076334C"/>
    <w:rsid w:val="0076543D"/>
    <w:rsid w:val="0076727A"/>
    <w:rsid w:val="00773E1D"/>
    <w:rsid w:val="00776955"/>
    <w:rsid w:val="007773E8"/>
    <w:rsid w:val="00785B1B"/>
    <w:rsid w:val="0079176E"/>
    <w:rsid w:val="0079311A"/>
    <w:rsid w:val="007955D4"/>
    <w:rsid w:val="00796275"/>
    <w:rsid w:val="007B0660"/>
    <w:rsid w:val="007C2BB1"/>
    <w:rsid w:val="007C4411"/>
    <w:rsid w:val="007C5056"/>
    <w:rsid w:val="007D4194"/>
    <w:rsid w:val="007E3868"/>
    <w:rsid w:val="007E7A61"/>
    <w:rsid w:val="007F19CB"/>
    <w:rsid w:val="007F7E2E"/>
    <w:rsid w:val="00800181"/>
    <w:rsid w:val="00800609"/>
    <w:rsid w:val="00800733"/>
    <w:rsid w:val="00802146"/>
    <w:rsid w:val="00803C3B"/>
    <w:rsid w:val="00815082"/>
    <w:rsid w:val="00815223"/>
    <w:rsid w:val="00817DB9"/>
    <w:rsid w:val="00817EEB"/>
    <w:rsid w:val="00820C41"/>
    <w:rsid w:val="0082209E"/>
    <w:rsid w:val="0082301E"/>
    <w:rsid w:val="00833427"/>
    <w:rsid w:val="00837443"/>
    <w:rsid w:val="00846BDD"/>
    <w:rsid w:val="00850256"/>
    <w:rsid w:val="00852994"/>
    <w:rsid w:val="00855CE1"/>
    <w:rsid w:val="00860B5A"/>
    <w:rsid w:val="00862095"/>
    <w:rsid w:val="00867AEC"/>
    <w:rsid w:val="00867C71"/>
    <w:rsid w:val="00875D08"/>
    <w:rsid w:val="00883E61"/>
    <w:rsid w:val="00885BA6"/>
    <w:rsid w:val="00890005"/>
    <w:rsid w:val="00891733"/>
    <w:rsid w:val="008944AB"/>
    <w:rsid w:val="0089630F"/>
    <w:rsid w:val="008A27E1"/>
    <w:rsid w:val="008A54FD"/>
    <w:rsid w:val="008A6474"/>
    <w:rsid w:val="008A6C96"/>
    <w:rsid w:val="008B19FE"/>
    <w:rsid w:val="008B2804"/>
    <w:rsid w:val="008C0763"/>
    <w:rsid w:val="008C59FC"/>
    <w:rsid w:val="008D2C0D"/>
    <w:rsid w:val="008E186E"/>
    <w:rsid w:val="008E4411"/>
    <w:rsid w:val="008E509E"/>
    <w:rsid w:val="008E783C"/>
    <w:rsid w:val="008F5A3F"/>
    <w:rsid w:val="00902E09"/>
    <w:rsid w:val="00904F0A"/>
    <w:rsid w:val="00907B6B"/>
    <w:rsid w:val="0091088A"/>
    <w:rsid w:val="00911891"/>
    <w:rsid w:val="00915C3C"/>
    <w:rsid w:val="00916AEC"/>
    <w:rsid w:val="00922DEA"/>
    <w:rsid w:val="00923156"/>
    <w:rsid w:val="00923928"/>
    <w:rsid w:val="0093246F"/>
    <w:rsid w:val="0093686F"/>
    <w:rsid w:val="00942FD4"/>
    <w:rsid w:val="00943C2C"/>
    <w:rsid w:val="00945790"/>
    <w:rsid w:val="00951997"/>
    <w:rsid w:val="00953A32"/>
    <w:rsid w:val="009573AB"/>
    <w:rsid w:val="009750D1"/>
    <w:rsid w:val="00980106"/>
    <w:rsid w:val="0098499F"/>
    <w:rsid w:val="00990352"/>
    <w:rsid w:val="009B5F1F"/>
    <w:rsid w:val="009C5DAB"/>
    <w:rsid w:val="009D09D7"/>
    <w:rsid w:val="009D12CD"/>
    <w:rsid w:val="009D204B"/>
    <w:rsid w:val="009D2DB5"/>
    <w:rsid w:val="009D50F2"/>
    <w:rsid w:val="009E798F"/>
    <w:rsid w:val="009F07A0"/>
    <w:rsid w:val="009F49A6"/>
    <w:rsid w:val="00A000D1"/>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85AFF"/>
    <w:rsid w:val="00A91B11"/>
    <w:rsid w:val="00A93C51"/>
    <w:rsid w:val="00A97113"/>
    <w:rsid w:val="00AA2C8E"/>
    <w:rsid w:val="00AA73E7"/>
    <w:rsid w:val="00AA74D9"/>
    <w:rsid w:val="00AB2538"/>
    <w:rsid w:val="00AB3BB4"/>
    <w:rsid w:val="00AB58B0"/>
    <w:rsid w:val="00AC171B"/>
    <w:rsid w:val="00AC627E"/>
    <w:rsid w:val="00AD2FD8"/>
    <w:rsid w:val="00AE193F"/>
    <w:rsid w:val="00AE26CF"/>
    <w:rsid w:val="00AE3159"/>
    <w:rsid w:val="00AF0CEE"/>
    <w:rsid w:val="00AF6E13"/>
    <w:rsid w:val="00B0092F"/>
    <w:rsid w:val="00B02DB9"/>
    <w:rsid w:val="00B116E9"/>
    <w:rsid w:val="00B15D49"/>
    <w:rsid w:val="00B23E2A"/>
    <w:rsid w:val="00B26E58"/>
    <w:rsid w:val="00B2729A"/>
    <w:rsid w:val="00B31B02"/>
    <w:rsid w:val="00B3252A"/>
    <w:rsid w:val="00B42545"/>
    <w:rsid w:val="00B42703"/>
    <w:rsid w:val="00B54A47"/>
    <w:rsid w:val="00B64321"/>
    <w:rsid w:val="00B667AD"/>
    <w:rsid w:val="00B7320F"/>
    <w:rsid w:val="00B740EB"/>
    <w:rsid w:val="00B7676E"/>
    <w:rsid w:val="00B76F7C"/>
    <w:rsid w:val="00B82B02"/>
    <w:rsid w:val="00B84C38"/>
    <w:rsid w:val="00B858B5"/>
    <w:rsid w:val="00B86C00"/>
    <w:rsid w:val="00B91B73"/>
    <w:rsid w:val="00B91D6A"/>
    <w:rsid w:val="00B947F6"/>
    <w:rsid w:val="00BA2D29"/>
    <w:rsid w:val="00BB2870"/>
    <w:rsid w:val="00BB71A6"/>
    <w:rsid w:val="00BC15CD"/>
    <w:rsid w:val="00BC1C4E"/>
    <w:rsid w:val="00BD2B30"/>
    <w:rsid w:val="00BD4378"/>
    <w:rsid w:val="00BE124B"/>
    <w:rsid w:val="00BE60D8"/>
    <w:rsid w:val="00BF16AA"/>
    <w:rsid w:val="00BF5111"/>
    <w:rsid w:val="00BF526C"/>
    <w:rsid w:val="00C03062"/>
    <w:rsid w:val="00C03297"/>
    <w:rsid w:val="00C03B67"/>
    <w:rsid w:val="00C0414C"/>
    <w:rsid w:val="00C06100"/>
    <w:rsid w:val="00C07B92"/>
    <w:rsid w:val="00C1179C"/>
    <w:rsid w:val="00C11F93"/>
    <w:rsid w:val="00C120CE"/>
    <w:rsid w:val="00C15F04"/>
    <w:rsid w:val="00C1650E"/>
    <w:rsid w:val="00C17559"/>
    <w:rsid w:val="00C21EF0"/>
    <w:rsid w:val="00C261EF"/>
    <w:rsid w:val="00C26F5D"/>
    <w:rsid w:val="00C354B8"/>
    <w:rsid w:val="00C42A04"/>
    <w:rsid w:val="00C46101"/>
    <w:rsid w:val="00C52517"/>
    <w:rsid w:val="00C5595F"/>
    <w:rsid w:val="00C60921"/>
    <w:rsid w:val="00C60F6E"/>
    <w:rsid w:val="00C62936"/>
    <w:rsid w:val="00C653F2"/>
    <w:rsid w:val="00C65D58"/>
    <w:rsid w:val="00C679E6"/>
    <w:rsid w:val="00C76C17"/>
    <w:rsid w:val="00C82C0E"/>
    <w:rsid w:val="00C83CF6"/>
    <w:rsid w:val="00C842D4"/>
    <w:rsid w:val="00C908F9"/>
    <w:rsid w:val="00C97ADB"/>
    <w:rsid w:val="00CA0917"/>
    <w:rsid w:val="00CA1099"/>
    <w:rsid w:val="00CA70B3"/>
    <w:rsid w:val="00CB434E"/>
    <w:rsid w:val="00CB4FC8"/>
    <w:rsid w:val="00CD338B"/>
    <w:rsid w:val="00CD61C0"/>
    <w:rsid w:val="00CE4788"/>
    <w:rsid w:val="00CF3EBC"/>
    <w:rsid w:val="00CF797F"/>
    <w:rsid w:val="00D00D30"/>
    <w:rsid w:val="00D133AC"/>
    <w:rsid w:val="00D16374"/>
    <w:rsid w:val="00D417C2"/>
    <w:rsid w:val="00D422EF"/>
    <w:rsid w:val="00D47760"/>
    <w:rsid w:val="00D533A2"/>
    <w:rsid w:val="00D54562"/>
    <w:rsid w:val="00D55185"/>
    <w:rsid w:val="00D579CB"/>
    <w:rsid w:val="00D60936"/>
    <w:rsid w:val="00D709EB"/>
    <w:rsid w:val="00D71003"/>
    <w:rsid w:val="00D74714"/>
    <w:rsid w:val="00D75FBB"/>
    <w:rsid w:val="00D82F3F"/>
    <w:rsid w:val="00D921C6"/>
    <w:rsid w:val="00D92384"/>
    <w:rsid w:val="00D958C2"/>
    <w:rsid w:val="00D95C3F"/>
    <w:rsid w:val="00DA11EC"/>
    <w:rsid w:val="00DC0B67"/>
    <w:rsid w:val="00DD2FD5"/>
    <w:rsid w:val="00DD3F5E"/>
    <w:rsid w:val="00DE1BAE"/>
    <w:rsid w:val="00DE53BD"/>
    <w:rsid w:val="00DE5604"/>
    <w:rsid w:val="00DE7817"/>
    <w:rsid w:val="00E04AB5"/>
    <w:rsid w:val="00E11E75"/>
    <w:rsid w:val="00E23ABC"/>
    <w:rsid w:val="00E41749"/>
    <w:rsid w:val="00E5011E"/>
    <w:rsid w:val="00E50EEA"/>
    <w:rsid w:val="00E51A84"/>
    <w:rsid w:val="00E52181"/>
    <w:rsid w:val="00E52F58"/>
    <w:rsid w:val="00E53469"/>
    <w:rsid w:val="00E54233"/>
    <w:rsid w:val="00E61403"/>
    <w:rsid w:val="00E6274D"/>
    <w:rsid w:val="00E65805"/>
    <w:rsid w:val="00E7187D"/>
    <w:rsid w:val="00E77E19"/>
    <w:rsid w:val="00E80527"/>
    <w:rsid w:val="00E82EED"/>
    <w:rsid w:val="00E8764A"/>
    <w:rsid w:val="00E94927"/>
    <w:rsid w:val="00E96F2C"/>
    <w:rsid w:val="00EA21D5"/>
    <w:rsid w:val="00EB302B"/>
    <w:rsid w:val="00EB44FA"/>
    <w:rsid w:val="00EB7FBB"/>
    <w:rsid w:val="00EC1CEA"/>
    <w:rsid w:val="00EC26AA"/>
    <w:rsid w:val="00EC2BDF"/>
    <w:rsid w:val="00EC473E"/>
    <w:rsid w:val="00EC6018"/>
    <w:rsid w:val="00ED70B9"/>
    <w:rsid w:val="00ED7A53"/>
    <w:rsid w:val="00EE4273"/>
    <w:rsid w:val="00EE7533"/>
    <w:rsid w:val="00EF66C5"/>
    <w:rsid w:val="00F01013"/>
    <w:rsid w:val="00F02004"/>
    <w:rsid w:val="00F03B1B"/>
    <w:rsid w:val="00F042CB"/>
    <w:rsid w:val="00F04987"/>
    <w:rsid w:val="00F10436"/>
    <w:rsid w:val="00F10B74"/>
    <w:rsid w:val="00F14A41"/>
    <w:rsid w:val="00F166E2"/>
    <w:rsid w:val="00F21BB4"/>
    <w:rsid w:val="00F21E1E"/>
    <w:rsid w:val="00F23A3D"/>
    <w:rsid w:val="00F26041"/>
    <w:rsid w:val="00F319BB"/>
    <w:rsid w:val="00F357D8"/>
    <w:rsid w:val="00F370B2"/>
    <w:rsid w:val="00F371BF"/>
    <w:rsid w:val="00F423DA"/>
    <w:rsid w:val="00F42DC5"/>
    <w:rsid w:val="00F47286"/>
    <w:rsid w:val="00F54CCF"/>
    <w:rsid w:val="00F60941"/>
    <w:rsid w:val="00F60A20"/>
    <w:rsid w:val="00F65075"/>
    <w:rsid w:val="00F6633A"/>
    <w:rsid w:val="00F70E67"/>
    <w:rsid w:val="00F74502"/>
    <w:rsid w:val="00F82E7E"/>
    <w:rsid w:val="00F8412A"/>
    <w:rsid w:val="00F877BB"/>
    <w:rsid w:val="00F938A1"/>
    <w:rsid w:val="00F943F4"/>
    <w:rsid w:val="00F96885"/>
    <w:rsid w:val="00FA6951"/>
    <w:rsid w:val="00FB6903"/>
    <w:rsid w:val="00FC0A95"/>
    <w:rsid w:val="00FC2AE0"/>
    <w:rsid w:val="00FC319B"/>
    <w:rsid w:val="00FC3D9C"/>
    <w:rsid w:val="00FC5664"/>
    <w:rsid w:val="00FC579D"/>
    <w:rsid w:val="00FD3130"/>
    <w:rsid w:val="00FD3D12"/>
    <w:rsid w:val="00FD68A3"/>
    <w:rsid w:val="00FD6CB7"/>
    <w:rsid w:val="00FE14B5"/>
    <w:rsid w:val="00FE2F05"/>
    <w:rsid w:val="00FE5D1A"/>
    <w:rsid w:val="00FF0153"/>
    <w:rsid w:val="00FF140A"/>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8537C947-45C5-49B5-B177-F044A2980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1543</Words>
  <Characters>8897</Characters>
  <Application>Microsoft Office Word</Application>
  <DocSecurity>4</DocSecurity>
  <Lines>159</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2026-03-06T21:18:00Z</cp:lastPrinted>
  <dcterms:created xsi:type="dcterms:W3CDTF">2026-04-09T20:52:00Z</dcterms:created>
  <dcterms:modified xsi:type="dcterms:W3CDTF">2026-04-09T20:52:00Z</dcterms:modified>
</cp:coreProperties>
</file>