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2D9AB86"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056734">
              <w:rPr>
                <w:rFonts w:ascii="Book Antiqua" w:hAnsi="Book Antiqua"/>
                <w:szCs w:val="24"/>
                <w:lang w:val="es-ES"/>
              </w:rPr>
              <w:t>2</w:t>
            </w:r>
            <w:r w:rsidR="00056734" w:rsidRPr="00056734">
              <w:rPr>
                <w:rFonts w:ascii="Book Antiqua" w:hAnsi="Book Antiqua"/>
                <w:szCs w:val="24"/>
                <w:vertAlign w:val="superscript"/>
                <w:lang w:val="es-ES"/>
              </w:rPr>
              <w:t>d</w:t>
            </w:r>
            <w:r w:rsidRPr="000E7F54">
              <w:rPr>
                <w:rFonts w:ascii="Book Antiqua" w:hAnsi="Book Antiqua"/>
                <w:szCs w:val="24"/>
                <w:vertAlign w:val="superscript"/>
                <w:lang w:val="es-ES"/>
              </w:rPr>
              <w:t>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4E74AAC1"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443CEA">
        <w:rPr>
          <w:rFonts w:ascii="Book Antiqua" w:hAnsi="Book Antiqua"/>
          <w:b/>
          <w:sz w:val="52"/>
          <w:szCs w:val="52"/>
          <w:lang w:val="es-ES"/>
        </w:rPr>
        <w:t>88</w:t>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113D0194" w:rsidR="00ED30AA" w:rsidRPr="000E7F54" w:rsidRDefault="0005746D" w:rsidP="00ED30AA">
      <w:pPr>
        <w:jc w:val="center"/>
        <w:rPr>
          <w:rFonts w:ascii="Book Antiqua" w:hAnsi="Book Antiqua"/>
          <w:szCs w:val="24"/>
          <w:lang w:val="es-ES"/>
        </w:rPr>
      </w:pPr>
      <w:r>
        <w:rPr>
          <w:rFonts w:ascii="Book Antiqua" w:hAnsi="Book Antiqua"/>
          <w:bCs/>
          <w:szCs w:val="24"/>
          <w:lang w:val="es-ES"/>
        </w:rPr>
        <w:t>30</w:t>
      </w:r>
      <w:r w:rsidR="00ED30AA" w:rsidRPr="000E7F54">
        <w:rPr>
          <w:rFonts w:ascii="Book Antiqua" w:hAnsi="Book Antiqua"/>
          <w:bCs/>
          <w:szCs w:val="24"/>
          <w:lang w:val="es-ES"/>
        </w:rPr>
        <w:t xml:space="preserve"> DE </w:t>
      </w:r>
      <w:r w:rsidR="00056734">
        <w:rPr>
          <w:rFonts w:ascii="Book Antiqua" w:hAnsi="Book Antiqua"/>
          <w:bCs/>
          <w:szCs w:val="24"/>
          <w:lang w:val="es-ES"/>
        </w:rPr>
        <w:t xml:space="preserve">SEPTIEMBRE </w:t>
      </w:r>
      <w:r w:rsidR="00ED30AA" w:rsidRPr="000E7F54">
        <w:rPr>
          <w:rFonts w:ascii="Book Antiqua" w:hAnsi="Book Antiqua"/>
          <w:bCs/>
          <w:szCs w:val="24"/>
          <w:lang w:val="es-ES"/>
        </w:rPr>
        <w:t>DE 2025</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5E0546D4" w14:textId="26A4AFE8" w:rsidR="00ED30AA" w:rsidRPr="009C3FBC" w:rsidRDefault="00ED30AA" w:rsidP="00056734">
      <w:pPr>
        <w:ind w:firstLine="720"/>
        <w:jc w:val="both"/>
        <w:rPr>
          <w:rFonts w:ascii="Book Antiqua" w:hAnsi="Book Antiqua"/>
          <w:szCs w:val="24"/>
          <w:lang w:val="es-ES"/>
        </w:rPr>
      </w:pPr>
      <w:r w:rsidRPr="009C3FBC">
        <w:rPr>
          <w:rFonts w:ascii="Book Antiqua" w:hAnsi="Book Antiqua"/>
          <w:szCs w:val="24"/>
          <w:lang w:val="es-ES"/>
        </w:rPr>
        <w:t xml:space="preserve">La Comisión de Salud de la Cámara de Representantes de Puerto Rico, tiene el honor de recomendar a este Augusto Cuerpo la aprobación del </w:t>
      </w:r>
      <w:r w:rsidR="00AA6704" w:rsidRPr="009C3FBC">
        <w:rPr>
          <w:rFonts w:ascii="Book Antiqua" w:hAnsi="Book Antiqua"/>
          <w:b/>
          <w:bCs/>
          <w:szCs w:val="24"/>
          <w:lang w:val="es-ES"/>
        </w:rPr>
        <w:t xml:space="preserve">P. de la C. </w:t>
      </w:r>
      <w:r w:rsidR="00443CEA">
        <w:rPr>
          <w:rFonts w:ascii="Book Antiqua" w:hAnsi="Book Antiqua"/>
          <w:b/>
          <w:bCs/>
          <w:szCs w:val="24"/>
          <w:lang w:val="es-ES"/>
        </w:rPr>
        <w:t>88</w:t>
      </w:r>
      <w:r w:rsidRPr="009C3FBC">
        <w:rPr>
          <w:rFonts w:ascii="Book Antiqua" w:hAnsi="Book Antiqua"/>
          <w:szCs w:val="24"/>
          <w:lang w:val="es-ES"/>
        </w:rPr>
        <w:t xml:space="preserve">, con enmiendas en el </w:t>
      </w:r>
      <w:proofErr w:type="spellStart"/>
      <w:r w:rsidR="00443CEA" w:rsidRPr="009C3FBC">
        <w:rPr>
          <w:rFonts w:ascii="Book Antiqua" w:hAnsi="Book Antiqua"/>
          <w:szCs w:val="24"/>
          <w:lang w:val="es-ES"/>
        </w:rPr>
        <w:t>ent</w:t>
      </w:r>
      <w:r w:rsidR="00215135">
        <w:rPr>
          <w:rFonts w:ascii="Book Antiqua" w:hAnsi="Book Antiqua"/>
          <w:szCs w:val="24"/>
          <w:lang w:val="es-ES"/>
        </w:rPr>
        <w:t>i</w:t>
      </w:r>
      <w:r w:rsidR="00443CEA" w:rsidRPr="009C3FBC">
        <w:rPr>
          <w:rFonts w:ascii="Book Antiqua" w:hAnsi="Book Antiqua"/>
          <w:szCs w:val="24"/>
          <w:lang w:val="es-ES"/>
        </w:rPr>
        <w:t>rillado</w:t>
      </w:r>
      <w:proofErr w:type="spellEnd"/>
      <w:r w:rsidRPr="009C3FBC">
        <w:rPr>
          <w:rFonts w:ascii="Book Antiqua" w:hAnsi="Book Antiqua"/>
          <w:szCs w:val="24"/>
          <w:lang w:val="es-ES"/>
        </w:rPr>
        <w:t xml:space="preserve"> electrónico que se aneja.</w:t>
      </w:r>
    </w:p>
    <w:p w14:paraId="45434038" w14:textId="77777777" w:rsidR="00380AE8" w:rsidRDefault="00380AE8" w:rsidP="00ED30AA">
      <w:pPr>
        <w:jc w:val="center"/>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74E2AA5D" w14:textId="2145D155" w:rsidR="00F054D6" w:rsidRDefault="00F054D6" w:rsidP="00F054D6">
      <w:pPr>
        <w:ind w:firstLine="720"/>
        <w:jc w:val="both"/>
        <w:rPr>
          <w:rFonts w:ascii="Book Antiqua" w:hAnsi="Book Antiqua"/>
          <w:bCs/>
          <w:szCs w:val="24"/>
          <w:lang w:val="es-ES"/>
        </w:rPr>
      </w:pPr>
      <w:bookmarkStart w:id="0" w:name="_Hlk193963423"/>
      <w:r w:rsidRPr="009C3FBC">
        <w:rPr>
          <w:rFonts w:ascii="Book Antiqua" w:hAnsi="Book Antiqua"/>
          <w:bCs/>
          <w:szCs w:val="24"/>
          <w:lang w:val="es-ES"/>
        </w:rPr>
        <w:t xml:space="preserve">El Proyecto de la Cámara </w:t>
      </w:r>
      <w:r w:rsidR="00BA5274">
        <w:rPr>
          <w:rFonts w:ascii="Book Antiqua" w:hAnsi="Book Antiqua"/>
          <w:bCs/>
          <w:szCs w:val="24"/>
          <w:lang w:val="es-ES"/>
        </w:rPr>
        <w:t>88</w:t>
      </w:r>
      <w:r w:rsidRPr="009C3FBC">
        <w:rPr>
          <w:rFonts w:ascii="Book Antiqua" w:hAnsi="Book Antiqua"/>
          <w:bCs/>
          <w:szCs w:val="24"/>
          <w:lang w:val="es-ES"/>
        </w:rPr>
        <w:t xml:space="preserve"> (P. de la C. </w:t>
      </w:r>
      <w:r w:rsidR="00BA5274">
        <w:rPr>
          <w:rFonts w:ascii="Book Antiqua" w:hAnsi="Book Antiqua"/>
          <w:bCs/>
          <w:szCs w:val="24"/>
          <w:lang w:val="es-ES"/>
        </w:rPr>
        <w:t>88</w:t>
      </w:r>
      <w:r w:rsidRPr="009C3FBC">
        <w:rPr>
          <w:rFonts w:ascii="Book Antiqua" w:hAnsi="Book Antiqua"/>
          <w:bCs/>
          <w:szCs w:val="24"/>
          <w:lang w:val="es-ES"/>
        </w:rPr>
        <w:t xml:space="preserve">) busca </w:t>
      </w:r>
      <w:r w:rsidR="00D26006" w:rsidRPr="00D26006">
        <w:rPr>
          <w:rFonts w:ascii="Book Antiqua" w:hAnsi="Book Antiqua"/>
          <w:bCs/>
          <w:szCs w:val="24"/>
          <w:lang w:val="es-ES"/>
        </w:rPr>
        <w:t>añadir un nuevo inciso (e), y reenumerar los actuales incisos (e), (f), (g), (h), (i), (j), (k), (l), (m), (n), (o) y (p) como incisos (f), (g), (h), (i), (j), (k), (l), (m), (n), (o), (p) y (q), respectivamente, enmendar el inciso (m) reenumerado del Artículo 5 de la Ley 10-1999, conocida como “Ley Orgánica de la Comisión de Alimentación y Nutrición del Estado Libre Asociado de Puerto Rico”, a fin de ampliar las facultades y deberes de la Comisión de Alimentación y Nutrición de Puerto Rico</w:t>
      </w:r>
      <w:r w:rsidR="00D26006" w:rsidRPr="00D26006">
        <w:rPr>
          <w:rFonts w:ascii="Book Antiqua" w:hAnsi="Book Antiqua"/>
          <w:bCs/>
          <w:szCs w:val="24"/>
          <w:lang w:val="es-PR"/>
        </w:rPr>
        <w:t xml:space="preserve">, con el propósito de mejorar la salud y </w:t>
      </w:r>
      <w:r w:rsidR="00D26006" w:rsidRPr="00D26006">
        <w:rPr>
          <w:rFonts w:ascii="Book Antiqua" w:hAnsi="Book Antiqua"/>
          <w:bCs/>
          <w:szCs w:val="24"/>
          <w:lang w:val="es-ES"/>
        </w:rPr>
        <w:t xml:space="preserve"> la calidad de vida de la población puertorriqueña; y para otros fines relacionados.</w:t>
      </w:r>
    </w:p>
    <w:p w14:paraId="53618340" w14:textId="77777777" w:rsidR="00D26006" w:rsidRPr="009C3FBC" w:rsidRDefault="00D26006" w:rsidP="00F054D6">
      <w:pPr>
        <w:ind w:firstLine="720"/>
        <w:jc w:val="both"/>
        <w:rPr>
          <w:rFonts w:ascii="Book Antiqua" w:hAnsi="Book Antiqua"/>
          <w:bCs/>
          <w:szCs w:val="24"/>
          <w:lang w:val="es-ES"/>
        </w:rPr>
      </w:pPr>
    </w:p>
    <w:p w14:paraId="1E9B30EB" w14:textId="024A8FB7" w:rsidR="005A22DC" w:rsidRPr="005A22DC" w:rsidRDefault="00F054D6" w:rsidP="003B3A59">
      <w:pPr>
        <w:ind w:firstLine="720"/>
        <w:jc w:val="both"/>
        <w:rPr>
          <w:rFonts w:ascii="Book Antiqua" w:hAnsi="Book Antiqua"/>
          <w:bCs/>
          <w:szCs w:val="24"/>
          <w:lang w:val="es-ES_tradnl"/>
        </w:rPr>
      </w:pPr>
      <w:r w:rsidRPr="009C3FBC">
        <w:rPr>
          <w:rFonts w:ascii="Book Antiqua" w:hAnsi="Book Antiqua"/>
          <w:bCs/>
          <w:szCs w:val="24"/>
          <w:lang w:val="es-ES"/>
        </w:rPr>
        <w:t xml:space="preserve">La exposición de motivos señala </w:t>
      </w:r>
      <w:bookmarkEnd w:id="0"/>
      <w:r w:rsidR="00056734">
        <w:rPr>
          <w:rFonts w:ascii="Book Antiqua" w:hAnsi="Book Antiqua"/>
          <w:bCs/>
          <w:szCs w:val="24"/>
          <w:lang w:val="es-ES"/>
        </w:rPr>
        <w:t>que o</w:t>
      </w:r>
      <w:proofErr w:type="spellStart"/>
      <w:r w:rsidR="005A22DC" w:rsidRPr="005A22DC">
        <w:rPr>
          <w:rFonts w:ascii="Book Antiqua" w:hAnsi="Book Antiqua"/>
          <w:bCs/>
          <w:szCs w:val="24"/>
          <w:lang w:val="es-ES_tradnl"/>
        </w:rPr>
        <w:t>riginalmente</w:t>
      </w:r>
      <w:proofErr w:type="spellEnd"/>
      <w:r w:rsidR="005A22DC" w:rsidRPr="005A22DC">
        <w:rPr>
          <w:rFonts w:ascii="Book Antiqua" w:hAnsi="Book Antiqua"/>
          <w:bCs/>
          <w:szCs w:val="24"/>
          <w:lang w:val="es-ES_tradnl"/>
        </w:rPr>
        <w:t xml:space="preserve">, la Comisión de Alimentación y Nutrición de Puerto Rico fue creada mediante el Boletín Administrativo Núm. 1971 de 28 de diciembre de 1973.  Dicha Orden Ejecutiva establecía la necesidad de formular y ejecutar una política pública clara, en torno a los hábitos alimentarios de la población puertorriqueña.  Es menester considerar </w:t>
      </w:r>
      <w:proofErr w:type="gramStart"/>
      <w:r w:rsidR="005A22DC" w:rsidRPr="005A22DC">
        <w:rPr>
          <w:rFonts w:ascii="Book Antiqua" w:hAnsi="Book Antiqua"/>
          <w:bCs/>
          <w:szCs w:val="24"/>
          <w:lang w:val="es-ES_tradnl"/>
        </w:rPr>
        <w:t>que</w:t>
      </w:r>
      <w:proofErr w:type="gramEnd"/>
      <w:r w:rsidR="005A22DC" w:rsidRPr="005A22DC">
        <w:rPr>
          <w:rFonts w:ascii="Book Antiqua" w:hAnsi="Book Antiqua"/>
          <w:bCs/>
          <w:szCs w:val="24"/>
          <w:lang w:val="es-ES_tradnl"/>
        </w:rPr>
        <w:t xml:space="preserve"> en aquel momento, los estudios establecían que los patrones de alimentación de los boricuas resultaban deficientes, en parte, por problemas de excesos en comidas no saludables.  De hecho, se planteaba que dicho proceder se tradujo en incremento en enfermedades cardiovasculares, diabetes y diversas condiciones de sobrepeso y obesidad.</w:t>
      </w:r>
    </w:p>
    <w:p w14:paraId="42B056E0" w14:textId="78BDD8AE" w:rsidR="005A22DC" w:rsidRPr="005A22DC" w:rsidRDefault="005A22DC" w:rsidP="005A22DC">
      <w:pPr>
        <w:ind w:firstLine="720"/>
        <w:jc w:val="both"/>
        <w:rPr>
          <w:rFonts w:ascii="Book Antiqua" w:hAnsi="Book Antiqua"/>
          <w:bCs/>
          <w:szCs w:val="24"/>
          <w:lang w:val="es-ES_tradnl"/>
        </w:rPr>
      </w:pPr>
      <w:r w:rsidRPr="005A22DC">
        <w:rPr>
          <w:rFonts w:ascii="Book Antiqua" w:hAnsi="Book Antiqua"/>
          <w:bCs/>
          <w:szCs w:val="24"/>
          <w:lang w:val="es-ES_tradnl"/>
        </w:rPr>
        <w:lastRenderedPageBreak/>
        <w:t>Así las cosas, al palio de la referida orden, se crea la Comisión de Alimentación y Nutrición de Puerto Rico integrada por los jerarcas de los siguientes departamentos o agencias: Salud, Agricultura, Servicios Sociales, Educación y Asuntos del Consumidor.  A éstos se unieron seis (6) ciudadanos, expertos en distintos campos de la alimentación y la nutrición.  La Comisión se adscribió al Departamento de Asuntos del Consumidor.  A éste le correspondería proveer personal, equipo y materiales de oficina para que iniciara su organización y comenzara a desempeñar las funciones encomendadas.  Entre las más importantes, figuraba articular la política pública sobre alimentación y nutrición para Puerto Rico.</w:t>
      </w:r>
    </w:p>
    <w:p w14:paraId="0201AF5D" w14:textId="77777777" w:rsidR="005A22DC" w:rsidRPr="005A22DC" w:rsidRDefault="005A22DC" w:rsidP="005A22DC">
      <w:pPr>
        <w:ind w:firstLine="720"/>
        <w:jc w:val="both"/>
        <w:rPr>
          <w:rFonts w:ascii="Book Antiqua" w:hAnsi="Book Antiqua"/>
          <w:bCs/>
          <w:szCs w:val="24"/>
          <w:lang w:val="es-ES_tradnl"/>
        </w:rPr>
      </w:pPr>
    </w:p>
    <w:p w14:paraId="15B12A0D" w14:textId="262E8B42" w:rsidR="005A22DC" w:rsidRPr="005A22DC" w:rsidRDefault="005A22DC" w:rsidP="005A22DC">
      <w:pPr>
        <w:ind w:firstLine="720"/>
        <w:jc w:val="both"/>
        <w:rPr>
          <w:rFonts w:ascii="Book Antiqua" w:hAnsi="Book Antiqua"/>
          <w:bCs/>
          <w:szCs w:val="24"/>
          <w:lang w:val="es-ES_tradnl"/>
        </w:rPr>
      </w:pPr>
      <w:r w:rsidRPr="005A22DC">
        <w:rPr>
          <w:rFonts w:ascii="Book Antiqua" w:hAnsi="Book Antiqua"/>
          <w:bCs/>
          <w:szCs w:val="24"/>
          <w:lang w:val="es-ES_tradnl"/>
        </w:rPr>
        <w:t>Posteriormente, la orden ejecutiva fue elevada a rango de ley, con el fin de desarrollar una infraestructura administrativa, con recursos fiscales suficientes y recurrentes.  De este modo y según dicta la Ley</w:t>
      </w:r>
      <w:r w:rsidRPr="005A22DC">
        <w:rPr>
          <w:rFonts w:ascii="Book Antiqua" w:hAnsi="Book Antiqua"/>
          <w:bCs/>
          <w:szCs w:val="24"/>
          <w:lang w:val="es-PR"/>
        </w:rPr>
        <w:t xml:space="preserve"> </w:t>
      </w:r>
      <w:r w:rsidRPr="005A22DC">
        <w:rPr>
          <w:rFonts w:ascii="Book Antiqua" w:hAnsi="Book Antiqua"/>
          <w:bCs/>
          <w:szCs w:val="24"/>
          <w:lang w:val="es-ES_tradnl"/>
        </w:rPr>
        <w:t>10-1999,</w:t>
      </w:r>
      <w:r w:rsidRPr="005A22DC">
        <w:rPr>
          <w:rFonts w:ascii="Book Antiqua" w:hAnsi="Book Antiqua"/>
          <w:bCs/>
          <w:szCs w:val="24"/>
          <w:lang w:val="es-PR"/>
        </w:rPr>
        <w:t xml:space="preserve"> </w:t>
      </w:r>
      <w:r w:rsidRPr="005A22DC">
        <w:rPr>
          <w:rFonts w:ascii="Book Antiqua" w:hAnsi="Book Antiqua"/>
          <w:bCs/>
          <w:szCs w:val="24"/>
          <w:lang w:val="es-ES"/>
        </w:rPr>
        <w:t xml:space="preserve">conocida como “Ley Orgánica de la Comisión de Alimentación y Nutrición del Estado Libre Asociado de Puerto Rico”, </w:t>
      </w:r>
      <w:r w:rsidRPr="005A22DC">
        <w:rPr>
          <w:rFonts w:ascii="Book Antiqua" w:hAnsi="Book Antiqua"/>
          <w:bCs/>
          <w:szCs w:val="24"/>
          <w:lang w:val="es-ES_tradnl"/>
        </w:rPr>
        <w:t xml:space="preserve">se establece un organismo asesor de política pública sobre alimentación y nutrición que, al mismo tiempo, realiza trabajos de coordinación con las distintas agencias públicas y entidades privadas dedicadas al campo alimentario y nutricional.  Ello, para conseguir el mejoramiento del estado nutricional, la salud y consecuentemente, la calidad de vida de la población puertorriqueña.  </w:t>
      </w:r>
    </w:p>
    <w:p w14:paraId="48A6EF18" w14:textId="77777777" w:rsidR="005A22DC" w:rsidRPr="005A22DC" w:rsidRDefault="005A22DC" w:rsidP="005A22DC">
      <w:pPr>
        <w:ind w:firstLine="720"/>
        <w:jc w:val="both"/>
        <w:rPr>
          <w:rFonts w:ascii="Book Antiqua" w:hAnsi="Book Antiqua"/>
          <w:bCs/>
          <w:szCs w:val="24"/>
          <w:lang w:val="es-ES_tradnl"/>
        </w:rPr>
      </w:pPr>
    </w:p>
    <w:p w14:paraId="472F494E" w14:textId="62A139F7" w:rsidR="005A22DC" w:rsidRPr="005A22DC" w:rsidRDefault="005A22DC" w:rsidP="005A22DC">
      <w:pPr>
        <w:ind w:firstLine="720"/>
        <w:jc w:val="both"/>
        <w:rPr>
          <w:rFonts w:ascii="Book Antiqua" w:hAnsi="Book Antiqua"/>
          <w:bCs/>
          <w:szCs w:val="24"/>
          <w:lang w:val="es-ES_tradnl"/>
        </w:rPr>
      </w:pPr>
      <w:r w:rsidRPr="005A22DC">
        <w:rPr>
          <w:rFonts w:ascii="Book Antiqua" w:hAnsi="Book Antiqua"/>
          <w:bCs/>
          <w:szCs w:val="24"/>
          <w:lang w:val="es-ES_tradnl"/>
        </w:rPr>
        <w:t>A tenor con la Ley 10</w:t>
      </w:r>
      <w:r w:rsidRPr="008A0D2E">
        <w:rPr>
          <w:rFonts w:ascii="Book Antiqua" w:hAnsi="Book Antiqua"/>
          <w:bCs/>
          <w:i/>
          <w:iCs/>
          <w:szCs w:val="24"/>
          <w:lang w:val="es-ES_tradnl"/>
        </w:rPr>
        <w:t>, supra,</w:t>
      </w:r>
      <w:r w:rsidRPr="005A22DC">
        <w:rPr>
          <w:rFonts w:ascii="Book Antiqua" w:hAnsi="Book Antiqua"/>
          <w:bCs/>
          <w:szCs w:val="24"/>
          <w:lang w:val="es-ES_tradnl"/>
        </w:rPr>
        <w:t xml:space="preserve"> adscribe la Comisión al Departamento de Salud y aumenta sus miembros.  Así, en la actualidad, dicha Comisión está integrada por los </w:t>
      </w:r>
      <w:proofErr w:type="gramStart"/>
      <w:r w:rsidRPr="005A22DC">
        <w:rPr>
          <w:rFonts w:ascii="Book Antiqua" w:hAnsi="Book Antiqua"/>
          <w:bCs/>
          <w:szCs w:val="24"/>
          <w:lang w:val="es-ES_tradnl"/>
        </w:rPr>
        <w:t>Secretarios</w:t>
      </w:r>
      <w:proofErr w:type="gramEnd"/>
      <w:r w:rsidRPr="005A22DC">
        <w:rPr>
          <w:rFonts w:ascii="Book Antiqua" w:hAnsi="Book Antiqua"/>
          <w:bCs/>
          <w:szCs w:val="24"/>
          <w:lang w:val="es-ES_tradnl"/>
        </w:rPr>
        <w:t xml:space="preserve"> de los Departamentos de Salud, de Educación, de Agricultura, de la Familia, y el de Asuntos del Consumidor. Asimismo, entre sus miembros figuran: el </w:t>
      </w:r>
      <w:proofErr w:type="gramStart"/>
      <w:r w:rsidRPr="005A22DC">
        <w:rPr>
          <w:rFonts w:ascii="Book Antiqua" w:hAnsi="Book Antiqua"/>
          <w:bCs/>
          <w:szCs w:val="24"/>
          <w:lang w:val="es-ES_tradnl"/>
        </w:rPr>
        <w:t>Presidente</w:t>
      </w:r>
      <w:proofErr w:type="gramEnd"/>
      <w:r w:rsidRPr="005A22DC">
        <w:rPr>
          <w:rFonts w:ascii="Book Antiqua" w:hAnsi="Book Antiqua"/>
          <w:bCs/>
          <w:szCs w:val="24"/>
          <w:lang w:val="es-ES_tradnl"/>
        </w:rPr>
        <w:t xml:space="preserve"> de la Universidad de Puerto Rico, el del Colegio de Nutricionistas y Dietistas de Puerto Rico y cuatro (4) ciudadanos particulares de reputada y reconocida capacidad y conocimiento en alimentos y nutrición.  Una de éstas provendrá del área de distribución, importación y mercadeo de alimentos y otro debe conocer el campo de la tecnología de alimentos.  Se establece también que estos integrantes serán nombrados por el gobernador de Puerto Rico, con el consejo y consentimiento del Senado.  </w:t>
      </w:r>
    </w:p>
    <w:p w14:paraId="7C1C0A27" w14:textId="77777777" w:rsidR="005A22DC" w:rsidRPr="005A22DC" w:rsidRDefault="005A22DC" w:rsidP="005A22DC">
      <w:pPr>
        <w:ind w:firstLine="720"/>
        <w:jc w:val="both"/>
        <w:rPr>
          <w:rFonts w:ascii="Book Antiqua" w:hAnsi="Book Antiqua"/>
          <w:bCs/>
          <w:szCs w:val="24"/>
          <w:lang w:val="es-ES_tradnl"/>
        </w:rPr>
      </w:pPr>
    </w:p>
    <w:p w14:paraId="5ABE6BAF" w14:textId="5E39B483" w:rsidR="005A22DC" w:rsidRPr="005A22DC" w:rsidRDefault="005A22DC" w:rsidP="005A22DC">
      <w:pPr>
        <w:ind w:firstLine="720"/>
        <w:jc w:val="both"/>
        <w:rPr>
          <w:rFonts w:ascii="Book Antiqua" w:hAnsi="Book Antiqua"/>
          <w:bCs/>
          <w:szCs w:val="24"/>
          <w:lang w:val="es-ES_tradnl"/>
        </w:rPr>
      </w:pPr>
      <w:r w:rsidRPr="005A22DC">
        <w:rPr>
          <w:rFonts w:ascii="Book Antiqua" w:hAnsi="Book Antiqua"/>
          <w:bCs/>
          <w:szCs w:val="24"/>
          <w:lang w:val="es-ES_tradnl"/>
        </w:rPr>
        <w:t xml:space="preserve">Además, la Ley 10, </w:t>
      </w:r>
      <w:r w:rsidRPr="005A22DC">
        <w:rPr>
          <w:rFonts w:ascii="Book Antiqua" w:hAnsi="Book Antiqua"/>
          <w:bCs/>
          <w:i/>
          <w:szCs w:val="24"/>
          <w:lang w:val="es-ES_tradnl"/>
        </w:rPr>
        <w:t>supra</w:t>
      </w:r>
      <w:r w:rsidRPr="005A22DC">
        <w:rPr>
          <w:rFonts w:ascii="Book Antiqua" w:hAnsi="Book Antiqua"/>
          <w:bCs/>
          <w:szCs w:val="24"/>
          <w:lang w:val="es-ES_tradnl"/>
        </w:rPr>
        <w:t xml:space="preserve">, dispone para el establecimiento de un sistema de vigilancia nutricional.  Este mecanismo propicia el diagnóstico y monitoreo continuo del estado alimentario y nutricional del País.  A través de éste, se origina un banco de datos nutrido por los hallazgos de investigaciones relacionadas con lo siguiente:  diferentes programas federales y estatales sobre nutrición; condiciones prevalecientes y su relación con la ingesta diaria y los efectos en el estado nutricional y la salud de la población.  Finalmente, el estatuto dispone que los gastos para el funcionamiento de dicha Comisión se consignen en el presupuesto general del gobierno del Estado Libre Asociado de Puerto Rico.  </w:t>
      </w:r>
    </w:p>
    <w:p w14:paraId="5635F99B" w14:textId="77777777" w:rsidR="005A22DC" w:rsidRPr="005A22DC" w:rsidRDefault="005A22DC" w:rsidP="005A22DC">
      <w:pPr>
        <w:ind w:firstLine="720"/>
        <w:jc w:val="both"/>
        <w:rPr>
          <w:rFonts w:ascii="Book Antiqua" w:hAnsi="Book Antiqua"/>
          <w:bCs/>
          <w:szCs w:val="24"/>
          <w:lang w:val="es-ES_tradnl"/>
        </w:rPr>
      </w:pPr>
    </w:p>
    <w:p w14:paraId="6FB591C3" w14:textId="50888445" w:rsidR="005A22DC" w:rsidRPr="005A22DC" w:rsidRDefault="005A22DC" w:rsidP="005A22DC">
      <w:pPr>
        <w:ind w:firstLine="720"/>
        <w:jc w:val="both"/>
        <w:rPr>
          <w:rFonts w:ascii="Book Antiqua" w:hAnsi="Book Antiqua"/>
          <w:bCs/>
          <w:szCs w:val="24"/>
          <w:lang w:val="es-PR"/>
        </w:rPr>
      </w:pPr>
      <w:r w:rsidRPr="005A22DC">
        <w:rPr>
          <w:rFonts w:ascii="Book Antiqua" w:hAnsi="Book Antiqua"/>
          <w:bCs/>
          <w:szCs w:val="24"/>
          <w:lang w:val="es-ES_tradnl"/>
        </w:rPr>
        <w:lastRenderedPageBreak/>
        <w:t xml:space="preserve">Sin embargo, a pesar de ésta y otras iniciativas legislativas dirigidas a concienciar a la población sobre los sanos hábitos alimenticios y de nutrición, dos terceras partes de nuestros habitantes padecen obesidad y sobrepeso.  En cuanto a la población infantil se refiere, </w:t>
      </w:r>
      <w:r w:rsidRPr="005A22DC">
        <w:rPr>
          <w:rFonts w:ascii="Book Antiqua" w:hAnsi="Book Antiqua"/>
          <w:bCs/>
          <w:szCs w:val="24"/>
          <w:lang w:val="es-PR"/>
        </w:rPr>
        <w:t xml:space="preserve">estadísticas del año 2005, a cargo del Departamento de Salud de Puerto Rico, revelaron </w:t>
      </w:r>
      <w:proofErr w:type="gramStart"/>
      <w:r w:rsidR="008A0D2E" w:rsidRPr="005A22DC">
        <w:rPr>
          <w:rFonts w:ascii="Book Antiqua" w:hAnsi="Book Antiqua"/>
          <w:bCs/>
          <w:szCs w:val="24"/>
          <w:lang w:val="es-PR"/>
        </w:rPr>
        <w:t>que</w:t>
      </w:r>
      <w:proofErr w:type="gramEnd"/>
      <w:r w:rsidRPr="005A22DC">
        <w:rPr>
          <w:rFonts w:ascii="Book Antiqua" w:hAnsi="Book Antiqua"/>
          <w:bCs/>
          <w:szCs w:val="24"/>
          <w:lang w:val="es-PR"/>
        </w:rPr>
        <w:t xml:space="preserve"> de cada 100 niños, 45 poseían un peso inadecuado para su edad; 25.7% eran obesos y 16.2% estaban en riesgo de serlo.  Los datos del 2007, acerca de niños entre 2 y 5 </w:t>
      </w:r>
      <w:proofErr w:type="gramStart"/>
      <w:r w:rsidRPr="005A22DC">
        <w:rPr>
          <w:rFonts w:ascii="Book Antiqua" w:hAnsi="Book Antiqua"/>
          <w:bCs/>
          <w:szCs w:val="24"/>
          <w:lang w:val="es-PR"/>
        </w:rPr>
        <w:t>años de edad</w:t>
      </w:r>
      <w:proofErr w:type="gramEnd"/>
      <w:r w:rsidRPr="005A22DC">
        <w:rPr>
          <w:rFonts w:ascii="Book Antiqua" w:hAnsi="Book Antiqua"/>
          <w:bCs/>
          <w:szCs w:val="24"/>
          <w:lang w:val="es-PR"/>
        </w:rPr>
        <w:t xml:space="preserve"> participantes del programa WIC, demostraron que un 39% son obesos o están presentan factores de riesgo.</w:t>
      </w:r>
    </w:p>
    <w:p w14:paraId="23A5D99B" w14:textId="77777777" w:rsidR="005A22DC" w:rsidRPr="005A22DC" w:rsidRDefault="005A22DC" w:rsidP="005A22DC">
      <w:pPr>
        <w:ind w:firstLine="720"/>
        <w:jc w:val="both"/>
        <w:rPr>
          <w:rFonts w:ascii="Book Antiqua" w:hAnsi="Book Antiqua"/>
          <w:bCs/>
          <w:szCs w:val="24"/>
          <w:lang w:val="es-PR"/>
        </w:rPr>
      </w:pPr>
    </w:p>
    <w:p w14:paraId="2C99DB36" w14:textId="0A79FDEF" w:rsidR="005A22DC" w:rsidRPr="005A22DC" w:rsidRDefault="005A22DC" w:rsidP="005A22DC">
      <w:pPr>
        <w:ind w:firstLine="720"/>
        <w:jc w:val="both"/>
        <w:rPr>
          <w:rFonts w:ascii="Book Antiqua" w:hAnsi="Book Antiqua"/>
          <w:bCs/>
          <w:szCs w:val="24"/>
          <w:lang w:val="es-PR"/>
        </w:rPr>
      </w:pPr>
      <w:r w:rsidRPr="005A22DC">
        <w:rPr>
          <w:rFonts w:ascii="Book Antiqua" w:hAnsi="Book Antiqua"/>
          <w:bCs/>
          <w:szCs w:val="24"/>
          <w:lang w:val="es-PR"/>
        </w:rPr>
        <w:t xml:space="preserve">Ciertamente, son múltiples las variables que inciden en la alimentación.  Y es que se trata de una acción compleja, regulada por mecanismos tanto fisiológicos como socioculturales y psicológicos.  En el aspecto fisiológico, no cabe duda </w:t>
      </w:r>
      <w:r w:rsidR="008A0D2E" w:rsidRPr="005A22DC">
        <w:rPr>
          <w:rFonts w:ascii="Book Antiqua" w:hAnsi="Book Antiqua"/>
          <w:bCs/>
          <w:szCs w:val="24"/>
          <w:lang w:val="es-PR"/>
        </w:rPr>
        <w:t>de que</w:t>
      </w:r>
      <w:r w:rsidRPr="005A22DC">
        <w:rPr>
          <w:rFonts w:ascii="Book Antiqua" w:hAnsi="Book Antiqua"/>
          <w:bCs/>
          <w:szCs w:val="24"/>
          <w:lang w:val="es-PR"/>
        </w:rPr>
        <w:t xml:space="preserve"> los genes pueden aumentar la predisposición de una persona a ser obesa.  No obstante, los aspectos socioculturales y psicológicos influyen en la conducta humana y en la toma de decisiones alimentarias.  En este último aspecto, es incuestionable la capacidad de persuasión de la publicidad, porque incluye de manera significativa en la sociedad y en la preferencia de los consumidores a la hora de decidir qué producto adquirir.</w:t>
      </w:r>
    </w:p>
    <w:p w14:paraId="257B8088" w14:textId="77777777" w:rsidR="005A22DC" w:rsidRPr="005A22DC" w:rsidRDefault="005A22DC" w:rsidP="005A22DC">
      <w:pPr>
        <w:ind w:firstLine="720"/>
        <w:jc w:val="both"/>
        <w:rPr>
          <w:rFonts w:ascii="Book Antiqua" w:hAnsi="Book Antiqua"/>
          <w:bCs/>
          <w:szCs w:val="24"/>
          <w:lang w:val="es-PR"/>
        </w:rPr>
      </w:pPr>
    </w:p>
    <w:p w14:paraId="0DFEBA0D" w14:textId="77777777" w:rsidR="005A22DC" w:rsidRPr="005A22DC" w:rsidRDefault="005A22DC" w:rsidP="005A22DC">
      <w:pPr>
        <w:ind w:firstLine="720"/>
        <w:jc w:val="both"/>
        <w:rPr>
          <w:rFonts w:ascii="Book Antiqua" w:hAnsi="Book Antiqua"/>
          <w:bCs/>
          <w:szCs w:val="24"/>
          <w:lang w:val="es-PR"/>
        </w:rPr>
      </w:pPr>
      <w:r w:rsidRPr="005A22DC">
        <w:rPr>
          <w:rFonts w:ascii="Book Antiqua" w:hAnsi="Book Antiqua"/>
          <w:bCs/>
          <w:szCs w:val="24"/>
          <w:lang w:val="es-PR"/>
        </w:rPr>
        <w:t>Es innegable que la razón de ser de la publicidad es crear y consolidar nuevos hábitos de consumo en el público.  En la sociedad en que vivimos, la publicidad se ha convertido en la mejor garantía para llamar la atención de los consumidores sobre su predilección, a la hora de escoger un producto en particular.  Lo anterior se agudiza en los menores de edad, pues atraviesan una etapa de mayor susceptibilidad en términos de comportamiento social y su marcada tendencia a imitar los modelos de conducta.</w:t>
      </w:r>
    </w:p>
    <w:p w14:paraId="003433A2" w14:textId="77777777" w:rsidR="005A22DC" w:rsidRPr="005A22DC" w:rsidRDefault="005A22DC" w:rsidP="005A22DC">
      <w:pPr>
        <w:ind w:firstLine="720"/>
        <w:jc w:val="both"/>
        <w:rPr>
          <w:rFonts w:ascii="Book Antiqua" w:hAnsi="Book Antiqua"/>
          <w:bCs/>
          <w:szCs w:val="24"/>
          <w:lang w:val="es-PR"/>
        </w:rPr>
      </w:pPr>
    </w:p>
    <w:p w14:paraId="6DAD7616" w14:textId="77777777" w:rsidR="005A22DC" w:rsidRPr="005A22DC" w:rsidRDefault="005A22DC" w:rsidP="005A22DC">
      <w:pPr>
        <w:ind w:firstLine="720"/>
        <w:jc w:val="both"/>
        <w:rPr>
          <w:rFonts w:ascii="Book Antiqua" w:hAnsi="Book Antiqua"/>
          <w:bCs/>
          <w:szCs w:val="24"/>
          <w:lang w:val="es-PR"/>
        </w:rPr>
      </w:pPr>
      <w:r w:rsidRPr="005A22DC">
        <w:rPr>
          <w:rFonts w:ascii="Book Antiqua" w:hAnsi="Book Antiqua"/>
          <w:bCs/>
          <w:szCs w:val="24"/>
          <w:lang w:val="es-PR"/>
        </w:rPr>
        <w:t xml:space="preserve">La plataforma más utilizada para hacer llegar a los niños el mensaje publicitario es a través de la televisión.  La mayoría de los niños ve la televisión a diario, por lo que están expuestos a la influencia de la publicidad:  gran parte de ésta dedicada a productos alimentarios. Forzosamente, los anuncios televisivos condicionan los hábitos alimentarios infantiles, logrando que los productos que éstos promueven, frecuentemente de poco o ningún valor nutricional, sean los preferidos por esta población.  </w:t>
      </w:r>
    </w:p>
    <w:p w14:paraId="32981897" w14:textId="77777777" w:rsidR="005A22DC" w:rsidRPr="005A22DC" w:rsidRDefault="005A22DC" w:rsidP="005A22DC">
      <w:pPr>
        <w:ind w:firstLine="720"/>
        <w:jc w:val="both"/>
        <w:rPr>
          <w:rFonts w:ascii="Book Antiqua" w:hAnsi="Book Antiqua"/>
          <w:bCs/>
          <w:szCs w:val="24"/>
          <w:lang w:val="es-PR"/>
        </w:rPr>
      </w:pPr>
    </w:p>
    <w:p w14:paraId="0FF41E9E" w14:textId="77777777" w:rsidR="005A22DC" w:rsidRPr="005A22DC" w:rsidRDefault="005A22DC" w:rsidP="005A22DC">
      <w:pPr>
        <w:ind w:firstLine="720"/>
        <w:jc w:val="both"/>
        <w:rPr>
          <w:rFonts w:ascii="Book Antiqua" w:hAnsi="Book Antiqua"/>
          <w:bCs/>
          <w:szCs w:val="24"/>
          <w:lang w:val="es-PR"/>
        </w:rPr>
      </w:pPr>
      <w:r w:rsidRPr="005A22DC">
        <w:rPr>
          <w:rFonts w:ascii="Book Antiqua" w:hAnsi="Book Antiqua"/>
          <w:bCs/>
          <w:szCs w:val="24"/>
          <w:lang w:val="es-PR"/>
        </w:rPr>
        <w:t>Por su parte, los comercios dedicados a vender productos alimenticios llevan a cabo decisiones de mercadeo que van de la mano con la publicidad televisiva.  Lo mismo sucede con su presencia en otros medios de comunicación masiva.  Si bien resultan variadas las estrategias que los publicistas utilizan para llamar la atención de los menores respecto a ciertos productos, gran parte coincide en una táctica en particular:  colocar los alimentos altamente publicitados en lugares de fácil acceso a los niños.  Así, las zonas de pago o “</w:t>
      </w:r>
      <w:proofErr w:type="spellStart"/>
      <w:r w:rsidRPr="005A22DC">
        <w:rPr>
          <w:rFonts w:ascii="Book Antiqua" w:hAnsi="Book Antiqua"/>
          <w:bCs/>
          <w:szCs w:val="24"/>
          <w:lang w:val="es-PR"/>
        </w:rPr>
        <w:t>checkouts</w:t>
      </w:r>
      <w:proofErr w:type="spellEnd"/>
      <w:r w:rsidRPr="005A22DC">
        <w:rPr>
          <w:rFonts w:ascii="Book Antiqua" w:hAnsi="Book Antiqua"/>
          <w:bCs/>
          <w:szCs w:val="24"/>
          <w:lang w:val="es-PR"/>
        </w:rPr>
        <w:t xml:space="preserve">” de dichos comercios son los lugares de preferencia a la hora de posicionar productos de valor nutricional escaso, apelando su consumo.  Ello, hace cada </w:t>
      </w:r>
      <w:r w:rsidRPr="005A22DC">
        <w:rPr>
          <w:rFonts w:ascii="Book Antiqua" w:hAnsi="Book Antiqua"/>
          <w:bCs/>
          <w:szCs w:val="24"/>
          <w:lang w:val="es-PR"/>
        </w:rPr>
        <w:lastRenderedPageBreak/>
        <w:t xml:space="preserve">vez más difícil mejorar la calidad de la dieta de esta población y cumplir así con la política pública establecida en la Ley 10, </w:t>
      </w:r>
      <w:r w:rsidRPr="005A22DC">
        <w:rPr>
          <w:rFonts w:ascii="Book Antiqua" w:hAnsi="Book Antiqua"/>
          <w:bCs/>
          <w:i/>
          <w:szCs w:val="24"/>
          <w:lang w:val="es-PR"/>
        </w:rPr>
        <w:t>supra</w:t>
      </w:r>
      <w:r w:rsidRPr="005A22DC">
        <w:rPr>
          <w:rFonts w:ascii="Book Antiqua" w:hAnsi="Book Antiqua"/>
          <w:bCs/>
          <w:szCs w:val="24"/>
          <w:lang w:val="es-PR"/>
        </w:rPr>
        <w:t>.</w:t>
      </w:r>
    </w:p>
    <w:p w14:paraId="23474AFF" w14:textId="77777777" w:rsidR="005A22DC" w:rsidRPr="005A22DC" w:rsidRDefault="005A22DC" w:rsidP="005A22DC">
      <w:pPr>
        <w:ind w:firstLine="720"/>
        <w:jc w:val="both"/>
        <w:rPr>
          <w:rFonts w:ascii="Book Antiqua" w:hAnsi="Book Antiqua"/>
          <w:bCs/>
          <w:szCs w:val="24"/>
          <w:lang w:val="es-PR"/>
        </w:rPr>
      </w:pPr>
    </w:p>
    <w:p w14:paraId="0114E9F0" w14:textId="242F144F" w:rsidR="005A22DC" w:rsidRPr="005A22DC" w:rsidRDefault="005A22DC" w:rsidP="005A22DC">
      <w:pPr>
        <w:ind w:firstLine="720"/>
        <w:jc w:val="both"/>
        <w:rPr>
          <w:rFonts w:ascii="Book Antiqua" w:hAnsi="Book Antiqua"/>
          <w:bCs/>
          <w:szCs w:val="24"/>
          <w:lang w:val="es-ES"/>
        </w:rPr>
      </w:pPr>
      <w:r w:rsidRPr="005A22DC">
        <w:rPr>
          <w:rFonts w:ascii="Book Antiqua" w:hAnsi="Book Antiqua"/>
          <w:bCs/>
          <w:szCs w:val="24"/>
          <w:lang w:val="es-PR"/>
        </w:rPr>
        <w:t xml:space="preserve">Conforme a ello, esta Asamblea Legislativa propone </w:t>
      </w:r>
      <w:r w:rsidRPr="005A22DC">
        <w:rPr>
          <w:rFonts w:ascii="Book Antiqua" w:hAnsi="Book Antiqua"/>
          <w:bCs/>
          <w:szCs w:val="24"/>
          <w:lang w:val="es-ES"/>
        </w:rPr>
        <w:t>enmendar la Ley 10-1999, según enmendada, conocida como “Ley de la Comisión de Alimentación y Nutrición de Puerto Rico”, a fin de ampliar las facultades y deberes de la Comisión de Alimentación y Nutrición de Puerto Rico.  En particular, esta ley otorga a la Comisión la facultad para asesorar, orientar y guiar a aquellos comercios dedicados a vender productos alimenticios, entre otros productos, sobre el desarrollo e implantación de un plan para añadir en las zonas de pago o “</w:t>
      </w:r>
      <w:proofErr w:type="spellStart"/>
      <w:r w:rsidRPr="005A22DC">
        <w:rPr>
          <w:rFonts w:ascii="Book Antiqua" w:hAnsi="Book Antiqua"/>
          <w:bCs/>
          <w:szCs w:val="24"/>
          <w:lang w:val="es-ES"/>
        </w:rPr>
        <w:t>checkouts</w:t>
      </w:r>
      <w:proofErr w:type="spellEnd"/>
      <w:r w:rsidRPr="005A22DC">
        <w:rPr>
          <w:rFonts w:ascii="Book Antiqua" w:hAnsi="Book Antiqua"/>
          <w:bCs/>
          <w:szCs w:val="24"/>
          <w:lang w:val="es-ES"/>
        </w:rPr>
        <w:t xml:space="preserve">” mayor variedad de alimentos con alto valor nutricional, así como el despliegue de carteles y material informativo que advierta sobre el riesgo de consumir alimentos con escaso valor nutricional. Ello, como parte de las medidas dirigidas a mejorar el estado nutricional, la salud y, en última instancia, la calidad de vida de la población puertorriqueña.  </w:t>
      </w:r>
    </w:p>
    <w:p w14:paraId="1A5F52BD" w14:textId="77777777" w:rsidR="005A22DC" w:rsidRPr="005A22DC" w:rsidRDefault="005A22DC" w:rsidP="005A22DC">
      <w:pPr>
        <w:ind w:firstLine="720"/>
        <w:jc w:val="both"/>
        <w:rPr>
          <w:rFonts w:ascii="Book Antiqua" w:hAnsi="Book Antiqua"/>
          <w:bCs/>
          <w:szCs w:val="24"/>
          <w:lang w:val="es-ES"/>
        </w:rPr>
      </w:pPr>
    </w:p>
    <w:p w14:paraId="61C80AF4" w14:textId="2E7C42CA" w:rsidR="008D4ABA" w:rsidRDefault="005A22DC" w:rsidP="00056734">
      <w:pPr>
        <w:ind w:firstLine="720"/>
        <w:jc w:val="both"/>
        <w:rPr>
          <w:rFonts w:ascii="Book Antiqua" w:hAnsi="Book Antiqua"/>
          <w:bCs/>
          <w:szCs w:val="24"/>
          <w:lang w:val="es-PR"/>
        </w:rPr>
      </w:pPr>
      <w:r w:rsidRPr="005A22DC">
        <w:rPr>
          <w:rFonts w:ascii="Book Antiqua" w:hAnsi="Book Antiqua"/>
          <w:bCs/>
          <w:szCs w:val="24"/>
          <w:lang w:val="es-ES"/>
        </w:rPr>
        <w:t>De esta manera, la Comisión puede extender su función asesora, con</w:t>
      </w:r>
      <w:r w:rsidRPr="005A22DC">
        <w:rPr>
          <w:rFonts w:ascii="Book Antiqua" w:hAnsi="Book Antiqua"/>
          <w:bCs/>
          <w:szCs w:val="24"/>
          <w:lang w:val="es-PR"/>
        </w:rPr>
        <w:t xml:space="preserve"> el objetivo de fomentar el consumo de alimentos de alto valor nutricional entre los niños puertorriqueños y promover en éstos y en sus familias, un estilo de vida más saludable.  De igual forma, se intenta combatir la obesidad infantil que se ha convertido en un mal social de grandes proporciones para nuestro País.  </w:t>
      </w:r>
    </w:p>
    <w:p w14:paraId="56A13F8C" w14:textId="77777777" w:rsidR="00056734" w:rsidRPr="00056734" w:rsidRDefault="00056734" w:rsidP="00056734">
      <w:pPr>
        <w:ind w:firstLine="720"/>
        <w:jc w:val="both"/>
        <w:rPr>
          <w:rFonts w:ascii="Book Antiqua" w:hAnsi="Book Antiqua"/>
          <w:bCs/>
          <w:szCs w:val="24"/>
          <w:lang w:val="es-PR"/>
        </w:rPr>
      </w:pP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321D63B5" w:rsidR="001C0C85" w:rsidRPr="00B4465F" w:rsidRDefault="001C0C85" w:rsidP="001C0C85">
      <w:pPr>
        <w:ind w:firstLine="720"/>
        <w:jc w:val="both"/>
        <w:rPr>
          <w:rFonts w:ascii="Book Antiqua" w:hAnsi="Book Antiqua"/>
          <w:b/>
          <w:szCs w:val="24"/>
          <w:lang w:val="es-ES"/>
        </w:rPr>
      </w:pPr>
      <w:r w:rsidRPr="009C3FBC">
        <w:rPr>
          <w:rFonts w:ascii="Book Antiqua" w:hAnsi="Book Antiqua"/>
          <w:bCs/>
          <w:szCs w:val="24"/>
          <w:lang w:val="es-ES"/>
        </w:rPr>
        <w:t xml:space="preserve">La Comisión de Salud de la Cámara de Representantes de Puerto Rico, para evaluar el presente Proyecto, solicitó memoriales explicativos </w:t>
      </w:r>
      <w:r w:rsidRPr="00434AD0">
        <w:rPr>
          <w:rFonts w:ascii="Book Antiqua" w:hAnsi="Book Antiqua"/>
          <w:bCs/>
          <w:szCs w:val="24"/>
          <w:lang w:val="es-ES"/>
        </w:rPr>
        <w:t xml:space="preserve">al </w:t>
      </w:r>
      <w:r w:rsidRPr="00434AD0">
        <w:rPr>
          <w:rFonts w:ascii="Book Antiqua" w:hAnsi="Book Antiqua"/>
          <w:b/>
          <w:szCs w:val="24"/>
          <w:lang w:val="es-ES"/>
        </w:rPr>
        <w:t>Departamento de Salud</w:t>
      </w:r>
      <w:r w:rsidRPr="00434AD0">
        <w:rPr>
          <w:rFonts w:ascii="Book Antiqua" w:hAnsi="Book Antiqua"/>
          <w:bCs/>
          <w:szCs w:val="24"/>
          <w:lang w:val="es-ES"/>
        </w:rPr>
        <w:t xml:space="preserve">, </w:t>
      </w:r>
      <w:r w:rsidRPr="00434AD0">
        <w:rPr>
          <w:rFonts w:ascii="Book Antiqua" w:hAnsi="Book Antiqua"/>
          <w:b/>
          <w:szCs w:val="24"/>
          <w:lang w:val="es-ES"/>
        </w:rPr>
        <w:t>Departamento de Asuntos del Consumidor</w:t>
      </w:r>
      <w:r w:rsidR="009C3FBC" w:rsidRPr="00434AD0">
        <w:rPr>
          <w:rFonts w:ascii="Book Antiqua" w:hAnsi="Book Antiqua"/>
          <w:b/>
          <w:szCs w:val="24"/>
          <w:lang w:val="es-ES"/>
        </w:rPr>
        <w:t xml:space="preserve"> (DACO), </w:t>
      </w:r>
      <w:r w:rsidR="00434AD0" w:rsidRPr="00434AD0">
        <w:rPr>
          <w:rFonts w:ascii="Book Antiqua" w:hAnsi="Book Antiqua"/>
          <w:bCs/>
          <w:szCs w:val="24"/>
          <w:lang w:val="es-ES"/>
        </w:rPr>
        <w:t>al</w:t>
      </w:r>
      <w:r w:rsidR="00434AD0" w:rsidRPr="00434AD0">
        <w:rPr>
          <w:rFonts w:ascii="Book Antiqua" w:hAnsi="Book Antiqua"/>
          <w:b/>
          <w:szCs w:val="24"/>
          <w:lang w:val="es-ES"/>
        </w:rPr>
        <w:t xml:space="preserve"> Departamento de Agricultura, </w:t>
      </w:r>
      <w:r w:rsidR="00434AD0" w:rsidRPr="00434AD0">
        <w:rPr>
          <w:rFonts w:ascii="Book Antiqua" w:hAnsi="Book Antiqua"/>
          <w:bCs/>
          <w:szCs w:val="24"/>
          <w:lang w:val="es-ES"/>
        </w:rPr>
        <w:t>a</w:t>
      </w:r>
      <w:r w:rsidR="00A83CEA" w:rsidRPr="00434AD0">
        <w:rPr>
          <w:rFonts w:ascii="Book Antiqua" w:hAnsi="Book Antiqua"/>
          <w:bCs/>
          <w:szCs w:val="24"/>
          <w:lang w:val="es-ES"/>
        </w:rPr>
        <w:t>l</w:t>
      </w:r>
      <w:r w:rsidR="00124913" w:rsidRPr="00434AD0">
        <w:rPr>
          <w:rFonts w:ascii="Book Antiqua" w:hAnsi="Book Antiqua"/>
          <w:bCs/>
          <w:szCs w:val="24"/>
          <w:lang w:val="es-ES"/>
        </w:rPr>
        <w:t xml:space="preserve"> </w:t>
      </w:r>
      <w:r w:rsidR="00124913" w:rsidRPr="00434AD0">
        <w:rPr>
          <w:rFonts w:ascii="Book Antiqua" w:hAnsi="Book Antiqua"/>
          <w:b/>
          <w:szCs w:val="24"/>
          <w:lang w:val="es-ES"/>
        </w:rPr>
        <w:t>Departamento de Educación (DE</w:t>
      </w:r>
      <w:r w:rsidR="00124913" w:rsidRPr="00B4465F">
        <w:rPr>
          <w:rFonts w:ascii="Book Antiqua" w:hAnsi="Book Antiqua"/>
          <w:b/>
          <w:szCs w:val="24"/>
          <w:lang w:val="es-ES"/>
        </w:rPr>
        <w:t>)</w:t>
      </w:r>
      <w:r w:rsidR="00A83CEA" w:rsidRPr="00B4465F">
        <w:rPr>
          <w:rFonts w:ascii="Book Antiqua" w:hAnsi="Book Antiqua"/>
          <w:b/>
          <w:szCs w:val="24"/>
          <w:lang w:val="es-ES"/>
        </w:rPr>
        <w:t xml:space="preserve"> </w:t>
      </w:r>
      <w:r w:rsidR="00A83CEA" w:rsidRPr="00B4465F">
        <w:rPr>
          <w:rFonts w:ascii="Book Antiqua" w:hAnsi="Book Antiqua"/>
          <w:bCs/>
          <w:szCs w:val="24"/>
          <w:lang w:val="es-ES"/>
        </w:rPr>
        <w:t xml:space="preserve">y </w:t>
      </w:r>
      <w:r w:rsidR="00434AD0" w:rsidRPr="00B4465F">
        <w:rPr>
          <w:rFonts w:ascii="Book Antiqua" w:hAnsi="Book Antiqua"/>
          <w:bCs/>
          <w:szCs w:val="24"/>
          <w:lang w:val="es-ES"/>
        </w:rPr>
        <w:t>al</w:t>
      </w:r>
      <w:r w:rsidR="00A83CEA" w:rsidRPr="00B4465F">
        <w:rPr>
          <w:rFonts w:ascii="Book Antiqua" w:hAnsi="Book Antiqua"/>
          <w:b/>
          <w:szCs w:val="24"/>
          <w:lang w:val="es-ES"/>
        </w:rPr>
        <w:t xml:space="preserve"> Departamento de la Familia </w:t>
      </w:r>
      <w:r w:rsidR="00A83CEA" w:rsidRPr="00B4465F">
        <w:rPr>
          <w:rFonts w:ascii="Book Antiqua" w:hAnsi="Book Antiqua"/>
          <w:bCs/>
          <w:szCs w:val="24"/>
          <w:lang w:val="es-ES"/>
        </w:rPr>
        <w:t>quien compareció a través del memoria</w:t>
      </w:r>
      <w:r w:rsidR="00A9081B" w:rsidRPr="00B4465F">
        <w:rPr>
          <w:rFonts w:ascii="Book Antiqua" w:hAnsi="Book Antiqua"/>
          <w:bCs/>
          <w:szCs w:val="24"/>
          <w:lang w:val="es-ES"/>
        </w:rPr>
        <w:t>l del Departamento de Salud</w:t>
      </w:r>
      <w:r w:rsidR="00434AD0" w:rsidRPr="00B4465F">
        <w:rPr>
          <w:rFonts w:ascii="Book Antiqua" w:hAnsi="Book Antiqua"/>
          <w:bCs/>
          <w:szCs w:val="24"/>
          <w:lang w:val="es-ES"/>
        </w:rPr>
        <w:t xml:space="preserve"> al igual que el </w:t>
      </w:r>
      <w:r w:rsidR="00434AD0" w:rsidRPr="00B4465F">
        <w:rPr>
          <w:rFonts w:ascii="Book Antiqua" w:hAnsi="Book Antiqua"/>
          <w:b/>
          <w:szCs w:val="24"/>
          <w:lang w:val="es-ES"/>
        </w:rPr>
        <w:t>Departamento de Recreación y Deportes.</w:t>
      </w:r>
    </w:p>
    <w:p w14:paraId="2EBED0D9" w14:textId="77777777" w:rsidR="009C3FBC" w:rsidRPr="00B4465F" w:rsidRDefault="009C3FBC" w:rsidP="001C0C85">
      <w:pPr>
        <w:ind w:firstLine="720"/>
        <w:jc w:val="both"/>
        <w:rPr>
          <w:rFonts w:ascii="Book Antiqua" w:hAnsi="Book Antiqua"/>
          <w:bCs/>
          <w:szCs w:val="24"/>
          <w:lang w:val="es-ES"/>
        </w:rPr>
      </w:pPr>
    </w:p>
    <w:p w14:paraId="773C8D94" w14:textId="6CD5786F" w:rsidR="009C3FBC" w:rsidRPr="009C3FBC" w:rsidRDefault="009C3FBC" w:rsidP="001C0C85">
      <w:pPr>
        <w:ind w:firstLine="720"/>
        <w:jc w:val="both"/>
        <w:rPr>
          <w:rFonts w:ascii="Book Antiqua" w:hAnsi="Book Antiqua"/>
          <w:b/>
          <w:szCs w:val="24"/>
          <w:lang w:val="es-ES"/>
        </w:rPr>
      </w:pPr>
      <w:r w:rsidRPr="00B4465F">
        <w:rPr>
          <w:rFonts w:ascii="Book Antiqua" w:hAnsi="Book Antiqua"/>
          <w:bCs/>
          <w:szCs w:val="24"/>
          <w:lang w:val="es-ES"/>
        </w:rPr>
        <w:t xml:space="preserve">Al momento de la redacción de este informe, no </w:t>
      </w:r>
      <w:r w:rsidR="00240D47" w:rsidRPr="00B4465F">
        <w:rPr>
          <w:rFonts w:ascii="Book Antiqua" w:hAnsi="Book Antiqua"/>
          <w:bCs/>
          <w:szCs w:val="24"/>
          <w:lang w:val="es-ES"/>
        </w:rPr>
        <w:t>se ha</w:t>
      </w:r>
      <w:r w:rsidRPr="00B4465F">
        <w:rPr>
          <w:rFonts w:ascii="Book Antiqua" w:hAnsi="Book Antiqua"/>
          <w:bCs/>
          <w:szCs w:val="24"/>
          <w:lang w:val="es-ES"/>
        </w:rPr>
        <w:t xml:space="preserve"> recibido</w:t>
      </w:r>
      <w:r w:rsidR="004C462C" w:rsidRPr="00B4465F">
        <w:rPr>
          <w:rFonts w:ascii="Book Antiqua" w:hAnsi="Book Antiqua"/>
          <w:bCs/>
          <w:szCs w:val="24"/>
          <w:lang w:val="es-ES"/>
        </w:rPr>
        <w:t xml:space="preserve"> el</w:t>
      </w:r>
      <w:r w:rsidR="00A9081B" w:rsidRPr="00B4465F">
        <w:rPr>
          <w:rFonts w:ascii="Book Antiqua" w:hAnsi="Book Antiqua"/>
          <w:bCs/>
          <w:szCs w:val="24"/>
          <w:lang w:val="es-ES"/>
        </w:rPr>
        <w:t xml:space="preserve"> </w:t>
      </w:r>
      <w:r w:rsidRPr="00B4465F">
        <w:rPr>
          <w:rFonts w:ascii="Book Antiqua" w:hAnsi="Book Antiqua"/>
          <w:bCs/>
          <w:szCs w:val="24"/>
          <w:lang w:val="es-ES"/>
        </w:rPr>
        <w:t>memorial</w:t>
      </w:r>
      <w:r w:rsidR="00240D47" w:rsidRPr="00B4465F">
        <w:rPr>
          <w:rFonts w:ascii="Book Antiqua" w:hAnsi="Book Antiqua"/>
          <w:bCs/>
          <w:szCs w:val="24"/>
          <w:lang w:val="es-ES"/>
        </w:rPr>
        <w:t xml:space="preserve"> solicitado </w:t>
      </w:r>
      <w:r w:rsidR="003E269A" w:rsidRPr="00B4465F">
        <w:rPr>
          <w:rFonts w:ascii="Book Antiqua" w:hAnsi="Book Antiqua"/>
          <w:bCs/>
          <w:szCs w:val="24"/>
          <w:lang w:val="es-ES"/>
        </w:rPr>
        <w:t>al</w:t>
      </w:r>
      <w:r w:rsidR="00240D47" w:rsidRPr="00B4465F">
        <w:rPr>
          <w:rFonts w:ascii="Book Antiqua" w:hAnsi="Book Antiqua"/>
          <w:bCs/>
          <w:szCs w:val="24"/>
          <w:lang w:val="es-ES"/>
        </w:rPr>
        <w:t xml:space="preserve"> Departamento de Agricultura</w:t>
      </w:r>
      <w:r w:rsidR="00380AE8" w:rsidRPr="00B4465F">
        <w:rPr>
          <w:rFonts w:ascii="Book Antiqua" w:hAnsi="Book Antiqua"/>
          <w:bCs/>
          <w:szCs w:val="24"/>
          <w:lang w:val="es-ES"/>
        </w:rPr>
        <w:t>.</w:t>
      </w:r>
    </w:p>
    <w:p w14:paraId="6085AC93" w14:textId="77777777" w:rsidR="00964006" w:rsidRDefault="00964006" w:rsidP="008F281B">
      <w:pPr>
        <w:ind w:firstLine="720"/>
        <w:jc w:val="center"/>
        <w:rPr>
          <w:rFonts w:ascii="Book Antiqua" w:hAnsi="Book Antiqua"/>
          <w:b/>
          <w:szCs w:val="24"/>
          <w:u w:val="single"/>
          <w:lang w:val="es-ES"/>
        </w:rPr>
      </w:pPr>
    </w:p>
    <w:p w14:paraId="38697428" w14:textId="1E19D824" w:rsidR="00A30C0A" w:rsidRPr="009C3FBC" w:rsidRDefault="00A30C0A" w:rsidP="008F281B">
      <w:pPr>
        <w:ind w:firstLine="720"/>
        <w:jc w:val="center"/>
        <w:rPr>
          <w:rFonts w:ascii="Book Antiqua" w:hAnsi="Book Antiqua"/>
          <w:b/>
          <w:szCs w:val="24"/>
          <w:u w:val="single"/>
          <w:lang w:val="es-ES"/>
        </w:rPr>
      </w:pPr>
      <w:r w:rsidRPr="009C3FBC">
        <w:rPr>
          <w:rFonts w:ascii="Book Antiqua" w:hAnsi="Book Antiqua"/>
          <w:b/>
          <w:szCs w:val="24"/>
          <w:u w:val="single"/>
          <w:lang w:val="es-ES"/>
        </w:rPr>
        <w:t>Departamento de Salud</w:t>
      </w:r>
    </w:p>
    <w:p w14:paraId="37600A1A" w14:textId="0FD2D3DC"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B344D9">
        <w:rPr>
          <w:rFonts w:ascii="Book Antiqua" w:hAnsi="Book Antiqua"/>
          <w:bCs/>
          <w:szCs w:val="24"/>
          <w:lang w:val="es-ES"/>
        </w:rPr>
        <w:t>20</w:t>
      </w:r>
      <w:r w:rsidR="00D63234" w:rsidRPr="009C3FBC">
        <w:rPr>
          <w:rFonts w:ascii="Book Antiqua" w:hAnsi="Book Antiqua"/>
          <w:bCs/>
          <w:szCs w:val="24"/>
          <w:lang w:val="es-ES"/>
        </w:rPr>
        <w:t xml:space="preserve"> de </w:t>
      </w:r>
      <w:r w:rsidR="009B709C">
        <w:rPr>
          <w:rFonts w:ascii="Book Antiqua" w:hAnsi="Book Antiqua"/>
          <w:bCs/>
          <w:szCs w:val="24"/>
          <w:lang w:val="es-ES"/>
        </w:rPr>
        <w:t>mayo</w:t>
      </w:r>
      <w:r w:rsidR="00D63234" w:rsidRPr="009C3FBC">
        <w:rPr>
          <w:rFonts w:ascii="Book Antiqua" w:hAnsi="Book Antiqua"/>
          <w:bCs/>
          <w:szCs w:val="24"/>
          <w:lang w:val="es-ES"/>
        </w:rPr>
        <w:t xml:space="preserve"> de 2025</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0F146A22" w14:textId="7021C1C3" w:rsidR="000B654E" w:rsidRPr="000B654E" w:rsidRDefault="00883C0D" w:rsidP="000B654E">
      <w:pPr>
        <w:ind w:firstLine="720"/>
        <w:jc w:val="both"/>
        <w:rPr>
          <w:rFonts w:ascii="Book Antiqua" w:hAnsi="Book Antiqua"/>
          <w:bCs/>
          <w:szCs w:val="24"/>
          <w:lang w:val="es-ES_tradnl"/>
        </w:rPr>
      </w:pPr>
      <w:r w:rsidRPr="009C3FBC">
        <w:rPr>
          <w:rFonts w:ascii="Book Antiqua" w:hAnsi="Book Antiqua"/>
          <w:bCs/>
          <w:szCs w:val="24"/>
          <w:lang w:val="es-ES"/>
        </w:rPr>
        <w:t>El Departamento de Salud</w:t>
      </w:r>
      <w:r w:rsidR="00022A9E" w:rsidRPr="009C3FBC">
        <w:rPr>
          <w:rFonts w:ascii="Book Antiqua" w:hAnsi="Book Antiqua"/>
          <w:bCs/>
          <w:szCs w:val="24"/>
          <w:lang w:val="es-ES"/>
        </w:rPr>
        <w:t xml:space="preserve"> </w:t>
      </w:r>
      <w:r w:rsidR="00205FD5">
        <w:rPr>
          <w:rFonts w:ascii="Book Antiqua" w:hAnsi="Book Antiqua"/>
          <w:bCs/>
          <w:szCs w:val="24"/>
          <w:lang w:val="es-ES"/>
        </w:rPr>
        <w:t xml:space="preserve">establece que </w:t>
      </w:r>
      <w:r w:rsidR="000B654E" w:rsidRPr="000B654E">
        <w:rPr>
          <w:rFonts w:ascii="Book Antiqua" w:hAnsi="Book Antiqua"/>
          <w:bCs/>
          <w:szCs w:val="24"/>
          <w:lang w:val="es-ES_tradnl"/>
        </w:rPr>
        <w:t xml:space="preserve">la Comisión de Alimentación y Nutrición de Puerto Rico (CANPR), que está adscrita al Departamento de Salud y fue establecida por la Ley Núm. 10 del 8 de enero de 1999 (Ley 10-1999), opera como un organismo consultivo encargado de la formulación, implementación y evaluación de políticas públicas en los campos de la alimentación y la nutrición. Su misión incluye la creación de </w:t>
      </w:r>
      <w:r w:rsidR="000B654E" w:rsidRPr="000B654E">
        <w:rPr>
          <w:rFonts w:ascii="Book Antiqua" w:hAnsi="Book Antiqua"/>
          <w:bCs/>
          <w:szCs w:val="24"/>
          <w:lang w:val="es-ES_tradnl"/>
        </w:rPr>
        <w:lastRenderedPageBreak/>
        <w:t>un sistema que facilite la identificación de condiciones y el análisis de la situación alimentaria y nutricional en Puerto Rico. A partir de este análisis, la Comisión tiene la responsabilidad de proponer estrategias para el desarrollo, implementación y evaluación de una política pública que sea coordinada y efectiva, fomentando la colaboración entre agencias y sectores.</w:t>
      </w:r>
    </w:p>
    <w:p w14:paraId="636C989D" w14:textId="1D3848E2" w:rsidR="00022A9E" w:rsidRPr="000B654E" w:rsidRDefault="00022A9E" w:rsidP="000B654E">
      <w:pPr>
        <w:ind w:firstLine="720"/>
        <w:jc w:val="both"/>
        <w:rPr>
          <w:rFonts w:ascii="Book Antiqua" w:hAnsi="Book Antiqua"/>
          <w:bCs/>
          <w:szCs w:val="24"/>
          <w:lang w:val="es-ES_tradnl"/>
        </w:rPr>
      </w:pPr>
    </w:p>
    <w:p w14:paraId="3C77F2D0" w14:textId="5293EA98" w:rsidR="005972D3" w:rsidRPr="005972D3" w:rsidRDefault="005972D3" w:rsidP="005972D3">
      <w:pPr>
        <w:ind w:firstLine="720"/>
        <w:jc w:val="both"/>
        <w:rPr>
          <w:rFonts w:ascii="Book Antiqua" w:hAnsi="Book Antiqua"/>
          <w:bCs/>
          <w:szCs w:val="24"/>
          <w:lang w:val="es-PR"/>
        </w:rPr>
      </w:pPr>
      <w:r>
        <w:rPr>
          <w:rFonts w:ascii="Book Antiqua" w:hAnsi="Book Antiqua"/>
          <w:bCs/>
          <w:szCs w:val="24"/>
          <w:lang w:val="es-PR"/>
        </w:rPr>
        <w:t>Al r</w:t>
      </w:r>
      <w:r w:rsidRPr="005972D3">
        <w:rPr>
          <w:rFonts w:ascii="Book Antiqua" w:hAnsi="Book Antiqua"/>
          <w:bCs/>
          <w:szCs w:val="24"/>
          <w:lang w:val="es-PR"/>
        </w:rPr>
        <w:t>ealiza</w:t>
      </w:r>
      <w:r>
        <w:rPr>
          <w:rFonts w:ascii="Book Antiqua" w:hAnsi="Book Antiqua"/>
          <w:bCs/>
          <w:szCs w:val="24"/>
          <w:lang w:val="es-PR"/>
        </w:rPr>
        <w:t>r el Departamento de Salud</w:t>
      </w:r>
      <w:r w:rsidRPr="005972D3">
        <w:rPr>
          <w:rFonts w:ascii="Book Antiqua" w:hAnsi="Book Antiqua"/>
          <w:bCs/>
          <w:szCs w:val="24"/>
          <w:lang w:val="es-PR"/>
        </w:rPr>
        <w:t xml:space="preserve"> un análisis general de la medida, </w:t>
      </w:r>
      <w:r>
        <w:rPr>
          <w:rFonts w:ascii="Book Antiqua" w:hAnsi="Book Antiqua"/>
          <w:bCs/>
          <w:szCs w:val="24"/>
          <w:lang w:val="es-PR"/>
        </w:rPr>
        <w:t>observaron</w:t>
      </w:r>
      <w:r w:rsidRPr="005972D3">
        <w:rPr>
          <w:rFonts w:ascii="Book Antiqua" w:hAnsi="Book Antiqua"/>
          <w:bCs/>
          <w:szCs w:val="24"/>
          <w:lang w:val="es-PR"/>
        </w:rPr>
        <w:t xml:space="preserve"> que entre los beneficios de ofrecer alimentos saludables en las zonas de pagos se destacan:  </w:t>
      </w:r>
    </w:p>
    <w:p w14:paraId="60AAEA3B" w14:textId="77777777" w:rsidR="005972D3" w:rsidRPr="005972D3" w:rsidRDefault="005972D3" w:rsidP="005972D3">
      <w:pPr>
        <w:ind w:firstLine="720"/>
        <w:jc w:val="both"/>
        <w:rPr>
          <w:rFonts w:ascii="Book Antiqua" w:hAnsi="Book Antiqua"/>
          <w:bCs/>
          <w:szCs w:val="24"/>
          <w:lang w:val="es-PR"/>
        </w:rPr>
      </w:pPr>
    </w:p>
    <w:p w14:paraId="17E8BD04" w14:textId="102F21AA" w:rsidR="005972D3" w:rsidRPr="005972D3" w:rsidRDefault="005972D3" w:rsidP="005972D3">
      <w:pPr>
        <w:numPr>
          <w:ilvl w:val="0"/>
          <w:numId w:val="23"/>
        </w:numPr>
        <w:jc w:val="both"/>
        <w:rPr>
          <w:rFonts w:ascii="Book Antiqua" w:hAnsi="Book Antiqua"/>
          <w:bCs/>
          <w:szCs w:val="24"/>
          <w:lang w:val="es-PR"/>
        </w:rPr>
      </w:pPr>
      <w:r w:rsidRPr="005972D3">
        <w:rPr>
          <w:rFonts w:ascii="Book Antiqua" w:hAnsi="Book Antiqua"/>
          <w:bCs/>
          <w:szCs w:val="24"/>
          <w:u w:val="single"/>
          <w:lang w:val="es-PR"/>
        </w:rPr>
        <w:t>Mejores opciones nutricionales</w:t>
      </w:r>
      <w:r w:rsidRPr="005972D3">
        <w:rPr>
          <w:rFonts w:ascii="Book Antiqua" w:hAnsi="Book Antiqua"/>
          <w:bCs/>
          <w:szCs w:val="24"/>
          <w:lang w:val="es-PR"/>
        </w:rPr>
        <w:t>: Ofrecer opciones de alimentos más saludables en las cajas registradoras puede aumentar la compra de estos artículos. Estudios han demostrado que cuando se ofrecen opciones más saludables en las cajas, la proporción de compras saludables aumenta significativamente</w:t>
      </w:r>
      <w:r w:rsidR="00DC1494">
        <w:rPr>
          <w:rStyle w:val="FootnoteReference"/>
          <w:rFonts w:ascii="Book Antiqua" w:hAnsi="Book Antiqua"/>
          <w:bCs/>
          <w:szCs w:val="24"/>
          <w:lang w:val="es-PR"/>
        </w:rPr>
        <w:footnoteReference w:id="1"/>
      </w:r>
      <w:r w:rsidRPr="005972D3">
        <w:rPr>
          <w:rFonts w:ascii="Book Antiqua" w:hAnsi="Book Antiqua"/>
          <w:bCs/>
          <w:szCs w:val="24"/>
          <w:lang w:val="es-PR"/>
        </w:rPr>
        <w:t>.</w:t>
      </w:r>
    </w:p>
    <w:p w14:paraId="56A8054A" w14:textId="5EC01934" w:rsidR="005972D3" w:rsidRPr="005972D3" w:rsidRDefault="005972D3" w:rsidP="005972D3">
      <w:pPr>
        <w:numPr>
          <w:ilvl w:val="0"/>
          <w:numId w:val="23"/>
        </w:numPr>
        <w:jc w:val="both"/>
        <w:rPr>
          <w:rFonts w:ascii="Book Antiqua" w:hAnsi="Book Antiqua"/>
          <w:bCs/>
          <w:szCs w:val="24"/>
          <w:lang w:val="es-PR"/>
        </w:rPr>
      </w:pPr>
      <w:r w:rsidRPr="005972D3">
        <w:rPr>
          <w:rFonts w:ascii="Book Antiqua" w:hAnsi="Book Antiqua"/>
          <w:bCs/>
          <w:szCs w:val="24"/>
          <w:u w:val="single"/>
          <w:lang w:val="es-PR"/>
        </w:rPr>
        <w:t>Reducción en la compra de alimentos poco saludables</w:t>
      </w:r>
      <w:r w:rsidRPr="005972D3">
        <w:rPr>
          <w:rFonts w:ascii="Book Antiqua" w:hAnsi="Book Antiqua"/>
          <w:bCs/>
          <w:szCs w:val="24"/>
          <w:lang w:val="es-PR"/>
        </w:rPr>
        <w:t>: Al sustituir alimentos poco saludables por alternativas más saludables en las zonas de pago, se puede reducir la compra impulsiva de alimentos ricos en calorías y bajos en nutrientes. Esto puede contribuir a mejorar los hábitos alimentarios en general</w:t>
      </w:r>
      <w:r w:rsidR="00E42E71">
        <w:rPr>
          <w:rStyle w:val="FootnoteReference"/>
          <w:rFonts w:ascii="Book Antiqua" w:hAnsi="Book Antiqua"/>
          <w:bCs/>
          <w:szCs w:val="24"/>
          <w:lang w:val="es-PR"/>
        </w:rPr>
        <w:footnoteReference w:id="2"/>
      </w:r>
      <w:r w:rsidRPr="005972D3">
        <w:rPr>
          <w:rFonts w:ascii="Book Antiqua" w:hAnsi="Book Antiqua"/>
          <w:bCs/>
          <w:szCs w:val="24"/>
          <w:lang w:val="es-PR"/>
        </w:rPr>
        <w:t xml:space="preserve">. </w:t>
      </w:r>
    </w:p>
    <w:p w14:paraId="06DFC2A0" w14:textId="084A257F" w:rsidR="005972D3" w:rsidRPr="005972D3" w:rsidRDefault="005972D3" w:rsidP="005972D3">
      <w:pPr>
        <w:numPr>
          <w:ilvl w:val="0"/>
          <w:numId w:val="23"/>
        </w:numPr>
        <w:jc w:val="both"/>
        <w:rPr>
          <w:rFonts w:ascii="Book Antiqua" w:hAnsi="Book Antiqua"/>
          <w:bCs/>
          <w:szCs w:val="24"/>
          <w:lang w:val="es-PR"/>
        </w:rPr>
      </w:pPr>
      <w:r w:rsidRPr="005972D3">
        <w:rPr>
          <w:rFonts w:ascii="Book Antiqua" w:hAnsi="Book Antiqua"/>
          <w:bCs/>
          <w:szCs w:val="24"/>
          <w:u w:val="single"/>
          <w:lang w:val="es-PR"/>
        </w:rPr>
        <w:t>Apoyo a los objetivos de salud pública</w:t>
      </w:r>
      <w:r w:rsidRPr="005972D3">
        <w:rPr>
          <w:rFonts w:ascii="Book Antiqua" w:hAnsi="Book Antiqua"/>
          <w:bCs/>
          <w:szCs w:val="24"/>
          <w:lang w:val="es-PR"/>
        </w:rPr>
        <w:t>: La Sociedad Americana del Cáncer enfatiza que la creación de un entorno saludable en las tiendas minoristas de alimentos, incluyendo áreas de caja saludables, puede contribuir a los objetivos de salud pública al facilitar que los consumidores tomen decisiones más saludables</w:t>
      </w:r>
      <w:r w:rsidR="00C365F1">
        <w:rPr>
          <w:rStyle w:val="FootnoteReference"/>
          <w:rFonts w:ascii="Book Antiqua" w:hAnsi="Book Antiqua"/>
          <w:bCs/>
          <w:szCs w:val="24"/>
          <w:lang w:val="es-PR"/>
        </w:rPr>
        <w:footnoteReference w:id="3"/>
      </w:r>
      <w:r w:rsidRPr="005972D3">
        <w:rPr>
          <w:rFonts w:ascii="Book Antiqua" w:hAnsi="Book Antiqua"/>
          <w:bCs/>
          <w:szCs w:val="24"/>
          <w:lang w:val="es-PR"/>
        </w:rPr>
        <w:t>.</w:t>
      </w:r>
    </w:p>
    <w:p w14:paraId="5F591016" w14:textId="22112CD6" w:rsidR="005747EF" w:rsidRDefault="005972D3" w:rsidP="005972D3">
      <w:pPr>
        <w:numPr>
          <w:ilvl w:val="0"/>
          <w:numId w:val="23"/>
        </w:numPr>
        <w:jc w:val="both"/>
        <w:rPr>
          <w:rFonts w:ascii="Book Antiqua" w:hAnsi="Book Antiqua"/>
          <w:bCs/>
          <w:szCs w:val="24"/>
          <w:lang w:val="es-PR"/>
        </w:rPr>
      </w:pPr>
      <w:r w:rsidRPr="005972D3">
        <w:rPr>
          <w:rFonts w:ascii="Book Antiqua" w:hAnsi="Book Antiqua"/>
          <w:bCs/>
          <w:szCs w:val="24"/>
          <w:u w:val="single"/>
          <w:lang w:val="es-PR"/>
        </w:rPr>
        <w:t>Aumento en las ventas de productos saludables</w:t>
      </w:r>
      <w:r w:rsidRPr="005972D3">
        <w:rPr>
          <w:rFonts w:ascii="Book Antiqua" w:hAnsi="Book Antiqua"/>
          <w:bCs/>
          <w:szCs w:val="24"/>
          <w:lang w:val="es-PR"/>
        </w:rPr>
        <w:t>: Se ha demostrado que las intervenciones en donde se colocan alimentos más saludables en las áreas de caja aumentan las ventas de estos productos, lo que sugiere que estas estrategias también pueden ser beneficiosas para los minoristas</w:t>
      </w:r>
      <w:r w:rsidR="005248AF">
        <w:rPr>
          <w:rStyle w:val="FootnoteReference"/>
          <w:rFonts w:ascii="Book Antiqua" w:hAnsi="Book Antiqua"/>
          <w:bCs/>
          <w:szCs w:val="24"/>
          <w:lang w:val="es-PR"/>
        </w:rPr>
        <w:footnoteReference w:id="4"/>
      </w:r>
      <w:r w:rsidRPr="005972D3">
        <w:rPr>
          <w:rFonts w:ascii="Book Antiqua" w:hAnsi="Book Antiqua"/>
          <w:bCs/>
          <w:szCs w:val="24"/>
          <w:lang w:val="es-PR"/>
        </w:rPr>
        <w:t>.</w:t>
      </w:r>
    </w:p>
    <w:p w14:paraId="7D6B1A93" w14:textId="77777777" w:rsidR="005747EF" w:rsidRDefault="005747EF" w:rsidP="005747EF">
      <w:pPr>
        <w:ind w:left="360"/>
        <w:jc w:val="both"/>
        <w:rPr>
          <w:rFonts w:ascii="Book Antiqua" w:hAnsi="Book Antiqua"/>
          <w:bCs/>
          <w:szCs w:val="24"/>
          <w:u w:val="single"/>
          <w:lang w:val="es-PR"/>
        </w:rPr>
      </w:pPr>
    </w:p>
    <w:p w14:paraId="3C011EF3" w14:textId="5933E865" w:rsidR="005747EF" w:rsidRPr="005747EF" w:rsidRDefault="005972D3" w:rsidP="005747EF">
      <w:pPr>
        <w:ind w:left="360"/>
        <w:jc w:val="both"/>
        <w:rPr>
          <w:rFonts w:ascii="Book Antiqua" w:hAnsi="Book Antiqua"/>
          <w:bCs/>
          <w:szCs w:val="24"/>
          <w:lang w:val="es-ES"/>
        </w:rPr>
      </w:pPr>
      <w:r w:rsidRPr="005972D3">
        <w:rPr>
          <w:rFonts w:ascii="Book Antiqua" w:hAnsi="Book Antiqua"/>
          <w:bCs/>
          <w:szCs w:val="24"/>
          <w:lang w:val="es-PR"/>
        </w:rPr>
        <w:t xml:space="preserve"> </w:t>
      </w:r>
      <w:r w:rsidR="00056734">
        <w:rPr>
          <w:rFonts w:ascii="Book Antiqua" w:hAnsi="Book Antiqua"/>
          <w:bCs/>
          <w:szCs w:val="24"/>
          <w:lang w:val="es-PR"/>
        </w:rPr>
        <w:tab/>
      </w:r>
      <w:r w:rsidR="005747EF">
        <w:rPr>
          <w:rFonts w:ascii="Book Antiqua" w:hAnsi="Book Antiqua"/>
          <w:bCs/>
          <w:szCs w:val="24"/>
          <w:lang w:val="es-PR"/>
        </w:rPr>
        <w:t>El Departamento de Salud considera</w:t>
      </w:r>
      <w:r w:rsidR="005747EF" w:rsidRPr="005747EF">
        <w:rPr>
          <w:rFonts w:ascii="Book Antiqua" w:hAnsi="Book Antiqua"/>
          <w:bCs/>
          <w:szCs w:val="24"/>
          <w:lang w:val="es-PR"/>
        </w:rPr>
        <w:t xml:space="preserve"> que el Proyecto de la Cámara 88 se alinea con las prioridades estratégicas del Plan de Acción para la Prevención de la Obesidad en Puerto Rico. Desde 2016, la Comisión ha sido designada por la Organización Panamericana de la Salud (OPS), con sede en Washington D.C. y en Puerto Rico bajo el Departamento de Salud, para implementar esta política pública. Su objetivo es frenar el rápido aumento de la obesidad en nuestra población. La Línea Estratégica 3 - Políticas fiscales y regulación de la publicidad de alimentos abarca estrategias de acción enfocadas en:</w:t>
      </w:r>
    </w:p>
    <w:p w14:paraId="120D36C8" w14:textId="77777777" w:rsidR="005747EF" w:rsidRPr="005747EF" w:rsidRDefault="005747EF" w:rsidP="005747EF">
      <w:pPr>
        <w:numPr>
          <w:ilvl w:val="0"/>
          <w:numId w:val="24"/>
        </w:numPr>
        <w:jc w:val="both"/>
        <w:rPr>
          <w:rFonts w:ascii="Book Antiqua" w:hAnsi="Book Antiqua"/>
          <w:bCs/>
          <w:szCs w:val="24"/>
          <w:lang w:val="es-PR"/>
        </w:rPr>
      </w:pPr>
      <w:r w:rsidRPr="005747EF">
        <w:rPr>
          <w:rFonts w:ascii="Book Antiqua" w:hAnsi="Book Antiqua"/>
          <w:bCs/>
          <w:szCs w:val="24"/>
          <w:lang w:val="es-PR"/>
        </w:rPr>
        <w:lastRenderedPageBreak/>
        <w:t xml:space="preserve">Promover la instrumentación de medidas fiscales para reducir la demanda por el consumo de productos con alto contenido de azúcar, grasa y sal (alto contenido calórico y bajo valor nutricional), como son las bebidas azucaradas, los bocadillos (snacks) y las comidas rápidas o alimentos </w:t>
      </w:r>
      <w:proofErr w:type="spellStart"/>
      <w:r w:rsidRPr="005747EF">
        <w:rPr>
          <w:rFonts w:ascii="Book Antiqua" w:hAnsi="Book Antiqua"/>
          <w:bCs/>
          <w:szCs w:val="24"/>
          <w:lang w:val="es-PR"/>
        </w:rPr>
        <w:t>ultraprocesados</w:t>
      </w:r>
      <w:proofErr w:type="spellEnd"/>
      <w:r w:rsidRPr="005747EF">
        <w:rPr>
          <w:rFonts w:ascii="Book Antiqua" w:hAnsi="Book Antiqua"/>
          <w:bCs/>
          <w:szCs w:val="24"/>
          <w:lang w:val="es-PR"/>
        </w:rPr>
        <w:t xml:space="preserve"> listos para el consumo.</w:t>
      </w:r>
    </w:p>
    <w:p w14:paraId="1FFB5CB7" w14:textId="77777777" w:rsidR="005747EF" w:rsidRPr="005747EF" w:rsidRDefault="005747EF" w:rsidP="005747EF">
      <w:pPr>
        <w:numPr>
          <w:ilvl w:val="0"/>
          <w:numId w:val="24"/>
        </w:numPr>
        <w:jc w:val="both"/>
        <w:rPr>
          <w:rFonts w:ascii="Book Antiqua" w:hAnsi="Book Antiqua"/>
          <w:bCs/>
          <w:szCs w:val="24"/>
          <w:lang w:val="es-PR"/>
        </w:rPr>
      </w:pPr>
      <w:r w:rsidRPr="005747EF">
        <w:rPr>
          <w:rFonts w:ascii="Book Antiqua" w:hAnsi="Book Antiqua"/>
          <w:bCs/>
          <w:szCs w:val="24"/>
          <w:lang w:val="es-PR"/>
        </w:rPr>
        <w:t>Adoptar políticas que restrinjan la cantidad de publicidad y la colocación de productos de alto contenido calórico y bajo valor nutricional junto a las cajas registradoras a la salida de los mercados.</w:t>
      </w:r>
    </w:p>
    <w:p w14:paraId="0920ABF4" w14:textId="77777777" w:rsidR="005747EF" w:rsidRPr="005747EF" w:rsidRDefault="005747EF" w:rsidP="005747EF">
      <w:pPr>
        <w:numPr>
          <w:ilvl w:val="0"/>
          <w:numId w:val="24"/>
        </w:numPr>
        <w:jc w:val="both"/>
        <w:rPr>
          <w:rFonts w:ascii="Book Antiqua" w:hAnsi="Book Antiqua"/>
          <w:bCs/>
          <w:szCs w:val="24"/>
          <w:lang w:val="es-PR"/>
        </w:rPr>
      </w:pPr>
      <w:r w:rsidRPr="005747EF">
        <w:rPr>
          <w:rFonts w:ascii="Book Antiqua" w:hAnsi="Book Antiqua"/>
          <w:bCs/>
          <w:szCs w:val="24"/>
          <w:lang w:val="es-PR"/>
        </w:rPr>
        <w:t xml:space="preserve">Regular la promoción y publicidad de alimentos y bebidas no alcohólicas dirigidas a niños y adolescentes, en especial aquellas con alto contenido de azúcar, grasa y sal (productos de alto contenido calórico y bajo valor nutricional), como son las bebidas azucaradas, los bocadillos (snacks) y las comidas rápidas o los productos </w:t>
      </w:r>
      <w:proofErr w:type="spellStart"/>
      <w:r w:rsidRPr="005747EF">
        <w:rPr>
          <w:rFonts w:ascii="Book Antiqua" w:hAnsi="Book Antiqua"/>
          <w:bCs/>
          <w:szCs w:val="24"/>
          <w:lang w:val="es-PR"/>
        </w:rPr>
        <w:t>ultraprocesados</w:t>
      </w:r>
      <w:proofErr w:type="spellEnd"/>
      <w:r w:rsidRPr="005747EF">
        <w:rPr>
          <w:rFonts w:ascii="Book Antiqua" w:hAnsi="Book Antiqua"/>
          <w:bCs/>
          <w:szCs w:val="24"/>
          <w:lang w:val="es-PR"/>
        </w:rPr>
        <w:t xml:space="preserve"> listos para el consumo.</w:t>
      </w:r>
    </w:p>
    <w:p w14:paraId="45717074" w14:textId="77777777" w:rsidR="005747EF" w:rsidRPr="005747EF" w:rsidRDefault="005747EF" w:rsidP="005747EF">
      <w:pPr>
        <w:numPr>
          <w:ilvl w:val="0"/>
          <w:numId w:val="24"/>
        </w:numPr>
        <w:jc w:val="both"/>
        <w:rPr>
          <w:rFonts w:ascii="Book Antiqua" w:hAnsi="Book Antiqua"/>
          <w:bCs/>
          <w:szCs w:val="24"/>
          <w:lang w:val="es-PR"/>
        </w:rPr>
      </w:pPr>
      <w:r w:rsidRPr="005747EF">
        <w:rPr>
          <w:rFonts w:ascii="Book Antiqua" w:hAnsi="Book Antiqua"/>
          <w:bCs/>
          <w:szCs w:val="24"/>
          <w:lang w:val="es-PR"/>
        </w:rPr>
        <w:t>Establecer el uso de los estándares nutricionales para regular la venta de alimentos y bebidas con alto contenido calórico y bajo valor nutricional en cafeterías y máquinas expendedoras en edificios e instalaciones públicas.</w:t>
      </w:r>
    </w:p>
    <w:p w14:paraId="2BF3F08D" w14:textId="77777777" w:rsidR="005747EF" w:rsidRDefault="005747EF" w:rsidP="005747EF">
      <w:pPr>
        <w:numPr>
          <w:ilvl w:val="0"/>
          <w:numId w:val="24"/>
        </w:numPr>
        <w:jc w:val="both"/>
        <w:rPr>
          <w:rFonts w:ascii="Book Antiqua" w:hAnsi="Book Antiqua"/>
          <w:bCs/>
          <w:szCs w:val="24"/>
          <w:lang w:val="es-PR"/>
        </w:rPr>
      </w:pPr>
      <w:r w:rsidRPr="005747EF">
        <w:rPr>
          <w:rFonts w:ascii="Book Antiqua" w:hAnsi="Book Antiqua"/>
          <w:bCs/>
          <w:szCs w:val="24"/>
          <w:lang w:val="es-PR"/>
        </w:rPr>
        <w:t xml:space="preserve">Mejorar el acceso a los alimentos saludables y el agua, a la vez que se restringe el ofrecimiento de bebidas azucaradas y productos de alto contenido calórico y de bajo valor nutricional en reuniones y actividades oficiales realizadas en las agencias y entidades públicas, instituciones educativas, lugares de trabajo, centros comunitarios y de cuidado de salud, entre otros. </w:t>
      </w:r>
    </w:p>
    <w:p w14:paraId="6F7D1EFA" w14:textId="77777777" w:rsidR="00C26AF9" w:rsidRDefault="00C26AF9" w:rsidP="00C26AF9">
      <w:pPr>
        <w:ind w:left="360"/>
        <w:jc w:val="both"/>
        <w:rPr>
          <w:rFonts w:ascii="Book Antiqua" w:hAnsi="Book Antiqua"/>
          <w:bCs/>
          <w:szCs w:val="24"/>
          <w:lang w:val="es-PR"/>
        </w:rPr>
      </w:pPr>
    </w:p>
    <w:p w14:paraId="59A9C99E" w14:textId="06492F80" w:rsidR="00C26AF9" w:rsidRPr="00C26AF9" w:rsidRDefault="00056734" w:rsidP="00056734">
      <w:pPr>
        <w:ind w:left="360" w:firstLine="360"/>
        <w:jc w:val="both"/>
        <w:rPr>
          <w:rFonts w:ascii="Book Antiqua" w:hAnsi="Book Antiqua"/>
          <w:bCs/>
          <w:szCs w:val="24"/>
          <w:lang w:val="es-PR"/>
        </w:rPr>
      </w:pPr>
      <w:r>
        <w:rPr>
          <w:rFonts w:ascii="Book Antiqua" w:hAnsi="Book Antiqua"/>
          <w:bCs/>
          <w:szCs w:val="24"/>
          <w:lang w:val="es-PR"/>
        </w:rPr>
        <w:t xml:space="preserve">Por otro lado, </w:t>
      </w:r>
      <w:r w:rsidR="001B01BC">
        <w:rPr>
          <w:rFonts w:ascii="Book Antiqua" w:hAnsi="Book Antiqua"/>
          <w:bCs/>
          <w:szCs w:val="24"/>
          <w:lang w:val="es-PR"/>
        </w:rPr>
        <w:t>el Departamento de Salud consideró</w:t>
      </w:r>
      <w:r w:rsidR="00C26AF9" w:rsidRPr="00C26AF9">
        <w:rPr>
          <w:rFonts w:ascii="Book Antiqua" w:hAnsi="Book Antiqua"/>
          <w:bCs/>
          <w:szCs w:val="24"/>
          <w:lang w:val="es-PR"/>
        </w:rPr>
        <w:t xml:space="preserve"> esta medida como un elemento clave para la prevención de la obesidad, que resalta la importancia de adoptar hábitos alimentarios saludables, la CANPR respald</w:t>
      </w:r>
      <w:r w:rsidR="001B01BC">
        <w:rPr>
          <w:rFonts w:ascii="Book Antiqua" w:hAnsi="Book Antiqua"/>
          <w:bCs/>
          <w:szCs w:val="24"/>
          <w:lang w:val="es-PR"/>
        </w:rPr>
        <w:t>ó</w:t>
      </w:r>
      <w:r w:rsidR="00C26AF9" w:rsidRPr="00C26AF9">
        <w:rPr>
          <w:rFonts w:ascii="Book Antiqua" w:hAnsi="Book Antiqua"/>
          <w:bCs/>
          <w:szCs w:val="24"/>
          <w:lang w:val="es-PR"/>
        </w:rPr>
        <w:t xml:space="preserve"> el P. de la C. 88 y present</w:t>
      </w:r>
      <w:r w:rsidR="001B01BC">
        <w:rPr>
          <w:rFonts w:ascii="Book Antiqua" w:hAnsi="Book Antiqua"/>
          <w:bCs/>
          <w:szCs w:val="24"/>
          <w:lang w:val="es-PR"/>
        </w:rPr>
        <w:t>ó</w:t>
      </w:r>
      <w:r w:rsidR="00C26AF9" w:rsidRPr="00C26AF9">
        <w:rPr>
          <w:rFonts w:ascii="Book Antiqua" w:hAnsi="Book Antiqua"/>
          <w:bCs/>
          <w:szCs w:val="24"/>
          <w:lang w:val="es-PR"/>
        </w:rPr>
        <w:t xml:space="preserve"> los siguientes comentarios y sugerencias:</w:t>
      </w:r>
    </w:p>
    <w:p w14:paraId="61A89DFE" w14:textId="77777777" w:rsidR="00C26AF9" w:rsidRPr="00C26AF9" w:rsidRDefault="00C26AF9" w:rsidP="00C26AF9">
      <w:pPr>
        <w:ind w:left="360"/>
        <w:jc w:val="both"/>
        <w:rPr>
          <w:rFonts w:ascii="Book Antiqua" w:hAnsi="Book Antiqua"/>
          <w:bCs/>
          <w:szCs w:val="24"/>
          <w:lang w:val="es-PR"/>
        </w:rPr>
      </w:pPr>
    </w:p>
    <w:p w14:paraId="1CC2132F" w14:textId="143E9642" w:rsidR="00C26AF9" w:rsidRPr="00C26AF9" w:rsidRDefault="004B6713" w:rsidP="00C26AF9">
      <w:pPr>
        <w:numPr>
          <w:ilvl w:val="0"/>
          <w:numId w:val="25"/>
        </w:numPr>
        <w:jc w:val="both"/>
        <w:rPr>
          <w:rFonts w:ascii="Book Antiqua" w:hAnsi="Book Antiqua"/>
          <w:bCs/>
          <w:szCs w:val="24"/>
          <w:lang w:val="es-ES"/>
        </w:rPr>
      </w:pPr>
      <w:r>
        <w:rPr>
          <w:rFonts w:ascii="Book Antiqua" w:hAnsi="Book Antiqua"/>
          <w:bCs/>
          <w:szCs w:val="24"/>
          <w:lang w:val="es-PR"/>
        </w:rPr>
        <w:t>Que se</w:t>
      </w:r>
      <w:r w:rsidR="00C26AF9" w:rsidRPr="00C26AF9">
        <w:rPr>
          <w:rFonts w:ascii="Book Antiqua" w:hAnsi="Book Antiqua"/>
          <w:bCs/>
          <w:szCs w:val="24"/>
          <w:lang w:val="es-ES"/>
        </w:rPr>
        <w:t xml:space="preserve"> faculte a la Comisión para facilitar disposiciones que regulen la comercialización de alimentos poco saludables en las zonas de pago. En la medida en que se logre asesorar, orientar y guiar a los comercios para que provean alternativas más saludables, en estos puntos se facilita a las familias que opten por aquellos que contribuyan a mejorar la salud y calidad de vida.</w:t>
      </w:r>
    </w:p>
    <w:p w14:paraId="5C66B9DB" w14:textId="77777777" w:rsidR="00C26AF9" w:rsidRPr="00C26AF9" w:rsidRDefault="00C26AF9" w:rsidP="00C26AF9">
      <w:pPr>
        <w:ind w:left="360"/>
        <w:jc w:val="both"/>
        <w:rPr>
          <w:rFonts w:ascii="Book Antiqua" w:hAnsi="Book Antiqua"/>
          <w:bCs/>
          <w:szCs w:val="24"/>
          <w:lang w:val="es-ES"/>
        </w:rPr>
      </w:pPr>
    </w:p>
    <w:p w14:paraId="6BF4E0D8" w14:textId="77777777" w:rsidR="00C26AF9" w:rsidRPr="00C26AF9" w:rsidRDefault="00C26AF9" w:rsidP="00C26AF9">
      <w:pPr>
        <w:numPr>
          <w:ilvl w:val="0"/>
          <w:numId w:val="26"/>
        </w:numPr>
        <w:jc w:val="both"/>
        <w:rPr>
          <w:rFonts w:ascii="Book Antiqua" w:hAnsi="Book Antiqua"/>
          <w:bCs/>
          <w:szCs w:val="24"/>
          <w:lang w:val="es-ES"/>
        </w:rPr>
      </w:pPr>
      <w:r w:rsidRPr="00C26AF9">
        <w:rPr>
          <w:rFonts w:ascii="Book Antiqua" w:hAnsi="Book Antiqua"/>
          <w:bCs/>
          <w:szCs w:val="24"/>
          <w:lang w:val="es-ES"/>
        </w:rPr>
        <w:t>La Línea Estratégica 3 del Plan de Acción, antes citado, puede lograrse a través de campañas de concienciación a la comunidad que incluyan, entre otras medidas, la rotulación de los puntos de ventas y la divulgación de mensajes educativos al consumidor para fomentar la toma de decisiones informadas.</w:t>
      </w:r>
    </w:p>
    <w:p w14:paraId="2C62B9F4" w14:textId="77777777" w:rsidR="00C26AF9" w:rsidRPr="00C26AF9" w:rsidRDefault="00C26AF9" w:rsidP="00C26AF9">
      <w:pPr>
        <w:ind w:left="360"/>
        <w:jc w:val="both"/>
        <w:rPr>
          <w:rFonts w:ascii="Book Antiqua" w:hAnsi="Book Antiqua"/>
          <w:bCs/>
          <w:szCs w:val="24"/>
          <w:lang w:val="es-ES"/>
        </w:rPr>
      </w:pPr>
    </w:p>
    <w:p w14:paraId="6284864D" w14:textId="77777777" w:rsidR="00C26AF9" w:rsidRPr="00C26AF9" w:rsidRDefault="00C26AF9" w:rsidP="00C26AF9">
      <w:pPr>
        <w:numPr>
          <w:ilvl w:val="0"/>
          <w:numId w:val="26"/>
        </w:numPr>
        <w:jc w:val="both"/>
        <w:rPr>
          <w:rFonts w:ascii="Book Antiqua" w:hAnsi="Book Antiqua"/>
          <w:bCs/>
          <w:szCs w:val="24"/>
          <w:lang w:val="es-ES"/>
        </w:rPr>
      </w:pPr>
      <w:r w:rsidRPr="00C26AF9">
        <w:rPr>
          <w:rFonts w:ascii="Book Antiqua" w:hAnsi="Book Antiqua"/>
          <w:bCs/>
          <w:szCs w:val="24"/>
          <w:lang w:val="es-ES"/>
        </w:rPr>
        <w:t xml:space="preserve">El aspecto regulatorio para el cumplimiento de la ley debe ser responsabilidad del Departamento de Asuntos del Consumidor (DACO). En el Artículo 2 del proyecto se establece que “será mandatorio que el Departamento de Asuntos del Consumidor promulgue la reglamentación </w:t>
      </w:r>
      <w:r w:rsidRPr="00C26AF9">
        <w:rPr>
          <w:rFonts w:ascii="Book Antiqua" w:hAnsi="Book Antiqua"/>
          <w:bCs/>
          <w:szCs w:val="24"/>
          <w:lang w:val="es-ES"/>
        </w:rPr>
        <w:lastRenderedPageBreak/>
        <w:t>correspondiente necesaria para hacer cumplir los propósitos de esta ley”. Esta disposición asigna a DACO la responsabilidad de operacionalizar la medida mediante reglamento. Se recomienda que dicha reglamentación se elabore en consulta con la Comisión de Alimentación y Nutrición, que posee el conocimiento técnico y la experiencia en nutrición requeridos para definir criterios bien fundamentados. Esta colaboración permitiría garantizar que el reglamento esté alineado con la política pública de salud y alimentación establecida en la Ley 10-1999, y refleje adecuadamente la misión de la Comisión.</w:t>
      </w:r>
    </w:p>
    <w:p w14:paraId="11212ED0" w14:textId="77777777" w:rsidR="00C26AF9" w:rsidRPr="00C26AF9" w:rsidRDefault="00C26AF9" w:rsidP="00C26AF9">
      <w:pPr>
        <w:ind w:left="360"/>
        <w:jc w:val="both"/>
        <w:rPr>
          <w:rFonts w:ascii="Book Antiqua" w:hAnsi="Book Antiqua"/>
          <w:bCs/>
          <w:szCs w:val="24"/>
          <w:lang w:val="es-ES"/>
        </w:rPr>
      </w:pPr>
    </w:p>
    <w:p w14:paraId="410D982F" w14:textId="77777777" w:rsidR="00C26AF9" w:rsidRPr="00C26AF9" w:rsidRDefault="00C26AF9" w:rsidP="00C26AF9">
      <w:pPr>
        <w:numPr>
          <w:ilvl w:val="0"/>
          <w:numId w:val="26"/>
        </w:numPr>
        <w:jc w:val="both"/>
        <w:rPr>
          <w:rFonts w:ascii="Book Antiqua" w:hAnsi="Book Antiqua"/>
          <w:bCs/>
          <w:szCs w:val="24"/>
          <w:lang w:val="es-ES"/>
        </w:rPr>
      </w:pPr>
      <w:r w:rsidRPr="00C26AF9">
        <w:rPr>
          <w:rFonts w:ascii="Book Antiqua" w:hAnsi="Book Antiqua"/>
          <w:bCs/>
          <w:szCs w:val="24"/>
          <w:lang w:val="es-ES"/>
        </w:rPr>
        <w:t>Este inciso (e) hace referencia a advertencias sobre alimentos de “escaso valor nutricional”, sin definir el término. Se recomienda incluir una definición técnica que permita identificar claramente estos productos como aquellos que contienen altos niveles de azúcares añadidos, sodio, grasas saturadas o trans, y que además no aportan una cantidad significativa de nutrientes esenciales como vitaminas, minerales, proteínas o fibra. Esto facilitaría la identificación coherente de los productos sujetos a advertencia y permitiría orientar a comercios y consumidores con mayor precisión.</w:t>
      </w:r>
    </w:p>
    <w:p w14:paraId="41942CE0" w14:textId="77777777" w:rsidR="00C26AF9" w:rsidRPr="00C26AF9" w:rsidRDefault="00C26AF9" w:rsidP="00C26AF9">
      <w:pPr>
        <w:ind w:left="360"/>
        <w:jc w:val="both"/>
        <w:rPr>
          <w:rFonts w:ascii="Book Antiqua" w:hAnsi="Book Antiqua"/>
          <w:bCs/>
          <w:szCs w:val="24"/>
          <w:lang w:val="es-ES"/>
        </w:rPr>
      </w:pPr>
    </w:p>
    <w:p w14:paraId="6C8A5321" w14:textId="77777777" w:rsidR="00C26AF9" w:rsidRDefault="00C26AF9" w:rsidP="00C26AF9">
      <w:pPr>
        <w:numPr>
          <w:ilvl w:val="0"/>
          <w:numId w:val="26"/>
        </w:numPr>
        <w:jc w:val="both"/>
        <w:rPr>
          <w:rFonts w:ascii="Book Antiqua" w:hAnsi="Book Antiqua"/>
          <w:bCs/>
          <w:szCs w:val="24"/>
          <w:lang w:val="es-PR"/>
        </w:rPr>
      </w:pPr>
      <w:r w:rsidRPr="00C26AF9">
        <w:rPr>
          <w:rFonts w:ascii="Book Antiqua" w:hAnsi="Book Antiqua"/>
          <w:bCs/>
          <w:szCs w:val="24"/>
          <w:lang w:val="es-PR"/>
        </w:rPr>
        <w:t>El cumplir exitosamente con sus funciones y deberes requiere que la Comisión cuente con la asignación de recursos fiscales y humanos, recurrentes y suficientes. Los recursos fiscales son necesarios para garantizar el desempeño sostenido de asesorar, dirigir, coordinar, dar apoyo logístico y de seguimiento a las políticas públicas y programas que se desarrollen.</w:t>
      </w:r>
    </w:p>
    <w:p w14:paraId="38927549" w14:textId="77777777" w:rsidR="00056734" w:rsidRPr="00C26AF9" w:rsidRDefault="00056734" w:rsidP="00056734">
      <w:pPr>
        <w:jc w:val="both"/>
        <w:rPr>
          <w:rFonts w:ascii="Book Antiqua" w:hAnsi="Book Antiqua"/>
          <w:bCs/>
          <w:szCs w:val="24"/>
          <w:lang w:val="es-PR"/>
        </w:rPr>
      </w:pPr>
    </w:p>
    <w:p w14:paraId="11A41D51" w14:textId="2359126C" w:rsidR="00C26AF9" w:rsidRPr="00C26AF9" w:rsidRDefault="00C26AF9" w:rsidP="00C26AF9">
      <w:pPr>
        <w:numPr>
          <w:ilvl w:val="0"/>
          <w:numId w:val="25"/>
        </w:numPr>
        <w:jc w:val="both"/>
        <w:rPr>
          <w:rFonts w:ascii="Book Antiqua" w:hAnsi="Book Antiqua"/>
          <w:bCs/>
          <w:szCs w:val="24"/>
          <w:lang w:val="es-ES"/>
        </w:rPr>
      </w:pPr>
      <w:r w:rsidRPr="00C26AF9">
        <w:rPr>
          <w:rFonts w:ascii="Book Antiqua" w:hAnsi="Book Antiqua"/>
          <w:bCs/>
          <w:szCs w:val="24"/>
          <w:lang w:val="es-PR"/>
        </w:rPr>
        <w:t>Solicita</w:t>
      </w:r>
      <w:r w:rsidR="00056734">
        <w:rPr>
          <w:rFonts w:ascii="Book Antiqua" w:hAnsi="Book Antiqua"/>
          <w:bCs/>
          <w:szCs w:val="24"/>
          <w:lang w:val="es-PR"/>
        </w:rPr>
        <w:t>ron</w:t>
      </w:r>
      <w:r w:rsidRPr="00C26AF9">
        <w:rPr>
          <w:rFonts w:ascii="Book Antiqua" w:hAnsi="Book Antiqua"/>
          <w:bCs/>
          <w:szCs w:val="24"/>
          <w:lang w:val="es-PR"/>
        </w:rPr>
        <w:t xml:space="preserve"> que, como parte del P. de la C. 88</w:t>
      </w:r>
      <w:r w:rsidR="00056734">
        <w:rPr>
          <w:rFonts w:ascii="Book Antiqua" w:hAnsi="Book Antiqua"/>
          <w:bCs/>
          <w:szCs w:val="24"/>
          <w:lang w:val="es-PR"/>
        </w:rPr>
        <w:t>,</w:t>
      </w:r>
      <w:r w:rsidRPr="00C26AF9">
        <w:rPr>
          <w:rFonts w:ascii="Book Antiqua" w:hAnsi="Book Antiqua"/>
          <w:bCs/>
          <w:szCs w:val="24"/>
          <w:lang w:val="es-PR"/>
        </w:rPr>
        <w:t xml:space="preserve"> se enmiende en la propuesta legislativa lo siguiente:</w:t>
      </w:r>
    </w:p>
    <w:p w14:paraId="60055782" w14:textId="77777777" w:rsidR="00C26AF9" w:rsidRPr="00C26AF9" w:rsidRDefault="00C26AF9" w:rsidP="00C26AF9">
      <w:pPr>
        <w:ind w:left="360"/>
        <w:jc w:val="both"/>
        <w:rPr>
          <w:rFonts w:ascii="Book Antiqua" w:hAnsi="Book Antiqua"/>
          <w:bCs/>
          <w:szCs w:val="24"/>
          <w:lang w:val="es-ES"/>
        </w:rPr>
      </w:pPr>
    </w:p>
    <w:p w14:paraId="47FB0113" w14:textId="77777777" w:rsidR="00C26AF9" w:rsidRPr="00C26AF9" w:rsidRDefault="00C26AF9" w:rsidP="00C26AF9">
      <w:pPr>
        <w:numPr>
          <w:ilvl w:val="1"/>
          <w:numId w:val="25"/>
        </w:numPr>
        <w:jc w:val="both"/>
        <w:rPr>
          <w:rFonts w:ascii="Book Antiqua" w:hAnsi="Book Antiqua"/>
          <w:bCs/>
          <w:szCs w:val="24"/>
          <w:lang w:val="es-PR"/>
        </w:rPr>
      </w:pPr>
      <w:r w:rsidRPr="00C26AF9">
        <w:rPr>
          <w:rFonts w:ascii="Book Antiqua" w:hAnsi="Book Antiqua"/>
          <w:bCs/>
          <w:szCs w:val="24"/>
          <w:lang w:val="es-PR"/>
        </w:rPr>
        <w:t xml:space="preserve">Art. 5, pág. 4 y 5, inciso (e) enmendar lenguaje para que lea como sigue: </w:t>
      </w:r>
    </w:p>
    <w:p w14:paraId="0365107F" w14:textId="77777777" w:rsidR="00C26AF9" w:rsidRPr="00C26AF9" w:rsidRDefault="00C26AF9" w:rsidP="00C26AF9">
      <w:pPr>
        <w:ind w:left="360"/>
        <w:jc w:val="both"/>
        <w:rPr>
          <w:rFonts w:ascii="Book Antiqua" w:hAnsi="Book Antiqua"/>
          <w:bCs/>
          <w:szCs w:val="24"/>
          <w:lang w:val="es-PR"/>
        </w:rPr>
      </w:pPr>
    </w:p>
    <w:p w14:paraId="57367C67" w14:textId="77777777" w:rsidR="00C26AF9" w:rsidRPr="00C26AF9" w:rsidRDefault="00C26AF9" w:rsidP="00C26AF9">
      <w:pPr>
        <w:numPr>
          <w:ilvl w:val="2"/>
          <w:numId w:val="25"/>
        </w:numPr>
        <w:jc w:val="both"/>
        <w:rPr>
          <w:rFonts w:ascii="Book Antiqua" w:hAnsi="Book Antiqua"/>
          <w:bCs/>
          <w:i/>
          <w:iCs/>
          <w:szCs w:val="24"/>
          <w:lang w:val="es-PR"/>
        </w:rPr>
      </w:pPr>
      <w:r w:rsidRPr="00C26AF9">
        <w:rPr>
          <w:rFonts w:ascii="Book Antiqua" w:hAnsi="Book Antiqua"/>
          <w:b/>
          <w:bCs/>
          <w:i/>
          <w:iCs/>
          <w:szCs w:val="24"/>
          <w:lang w:val="es-PR"/>
        </w:rPr>
        <w:t>Recomendaciones:</w:t>
      </w:r>
      <w:r w:rsidRPr="00C26AF9">
        <w:rPr>
          <w:rFonts w:ascii="Book Antiqua" w:hAnsi="Book Antiqua"/>
          <w:bCs/>
          <w:i/>
          <w:iCs/>
          <w:szCs w:val="24"/>
          <w:lang w:val="es-PR"/>
        </w:rPr>
        <w:t xml:space="preserve"> “Asesorar, orientar y guiar a aquellos comercios dedicados a vender productos alimenticios, entre otros productos, sobre el desarrollo e implantación de un plan </w:t>
      </w:r>
      <w:r w:rsidRPr="00C26AF9">
        <w:rPr>
          <w:rFonts w:ascii="Book Antiqua" w:hAnsi="Book Antiqua"/>
          <w:bCs/>
          <w:i/>
          <w:iCs/>
          <w:szCs w:val="24"/>
          <w:u w:val="single"/>
          <w:lang w:val="es-PR"/>
        </w:rPr>
        <w:t>educativo</w:t>
      </w:r>
      <w:r w:rsidRPr="00C26AF9">
        <w:rPr>
          <w:rFonts w:ascii="Book Antiqua" w:hAnsi="Book Antiqua"/>
          <w:bCs/>
          <w:i/>
          <w:iCs/>
          <w:szCs w:val="24"/>
          <w:lang w:val="es-PR"/>
        </w:rPr>
        <w:t xml:space="preserve"> para añadir en las zonas de pago o “</w:t>
      </w:r>
      <w:proofErr w:type="spellStart"/>
      <w:r w:rsidRPr="00C26AF9">
        <w:rPr>
          <w:rFonts w:ascii="Book Antiqua" w:hAnsi="Book Antiqua"/>
          <w:bCs/>
          <w:i/>
          <w:iCs/>
          <w:szCs w:val="24"/>
          <w:lang w:val="es-PR"/>
        </w:rPr>
        <w:t>checkouts</w:t>
      </w:r>
      <w:proofErr w:type="spellEnd"/>
      <w:r w:rsidRPr="00C26AF9">
        <w:rPr>
          <w:rFonts w:ascii="Book Antiqua" w:hAnsi="Book Antiqua"/>
          <w:bCs/>
          <w:i/>
          <w:iCs/>
          <w:szCs w:val="24"/>
          <w:lang w:val="es-PR"/>
        </w:rPr>
        <w:t xml:space="preserve">”, mayor variedad de alimentos con alto valor nutricional, así como el despliegue de carteles y material informativo que advierta sobre el riesgo de consumir alimentos con escaso valor nutricional. </w:t>
      </w:r>
      <w:r w:rsidRPr="00C26AF9">
        <w:rPr>
          <w:rFonts w:ascii="Book Antiqua" w:hAnsi="Book Antiqua"/>
          <w:bCs/>
          <w:i/>
          <w:iCs/>
          <w:szCs w:val="24"/>
          <w:u w:val="single"/>
          <w:lang w:val="es-PR"/>
        </w:rPr>
        <w:t xml:space="preserve">Se propone promover la educación en nutrición adecuada por un especialista licenciado en Puerto Rico en nutrición y dietética </w:t>
      </w:r>
      <w:r w:rsidRPr="00C26AF9">
        <w:rPr>
          <w:rFonts w:ascii="Book Antiqua" w:hAnsi="Book Antiqua"/>
          <w:bCs/>
          <w:i/>
          <w:iCs/>
          <w:szCs w:val="24"/>
          <w:lang w:val="es-PR"/>
        </w:rPr>
        <w:t>como parte de las medidas dirigidas a mejorar el estado nutricional, la salud y, en última instancia, la calidad de vida de la población puertorriqueña</w:t>
      </w:r>
      <w:r w:rsidRPr="00C26AF9">
        <w:rPr>
          <w:rFonts w:ascii="Book Antiqua" w:hAnsi="Book Antiqua"/>
          <w:b/>
          <w:bCs/>
          <w:i/>
          <w:iCs/>
          <w:szCs w:val="24"/>
          <w:lang w:val="es-PR"/>
        </w:rPr>
        <w:t>.”</w:t>
      </w:r>
    </w:p>
    <w:p w14:paraId="604F51F5" w14:textId="77777777" w:rsidR="00C26AF9" w:rsidRPr="00C26AF9" w:rsidRDefault="00C26AF9" w:rsidP="00C26AF9">
      <w:pPr>
        <w:ind w:left="360"/>
        <w:jc w:val="both"/>
        <w:rPr>
          <w:rFonts w:ascii="Book Antiqua" w:hAnsi="Book Antiqua"/>
          <w:bCs/>
          <w:i/>
          <w:iCs/>
          <w:szCs w:val="24"/>
          <w:lang w:val="es-PR"/>
        </w:rPr>
      </w:pPr>
    </w:p>
    <w:p w14:paraId="5E081C56" w14:textId="77777777" w:rsidR="00C26AF9" w:rsidRPr="00C26AF9" w:rsidRDefault="00C26AF9" w:rsidP="00C26AF9">
      <w:pPr>
        <w:numPr>
          <w:ilvl w:val="1"/>
          <w:numId w:val="25"/>
        </w:numPr>
        <w:jc w:val="both"/>
        <w:rPr>
          <w:rFonts w:ascii="Book Antiqua" w:hAnsi="Book Antiqua"/>
          <w:bCs/>
          <w:szCs w:val="24"/>
          <w:lang w:val="es-PR"/>
        </w:rPr>
      </w:pPr>
      <w:r w:rsidRPr="00C26AF9">
        <w:rPr>
          <w:rFonts w:ascii="Book Antiqua" w:hAnsi="Book Antiqua"/>
          <w:bCs/>
          <w:szCs w:val="24"/>
          <w:lang w:val="es-PR"/>
        </w:rPr>
        <w:lastRenderedPageBreak/>
        <w:t>Art. 5, pág. 5, inciso (f) enmendar lenguaje para que lea como sigue:</w:t>
      </w:r>
    </w:p>
    <w:p w14:paraId="78340480" w14:textId="77777777" w:rsidR="00C26AF9" w:rsidRPr="00C26AF9" w:rsidRDefault="00C26AF9" w:rsidP="00C26AF9">
      <w:pPr>
        <w:numPr>
          <w:ilvl w:val="2"/>
          <w:numId w:val="25"/>
        </w:numPr>
        <w:jc w:val="both"/>
        <w:rPr>
          <w:rFonts w:ascii="Book Antiqua" w:hAnsi="Book Antiqua"/>
          <w:bCs/>
          <w:i/>
          <w:iCs/>
          <w:szCs w:val="24"/>
          <w:lang w:val="es-PR"/>
        </w:rPr>
      </w:pPr>
      <w:r w:rsidRPr="00C26AF9">
        <w:rPr>
          <w:rFonts w:ascii="Book Antiqua" w:hAnsi="Book Antiqua"/>
          <w:b/>
          <w:bCs/>
          <w:i/>
          <w:iCs/>
          <w:szCs w:val="24"/>
          <w:lang w:val="es-PR"/>
        </w:rPr>
        <w:t>Recomendaciones:</w:t>
      </w:r>
      <w:r w:rsidRPr="00C26AF9">
        <w:rPr>
          <w:rFonts w:ascii="Book Antiqua" w:hAnsi="Book Antiqua"/>
          <w:bCs/>
          <w:i/>
          <w:iCs/>
          <w:szCs w:val="24"/>
          <w:lang w:val="es-PR"/>
        </w:rPr>
        <w:t xml:space="preserve"> “</w:t>
      </w:r>
      <w:r w:rsidRPr="00C26AF9">
        <w:rPr>
          <w:rFonts w:ascii="Book Antiqua" w:hAnsi="Book Antiqua"/>
          <w:bCs/>
          <w:szCs w:val="24"/>
          <w:lang w:val="es-PR"/>
        </w:rPr>
        <w:t>Estimular a las agencias públicas, instituciones</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académicas de la isla</w:t>
      </w:r>
      <w:r w:rsidRPr="00C26AF9">
        <w:rPr>
          <w:rFonts w:ascii="Book Antiqua" w:hAnsi="Book Antiqua"/>
          <w:bCs/>
          <w:i/>
          <w:iCs/>
          <w:szCs w:val="24"/>
          <w:lang w:val="es-PR"/>
        </w:rPr>
        <w:t xml:space="preserve"> </w:t>
      </w:r>
      <w:r w:rsidRPr="00C26AF9">
        <w:rPr>
          <w:rFonts w:ascii="Book Antiqua" w:hAnsi="Book Antiqua"/>
          <w:bCs/>
          <w:szCs w:val="24"/>
          <w:lang w:val="es-PR"/>
        </w:rPr>
        <w:t>y organizaciones privadas para que inicien investigaciones relacionadas con la situación alimentaria y nutricional del país</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con el aval de las agencias y cuerpos de ley gubernamentales que cuentan con expertos en la alimentación saludable como lo son los miembros de la CANPR, el Colegio de Nutricionistas y Dietista de Puerto Rico y la Universidad de Puerto Rico.”</w:t>
      </w:r>
    </w:p>
    <w:p w14:paraId="7E9DACF7" w14:textId="77777777" w:rsidR="00C26AF9" w:rsidRPr="00C26AF9" w:rsidRDefault="00C26AF9" w:rsidP="00C26AF9">
      <w:pPr>
        <w:numPr>
          <w:ilvl w:val="2"/>
          <w:numId w:val="25"/>
        </w:numPr>
        <w:jc w:val="both"/>
        <w:rPr>
          <w:rFonts w:ascii="Book Antiqua" w:hAnsi="Book Antiqua"/>
          <w:bCs/>
          <w:i/>
          <w:iCs/>
          <w:szCs w:val="24"/>
          <w:lang w:val="es-PR"/>
        </w:rPr>
      </w:pPr>
    </w:p>
    <w:p w14:paraId="02017359" w14:textId="77777777" w:rsidR="00C26AF9" w:rsidRPr="00C26AF9" w:rsidRDefault="00C26AF9" w:rsidP="00C26AF9">
      <w:pPr>
        <w:numPr>
          <w:ilvl w:val="1"/>
          <w:numId w:val="25"/>
        </w:numPr>
        <w:jc w:val="both"/>
        <w:rPr>
          <w:rFonts w:ascii="Book Antiqua" w:hAnsi="Book Antiqua"/>
          <w:bCs/>
          <w:szCs w:val="24"/>
          <w:lang w:val="es-PR"/>
        </w:rPr>
      </w:pPr>
      <w:r w:rsidRPr="00C26AF9">
        <w:rPr>
          <w:rFonts w:ascii="Book Antiqua" w:hAnsi="Book Antiqua"/>
          <w:bCs/>
          <w:szCs w:val="24"/>
          <w:lang w:val="es-PR"/>
        </w:rPr>
        <w:t xml:space="preserve">Art. 5, pág. 5, inciso (g) enmendar lenguaje para que lea como sigue:  </w:t>
      </w:r>
    </w:p>
    <w:p w14:paraId="0CB2DB4D" w14:textId="77777777" w:rsidR="00C26AF9" w:rsidRPr="00C26AF9" w:rsidRDefault="00C26AF9" w:rsidP="00C26AF9">
      <w:pPr>
        <w:numPr>
          <w:ilvl w:val="2"/>
          <w:numId w:val="25"/>
        </w:numPr>
        <w:jc w:val="both"/>
        <w:rPr>
          <w:rFonts w:ascii="Book Antiqua" w:hAnsi="Book Antiqua"/>
          <w:bCs/>
          <w:i/>
          <w:iCs/>
          <w:szCs w:val="24"/>
          <w:lang w:val="es-PR"/>
        </w:rPr>
      </w:pPr>
      <w:r w:rsidRPr="00C26AF9">
        <w:rPr>
          <w:rFonts w:ascii="Book Antiqua" w:hAnsi="Book Antiqua"/>
          <w:b/>
          <w:bCs/>
          <w:i/>
          <w:iCs/>
          <w:szCs w:val="24"/>
          <w:lang w:val="es-PR"/>
        </w:rPr>
        <w:t>Recomendaciones:</w:t>
      </w:r>
      <w:r w:rsidRPr="00C26AF9">
        <w:rPr>
          <w:rFonts w:ascii="Book Antiqua" w:hAnsi="Book Antiqua"/>
          <w:bCs/>
          <w:i/>
          <w:iCs/>
          <w:szCs w:val="24"/>
          <w:lang w:val="es-PR"/>
        </w:rPr>
        <w:t xml:space="preserve"> “</w:t>
      </w:r>
      <w:r w:rsidRPr="00C26AF9">
        <w:rPr>
          <w:rFonts w:ascii="Book Antiqua" w:hAnsi="Book Antiqua"/>
          <w:bCs/>
          <w:szCs w:val="24"/>
          <w:lang w:val="es-PR"/>
        </w:rPr>
        <w:t>Requerir información a las agencias sobre los recursos de personal profesional para atender el área de la alimentación y nutrición, y fomentar el desarrollo de iniciativas por otras agencias públicas y privadas, para actividades de educación y adiestramiento de dicho personal.</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Se debe incluir el financiamiento de esas iniciativas.”</w:t>
      </w:r>
    </w:p>
    <w:p w14:paraId="4493D4C5" w14:textId="77777777" w:rsidR="00C26AF9" w:rsidRPr="00C26AF9" w:rsidRDefault="00C26AF9" w:rsidP="00C26AF9">
      <w:pPr>
        <w:ind w:left="360"/>
        <w:jc w:val="both"/>
        <w:rPr>
          <w:rFonts w:ascii="Book Antiqua" w:hAnsi="Book Antiqua"/>
          <w:bCs/>
          <w:i/>
          <w:iCs/>
          <w:szCs w:val="24"/>
          <w:u w:val="single"/>
          <w:lang w:val="es-PR"/>
        </w:rPr>
      </w:pPr>
    </w:p>
    <w:p w14:paraId="76565216" w14:textId="77777777" w:rsidR="00C26AF9" w:rsidRPr="00C26AF9" w:rsidRDefault="00C26AF9" w:rsidP="00C26AF9">
      <w:pPr>
        <w:numPr>
          <w:ilvl w:val="1"/>
          <w:numId w:val="25"/>
        </w:numPr>
        <w:jc w:val="both"/>
        <w:rPr>
          <w:rFonts w:ascii="Book Antiqua" w:hAnsi="Book Antiqua"/>
          <w:bCs/>
          <w:i/>
          <w:iCs/>
          <w:szCs w:val="24"/>
          <w:lang w:val="es-PR"/>
        </w:rPr>
      </w:pPr>
      <w:r w:rsidRPr="00C26AF9">
        <w:rPr>
          <w:rFonts w:ascii="Book Antiqua" w:hAnsi="Book Antiqua"/>
          <w:bCs/>
          <w:i/>
          <w:iCs/>
          <w:szCs w:val="24"/>
          <w:lang w:val="es-PR"/>
        </w:rPr>
        <w:t xml:space="preserve">Art. 5, pág. 6, inciso (j) enmendar lenguaje para que lea como sigue:  </w:t>
      </w:r>
    </w:p>
    <w:p w14:paraId="68980050" w14:textId="77777777" w:rsidR="00C26AF9" w:rsidRPr="00C26AF9" w:rsidRDefault="00C26AF9" w:rsidP="00C26AF9">
      <w:pPr>
        <w:numPr>
          <w:ilvl w:val="2"/>
          <w:numId w:val="25"/>
        </w:numPr>
        <w:jc w:val="both"/>
        <w:rPr>
          <w:rFonts w:ascii="Book Antiqua" w:hAnsi="Book Antiqua"/>
          <w:bCs/>
          <w:i/>
          <w:iCs/>
          <w:szCs w:val="24"/>
          <w:lang w:val="es-PR"/>
        </w:rPr>
      </w:pPr>
      <w:r w:rsidRPr="00C26AF9">
        <w:rPr>
          <w:rFonts w:ascii="Book Antiqua" w:hAnsi="Book Antiqua"/>
          <w:b/>
          <w:bCs/>
          <w:i/>
          <w:iCs/>
          <w:szCs w:val="24"/>
          <w:lang w:val="es-PR"/>
        </w:rPr>
        <w:t>Recomendaciones:</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Se aceptarán donaciones, en bienes, dinero o en especie, de cualquier agencia pública o entidad privada para llevar a cabo estudios e investigaciones y cumplir con los propósitos de esta ley. No obstante, dichas donaciones deberán estar sujetas a regulaciones claras y transparentes. Esto incluye la obligación de divulgar la fuente de los fondos, establecer mecanismos de control y supervisión para evitar conflictos de interés, y garantizar la independencia de los resultados obtenidos. Ninguna donación o auspicio podrá influir indebidamente en los objetivos o conclusiones de los estudios e investigaciones. Además, se deberán cumplir con los procedimientos establecidos por el Gobierno de Puerto Rico y el Gobierno de los Estados Unidos</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al recibir fondos de cualesquiera fuentes y programas gubernamentales para realizar estudios, investigaciones o cualquier otra actividad o propósito afín con esta Ley, siempre asegurando el cumplimiento de los principios éticos y la transparencia en el uso de los fondos</w:t>
      </w:r>
      <w:r w:rsidRPr="00C26AF9">
        <w:rPr>
          <w:rFonts w:ascii="Book Antiqua" w:hAnsi="Book Antiqua"/>
          <w:bCs/>
          <w:i/>
          <w:iCs/>
          <w:szCs w:val="24"/>
          <w:lang w:val="es-PR"/>
        </w:rPr>
        <w:t>.”</w:t>
      </w:r>
    </w:p>
    <w:p w14:paraId="2A50F3AD" w14:textId="77777777" w:rsidR="00C26AF9" w:rsidRPr="00C26AF9" w:rsidRDefault="00C26AF9" w:rsidP="00C26AF9">
      <w:pPr>
        <w:ind w:left="360"/>
        <w:jc w:val="both"/>
        <w:rPr>
          <w:rFonts w:ascii="Book Antiqua" w:hAnsi="Book Antiqua"/>
          <w:bCs/>
          <w:i/>
          <w:iCs/>
          <w:szCs w:val="24"/>
          <w:lang w:val="es-PR"/>
        </w:rPr>
      </w:pPr>
    </w:p>
    <w:p w14:paraId="7EA0FBED" w14:textId="77777777" w:rsidR="00C26AF9" w:rsidRPr="00C26AF9" w:rsidRDefault="00C26AF9" w:rsidP="00C26AF9">
      <w:pPr>
        <w:numPr>
          <w:ilvl w:val="1"/>
          <w:numId w:val="25"/>
        </w:numPr>
        <w:jc w:val="both"/>
        <w:rPr>
          <w:rFonts w:ascii="Book Antiqua" w:hAnsi="Book Antiqua"/>
          <w:bCs/>
          <w:szCs w:val="24"/>
          <w:lang w:val="es-PR"/>
        </w:rPr>
      </w:pPr>
      <w:r w:rsidRPr="00C26AF9">
        <w:rPr>
          <w:rFonts w:ascii="Book Antiqua" w:hAnsi="Book Antiqua"/>
          <w:bCs/>
          <w:szCs w:val="24"/>
          <w:lang w:val="es-PR"/>
        </w:rPr>
        <w:t xml:space="preserve">Art. 5, pág. 6 y 7, inciso (m) enmendar lenguaje para que lea como sigue:  </w:t>
      </w:r>
    </w:p>
    <w:p w14:paraId="00EDA944" w14:textId="77777777" w:rsidR="00C26AF9" w:rsidRPr="00C26AF9" w:rsidRDefault="00C26AF9" w:rsidP="00C26AF9">
      <w:pPr>
        <w:numPr>
          <w:ilvl w:val="2"/>
          <w:numId w:val="25"/>
        </w:numPr>
        <w:jc w:val="both"/>
        <w:rPr>
          <w:rFonts w:ascii="Book Antiqua" w:hAnsi="Book Antiqua"/>
          <w:bCs/>
          <w:i/>
          <w:iCs/>
          <w:szCs w:val="24"/>
          <w:u w:val="single"/>
          <w:lang w:val="es-PR"/>
        </w:rPr>
      </w:pPr>
      <w:r w:rsidRPr="00C26AF9">
        <w:rPr>
          <w:rFonts w:ascii="Book Antiqua" w:hAnsi="Book Antiqua"/>
          <w:b/>
          <w:bCs/>
          <w:i/>
          <w:iCs/>
          <w:szCs w:val="24"/>
          <w:lang w:val="es-PR"/>
        </w:rPr>
        <w:t>Recomendaciones:</w:t>
      </w:r>
      <w:r w:rsidRPr="00C26AF9">
        <w:rPr>
          <w:rFonts w:ascii="Book Antiqua" w:hAnsi="Book Antiqua"/>
          <w:bCs/>
          <w:i/>
          <w:iCs/>
          <w:szCs w:val="24"/>
          <w:lang w:val="es-PR"/>
        </w:rPr>
        <w:t xml:space="preserve"> Revisar y mantener actualizada la Guía </w:t>
      </w:r>
      <w:r w:rsidRPr="00C26AF9">
        <w:rPr>
          <w:rFonts w:ascii="Book Antiqua" w:hAnsi="Book Antiqua"/>
          <w:b/>
          <w:bCs/>
          <w:szCs w:val="24"/>
          <w:lang w:val="es-PR"/>
        </w:rPr>
        <w:t>[Pirámide Alimentaria de Alimentos de]</w:t>
      </w:r>
      <w:r w:rsidRPr="00C26AF9">
        <w:rPr>
          <w:rFonts w:ascii="Book Antiqua" w:hAnsi="Book Antiqua"/>
          <w:bCs/>
          <w:i/>
          <w:iCs/>
          <w:szCs w:val="24"/>
          <w:lang w:val="es-PR"/>
        </w:rPr>
        <w:t xml:space="preserve"> de Sana Alimentación y Actividad Física para </w:t>
      </w:r>
      <w:r w:rsidRPr="00C26AF9">
        <w:rPr>
          <w:rFonts w:ascii="Book Antiqua" w:hAnsi="Book Antiqua"/>
          <w:bCs/>
          <w:szCs w:val="24"/>
          <w:lang w:val="es-PR"/>
        </w:rPr>
        <w:t>Puerto Rico</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la guía de desastres y otras guías alimentarias necesarias para grupos etarios diversos.</w:t>
      </w:r>
    </w:p>
    <w:p w14:paraId="3883340D" w14:textId="77777777" w:rsidR="00C26AF9" w:rsidRPr="00C26AF9" w:rsidRDefault="00C26AF9" w:rsidP="00C26AF9">
      <w:pPr>
        <w:ind w:left="360"/>
        <w:jc w:val="both"/>
        <w:rPr>
          <w:rFonts w:ascii="Book Antiqua" w:hAnsi="Book Antiqua"/>
          <w:bCs/>
          <w:szCs w:val="24"/>
          <w:lang w:val="es-PR"/>
        </w:rPr>
      </w:pPr>
    </w:p>
    <w:p w14:paraId="1C709FDB" w14:textId="77777777" w:rsidR="00C26AF9" w:rsidRPr="00C26AF9" w:rsidRDefault="00C26AF9" w:rsidP="00C26AF9">
      <w:pPr>
        <w:numPr>
          <w:ilvl w:val="1"/>
          <w:numId w:val="25"/>
        </w:numPr>
        <w:jc w:val="both"/>
        <w:rPr>
          <w:rFonts w:ascii="Book Antiqua" w:hAnsi="Book Antiqua"/>
          <w:bCs/>
          <w:szCs w:val="24"/>
          <w:lang w:val="es-PR"/>
        </w:rPr>
      </w:pPr>
      <w:r w:rsidRPr="00C26AF9">
        <w:rPr>
          <w:rFonts w:ascii="Book Antiqua" w:hAnsi="Book Antiqua"/>
          <w:bCs/>
          <w:szCs w:val="24"/>
          <w:lang w:val="es-PR"/>
        </w:rPr>
        <w:t xml:space="preserve">Art. 5, pág. 7, inciso (o) enmendar lenguaje para que lea como sigue:  </w:t>
      </w:r>
    </w:p>
    <w:p w14:paraId="27B15E4A" w14:textId="77777777" w:rsidR="00C26AF9" w:rsidRPr="00C26AF9" w:rsidRDefault="00C26AF9" w:rsidP="00C26AF9">
      <w:pPr>
        <w:numPr>
          <w:ilvl w:val="2"/>
          <w:numId w:val="25"/>
        </w:numPr>
        <w:jc w:val="both"/>
        <w:rPr>
          <w:rFonts w:ascii="Book Antiqua" w:hAnsi="Book Antiqua"/>
          <w:bCs/>
          <w:szCs w:val="24"/>
          <w:lang w:val="es-PR"/>
        </w:rPr>
      </w:pPr>
      <w:r w:rsidRPr="00C26AF9">
        <w:rPr>
          <w:rFonts w:ascii="Book Antiqua" w:hAnsi="Book Antiqua"/>
          <w:b/>
          <w:bCs/>
          <w:i/>
          <w:iCs/>
          <w:szCs w:val="24"/>
          <w:lang w:val="es-PR"/>
        </w:rPr>
        <w:lastRenderedPageBreak/>
        <w:t>Recomendaciones</w:t>
      </w:r>
      <w:r w:rsidRPr="00C26AF9">
        <w:rPr>
          <w:rFonts w:ascii="Book Antiqua" w:hAnsi="Book Antiqua"/>
          <w:bCs/>
          <w:i/>
          <w:iCs/>
          <w:szCs w:val="24"/>
          <w:lang w:val="es-PR"/>
        </w:rPr>
        <w:t xml:space="preserve">: </w:t>
      </w:r>
      <w:r w:rsidRPr="00C26AF9">
        <w:rPr>
          <w:rFonts w:ascii="Book Antiqua" w:hAnsi="Book Antiqua"/>
          <w:bCs/>
          <w:szCs w:val="24"/>
          <w:lang w:val="es-PR"/>
        </w:rPr>
        <w:t>Designar los comités especiales</w:t>
      </w:r>
      <w:r w:rsidRPr="00C26AF9">
        <w:rPr>
          <w:rFonts w:ascii="Book Antiqua" w:hAnsi="Book Antiqua"/>
          <w:bCs/>
          <w:i/>
          <w:iCs/>
          <w:szCs w:val="24"/>
          <w:lang w:val="es-PR"/>
        </w:rPr>
        <w:t xml:space="preserve"> </w:t>
      </w:r>
      <w:r w:rsidRPr="00C26AF9">
        <w:rPr>
          <w:rFonts w:ascii="Book Antiqua" w:hAnsi="Book Antiqua"/>
          <w:bCs/>
          <w:i/>
          <w:iCs/>
          <w:szCs w:val="24"/>
          <w:u w:val="single"/>
          <w:lang w:val="es-PR"/>
        </w:rPr>
        <w:t>y fuentes de fondos para su manejo</w:t>
      </w:r>
      <w:r w:rsidRPr="00C26AF9">
        <w:rPr>
          <w:rFonts w:ascii="Book Antiqua" w:hAnsi="Book Antiqua"/>
          <w:bCs/>
          <w:i/>
          <w:iCs/>
          <w:szCs w:val="24"/>
          <w:lang w:val="es-PR"/>
        </w:rPr>
        <w:t xml:space="preserve">, </w:t>
      </w:r>
      <w:r w:rsidRPr="00C26AF9">
        <w:rPr>
          <w:rFonts w:ascii="Book Antiqua" w:hAnsi="Book Antiqua"/>
          <w:bCs/>
          <w:szCs w:val="24"/>
          <w:lang w:val="es-PR"/>
        </w:rPr>
        <w:t>que estime necesarios para llevar a cabo las funciones encomendadas a la Comisión.</w:t>
      </w:r>
    </w:p>
    <w:p w14:paraId="4144E566" w14:textId="77777777" w:rsidR="00C26AF9" w:rsidRPr="005747EF" w:rsidRDefault="00C26AF9" w:rsidP="00C26AF9">
      <w:pPr>
        <w:ind w:left="360"/>
        <w:jc w:val="both"/>
        <w:rPr>
          <w:rFonts w:ascii="Book Antiqua" w:hAnsi="Book Antiqua"/>
          <w:bCs/>
          <w:szCs w:val="24"/>
          <w:lang w:val="es-PR"/>
        </w:rPr>
      </w:pPr>
    </w:p>
    <w:p w14:paraId="513A2654" w14:textId="2DE1DF5F" w:rsidR="005972D3" w:rsidRDefault="00042989" w:rsidP="00056734">
      <w:pPr>
        <w:ind w:firstLine="720"/>
        <w:jc w:val="both"/>
        <w:rPr>
          <w:rFonts w:ascii="Book Antiqua" w:hAnsi="Book Antiqua"/>
          <w:bCs/>
          <w:szCs w:val="24"/>
          <w:lang w:val="es-PR"/>
        </w:rPr>
      </w:pPr>
      <w:r>
        <w:rPr>
          <w:rFonts w:ascii="Book Antiqua" w:hAnsi="Book Antiqua"/>
          <w:bCs/>
          <w:szCs w:val="24"/>
          <w:lang w:val="es-PR"/>
        </w:rPr>
        <w:t xml:space="preserve">El Departamento de Salud finalizó el memorial expresando que </w:t>
      </w:r>
      <w:r w:rsidRPr="00042989">
        <w:rPr>
          <w:rFonts w:ascii="Book Antiqua" w:hAnsi="Book Antiqua"/>
          <w:bCs/>
          <w:szCs w:val="24"/>
          <w:lang w:val="es-PR"/>
        </w:rPr>
        <w:t xml:space="preserve">toda vez que el Departamento de la Familia es miembro de </w:t>
      </w:r>
      <w:r>
        <w:rPr>
          <w:rFonts w:ascii="Book Antiqua" w:hAnsi="Book Antiqua"/>
          <w:bCs/>
          <w:szCs w:val="24"/>
          <w:lang w:val="es-PR"/>
        </w:rPr>
        <w:t>la</w:t>
      </w:r>
      <w:r w:rsidRPr="00042989">
        <w:rPr>
          <w:rFonts w:ascii="Book Antiqua" w:hAnsi="Book Antiqua"/>
          <w:bCs/>
          <w:szCs w:val="24"/>
          <w:lang w:val="es-PR"/>
        </w:rPr>
        <w:t xml:space="preserve"> Comisión, </w:t>
      </w:r>
      <w:r w:rsidR="001818AE">
        <w:rPr>
          <w:rFonts w:ascii="Book Antiqua" w:hAnsi="Book Antiqua"/>
          <w:bCs/>
          <w:szCs w:val="24"/>
          <w:lang w:val="es-PR"/>
        </w:rPr>
        <w:t>le compartió al Departamento de Salud</w:t>
      </w:r>
      <w:r w:rsidRPr="00042989">
        <w:rPr>
          <w:rFonts w:ascii="Book Antiqua" w:hAnsi="Book Antiqua"/>
          <w:bCs/>
          <w:szCs w:val="24"/>
          <w:lang w:val="es-PR"/>
        </w:rPr>
        <w:t xml:space="preserve"> que “(…) es necesario iniciativas adicionales que ayuden a mejorar el estado nutricional, la salud y, en última instancia, la calidad de vida de la población puertorriqueña. Este proyecto amplía las facultades y deberes de la Comisión de Alimentación y Nutrición de Puerto Rico, en aras de promover en la población el aumento en el consumo de alimentos saludables, como parte de las medidas dirigidas a mejorar el estado nutricional, la salud y, en última instancia, la calidad de vida de la población puertorriqueña”</w:t>
      </w:r>
      <w:r w:rsidR="00BC6DB3">
        <w:rPr>
          <w:rFonts w:ascii="Book Antiqua" w:hAnsi="Book Antiqua"/>
          <w:bCs/>
          <w:szCs w:val="24"/>
          <w:lang w:val="es-PR"/>
        </w:rPr>
        <w:t>.</w:t>
      </w:r>
    </w:p>
    <w:p w14:paraId="22448277" w14:textId="77777777" w:rsidR="00BC6DB3" w:rsidRDefault="00BC6DB3" w:rsidP="005747EF">
      <w:pPr>
        <w:ind w:left="360"/>
        <w:jc w:val="both"/>
        <w:rPr>
          <w:rFonts w:ascii="Book Antiqua" w:hAnsi="Book Antiqua"/>
          <w:bCs/>
          <w:szCs w:val="24"/>
          <w:lang w:val="es-PR"/>
        </w:rPr>
      </w:pPr>
    </w:p>
    <w:p w14:paraId="788F3BC6" w14:textId="5A4FEF28" w:rsidR="00BC6DB3" w:rsidRDefault="00056734" w:rsidP="00056734">
      <w:pPr>
        <w:ind w:firstLine="720"/>
        <w:jc w:val="both"/>
        <w:rPr>
          <w:rFonts w:ascii="Book Antiqua" w:hAnsi="Book Antiqua"/>
          <w:bCs/>
          <w:szCs w:val="24"/>
          <w:lang w:val="es-PR"/>
        </w:rPr>
      </w:pPr>
      <w:r>
        <w:rPr>
          <w:rFonts w:ascii="Book Antiqua" w:hAnsi="Book Antiqua"/>
          <w:bCs/>
          <w:szCs w:val="24"/>
          <w:lang w:val="es-PR"/>
        </w:rPr>
        <w:t>Nos expresó e</w:t>
      </w:r>
      <w:r w:rsidR="00600EAF">
        <w:rPr>
          <w:rFonts w:ascii="Book Antiqua" w:hAnsi="Book Antiqua"/>
          <w:bCs/>
          <w:szCs w:val="24"/>
          <w:lang w:val="es-PR"/>
        </w:rPr>
        <w:t xml:space="preserve">l Departamento de Saludo </w:t>
      </w:r>
      <w:r>
        <w:rPr>
          <w:rFonts w:ascii="Book Antiqua" w:hAnsi="Book Antiqua"/>
          <w:bCs/>
          <w:szCs w:val="24"/>
          <w:lang w:val="es-PR"/>
        </w:rPr>
        <w:t>q</w:t>
      </w:r>
      <w:r w:rsidR="00600EAF">
        <w:rPr>
          <w:rFonts w:ascii="Book Antiqua" w:hAnsi="Book Antiqua"/>
          <w:bCs/>
          <w:szCs w:val="24"/>
          <w:lang w:val="es-PR"/>
        </w:rPr>
        <w:t xml:space="preserve">ue </w:t>
      </w:r>
      <w:r w:rsidR="00BC6DB3" w:rsidRPr="00BC6DB3">
        <w:rPr>
          <w:rFonts w:ascii="Book Antiqua" w:hAnsi="Book Antiqua"/>
          <w:bCs/>
          <w:szCs w:val="24"/>
          <w:lang w:val="es-PR"/>
        </w:rPr>
        <w:t>el Departamento de Recreación y Deportes establece que esta medida “[f]</w:t>
      </w:r>
      <w:proofErr w:type="spellStart"/>
      <w:r w:rsidR="00BC6DB3" w:rsidRPr="00BC6DB3">
        <w:rPr>
          <w:rFonts w:ascii="Book Antiqua" w:hAnsi="Book Antiqua"/>
          <w:bCs/>
          <w:szCs w:val="24"/>
          <w:lang w:val="es-PR"/>
        </w:rPr>
        <w:t>avorece</w:t>
      </w:r>
      <w:proofErr w:type="spellEnd"/>
      <w:r w:rsidR="00BC6DB3" w:rsidRPr="00BC6DB3">
        <w:rPr>
          <w:rFonts w:ascii="Book Antiqua" w:hAnsi="Book Antiqua"/>
          <w:bCs/>
          <w:szCs w:val="24"/>
          <w:lang w:val="es-PR"/>
        </w:rPr>
        <w:t xml:space="preserve"> a nuestros atletas en desarrollo, al igual que los de alto rendimiento, porque les facilita la información y permite una toma de decisión rápida para escoger una merienda o alimento con alto valor nutricional para antes o después de prácticas, torneos y competiciones”. Además, el DRD tiene el programa de Muévete conmigo, que fomenta el ejercicio para adultos mayores, y es importante que tengan opciones claras de alimentos saludables en la zona de pago o “</w:t>
      </w:r>
      <w:proofErr w:type="spellStart"/>
      <w:r w:rsidR="00BC6DB3" w:rsidRPr="00BC6DB3">
        <w:rPr>
          <w:rFonts w:ascii="Book Antiqua" w:hAnsi="Book Antiqua"/>
          <w:bCs/>
          <w:szCs w:val="24"/>
          <w:lang w:val="es-PR"/>
        </w:rPr>
        <w:t>checkouts</w:t>
      </w:r>
      <w:proofErr w:type="spellEnd"/>
      <w:r w:rsidR="00BC6DB3" w:rsidRPr="00BC6DB3">
        <w:rPr>
          <w:rFonts w:ascii="Book Antiqua" w:hAnsi="Book Antiqua"/>
          <w:bCs/>
          <w:szCs w:val="24"/>
          <w:lang w:val="es-PR"/>
        </w:rPr>
        <w:t>” antes o después de actividades de movimiento corporal</w:t>
      </w:r>
      <w:r w:rsidR="00600EAF">
        <w:rPr>
          <w:rFonts w:ascii="Book Antiqua" w:hAnsi="Book Antiqua"/>
          <w:bCs/>
          <w:szCs w:val="24"/>
          <w:lang w:val="es-PR"/>
        </w:rPr>
        <w:t>.</w:t>
      </w:r>
    </w:p>
    <w:p w14:paraId="112E9B95" w14:textId="77777777" w:rsidR="001E3BC9" w:rsidRDefault="001E3BC9" w:rsidP="005747EF">
      <w:pPr>
        <w:ind w:left="360"/>
        <w:jc w:val="both"/>
        <w:rPr>
          <w:rFonts w:ascii="Book Antiqua" w:hAnsi="Book Antiqua"/>
          <w:bCs/>
          <w:szCs w:val="24"/>
          <w:lang w:val="es-PR"/>
        </w:rPr>
      </w:pPr>
    </w:p>
    <w:p w14:paraId="3539069E" w14:textId="559AE1A3" w:rsidR="001E3BC9" w:rsidRDefault="001E3BC9" w:rsidP="00056734">
      <w:pPr>
        <w:ind w:firstLine="720"/>
        <w:jc w:val="both"/>
        <w:rPr>
          <w:rFonts w:ascii="Book Antiqua" w:hAnsi="Book Antiqua"/>
          <w:bCs/>
          <w:szCs w:val="24"/>
          <w:lang w:val="es-PR"/>
        </w:rPr>
      </w:pPr>
      <w:r>
        <w:rPr>
          <w:rFonts w:ascii="Book Antiqua" w:hAnsi="Book Antiqua"/>
          <w:bCs/>
          <w:szCs w:val="24"/>
          <w:lang w:val="es-PR"/>
        </w:rPr>
        <w:t>Ambas opiniones, tanto del Departamento de la Familia</w:t>
      </w:r>
      <w:r w:rsidR="00056734">
        <w:rPr>
          <w:rFonts w:ascii="Book Antiqua" w:hAnsi="Book Antiqua"/>
          <w:bCs/>
          <w:szCs w:val="24"/>
          <w:lang w:val="es-PR"/>
        </w:rPr>
        <w:t>,</w:t>
      </w:r>
      <w:r>
        <w:rPr>
          <w:rFonts w:ascii="Book Antiqua" w:hAnsi="Book Antiqua"/>
          <w:bCs/>
          <w:szCs w:val="24"/>
          <w:lang w:val="es-PR"/>
        </w:rPr>
        <w:t xml:space="preserve"> como la del Departamento de Recreación y Deportes</w:t>
      </w:r>
      <w:r w:rsidR="00056734">
        <w:rPr>
          <w:rFonts w:ascii="Book Antiqua" w:hAnsi="Book Antiqua"/>
          <w:bCs/>
          <w:szCs w:val="24"/>
          <w:lang w:val="es-PR"/>
        </w:rPr>
        <w:t>,</w:t>
      </w:r>
      <w:r>
        <w:rPr>
          <w:rFonts w:ascii="Book Antiqua" w:hAnsi="Book Antiqua"/>
          <w:bCs/>
          <w:szCs w:val="24"/>
          <w:lang w:val="es-PR"/>
        </w:rPr>
        <w:t xml:space="preserve"> fueron </w:t>
      </w:r>
      <w:r w:rsidR="0099660F">
        <w:rPr>
          <w:rFonts w:ascii="Book Antiqua" w:hAnsi="Book Antiqua"/>
          <w:bCs/>
          <w:szCs w:val="24"/>
          <w:lang w:val="es-PR"/>
        </w:rPr>
        <w:t>enviadas como Anejo al memorial enviado por el Departamento de Salud.</w:t>
      </w:r>
    </w:p>
    <w:p w14:paraId="4C06D08C" w14:textId="77777777" w:rsidR="00422570" w:rsidRDefault="00422570" w:rsidP="005747EF">
      <w:pPr>
        <w:ind w:left="360"/>
        <w:jc w:val="both"/>
        <w:rPr>
          <w:rFonts w:ascii="Book Antiqua" w:hAnsi="Book Antiqua"/>
          <w:bCs/>
          <w:szCs w:val="24"/>
          <w:lang w:val="es-PR"/>
        </w:rPr>
      </w:pPr>
    </w:p>
    <w:p w14:paraId="0000B142" w14:textId="171F91B7" w:rsidR="00A21FFC" w:rsidRPr="00A21FFC" w:rsidRDefault="00422570" w:rsidP="00F927D8">
      <w:pPr>
        <w:ind w:firstLine="720"/>
        <w:jc w:val="both"/>
        <w:rPr>
          <w:rFonts w:ascii="Book Antiqua" w:hAnsi="Book Antiqua"/>
          <w:bCs/>
          <w:szCs w:val="24"/>
          <w:lang w:val="es-PR"/>
        </w:rPr>
      </w:pPr>
      <w:r>
        <w:rPr>
          <w:rFonts w:ascii="Book Antiqua" w:hAnsi="Book Antiqua"/>
          <w:bCs/>
          <w:szCs w:val="24"/>
          <w:lang w:val="es-PR"/>
        </w:rPr>
        <w:t xml:space="preserve">Por último, el Departamento de Salud expresó </w:t>
      </w:r>
      <w:r w:rsidR="00A21FFC" w:rsidRPr="00A21FFC">
        <w:rPr>
          <w:rFonts w:ascii="Book Antiqua" w:hAnsi="Book Antiqua"/>
          <w:bCs/>
          <w:szCs w:val="24"/>
          <w:lang w:val="es-PR"/>
        </w:rPr>
        <w:t>endosa</w:t>
      </w:r>
      <w:r w:rsidR="00A21FFC">
        <w:rPr>
          <w:rFonts w:ascii="Book Antiqua" w:hAnsi="Book Antiqua"/>
          <w:bCs/>
          <w:szCs w:val="24"/>
          <w:lang w:val="es-PR"/>
        </w:rPr>
        <w:t>r</w:t>
      </w:r>
      <w:r w:rsidR="00A21FFC" w:rsidRPr="00A21FFC">
        <w:rPr>
          <w:rFonts w:ascii="Book Antiqua" w:hAnsi="Book Antiqua"/>
          <w:bCs/>
          <w:szCs w:val="24"/>
          <w:lang w:val="es-PR"/>
        </w:rPr>
        <w:t xml:space="preserve"> el P. de la C. 88, con los comentarios antes expresados</w:t>
      </w:r>
      <w:r w:rsidR="008229BF">
        <w:rPr>
          <w:rFonts w:ascii="Book Antiqua" w:hAnsi="Book Antiqua"/>
          <w:bCs/>
          <w:szCs w:val="24"/>
          <w:lang w:val="es-PR"/>
        </w:rPr>
        <w:t>, y que constan en este informe</w:t>
      </w:r>
      <w:r w:rsidR="00A21FFC" w:rsidRPr="00A21FFC">
        <w:rPr>
          <w:rFonts w:ascii="Book Antiqua" w:hAnsi="Book Antiqua"/>
          <w:bCs/>
          <w:szCs w:val="24"/>
          <w:lang w:val="es-PR"/>
        </w:rPr>
        <w:t>.</w:t>
      </w:r>
    </w:p>
    <w:p w14:paraId="62E282C4" w14:textId="77777777" w:rsidR="008536D1" w:rsidRPr="005972D3" w:rsidRDefault="008536D1" w:rsidP="008229BF">
      <w:pPr>
        <w:jc w:val="both"/>
        <w:rPr>
          <w:rFonts w:ascii="Book Antiqua" w:hAnsi="Book Antiqua"/>
          <w:bCs/>
          <w:szCs w:val="24"/>
          <w:lang w:val="es-PR"/>
        </w:rPr>
      </w:pPr>
    </w:p>
    <w:p w14:paraId="17559ADB" w14:textId="77777777" w:rsidR="008536D1" w:rsidRPr="00C26AF9" w:rsidRDefault="008536D1" w:rsidP="00FE7C91">
      <w:pPr>
        <w:rPr>
          <w:rFonts w:ascii="Book Antiqua" w:hAnsi="Book Antiqua"/>
          <w:b/>
          <w:szCs w:val="24"/>
          <w:u w:val="single"/>
          <w:lang w:val="es-PR"/>
        </w:rPr>
      </w:pPr>
    </w:p>
    <w:p w14:paraId="224B2DB6" w14:textId="75F9B216" w:rsidR="0069716C" w:rsidRPr="009C3FBC" w:rsidRDefault="0069716C" w:rsidP="00D661D1">
      <w:pPr>
        <w:jc w:val="center"/>
        <w:rPr>
          <w:rFonts w:ascii="Book Antiqua" w:hAnsi="Book Antiqua"/>
          <w:bCs/>
          <w:szCs w:val="24"/>
          <w:u w:val="single"/>
          <w:lang w:val="es-ES"/>
        </w:rPr>
      </w:pPr>
      <w:r w:rsidRPr="009C3FBC">
        <w:rPr>
          <w:rFonts w:ascii="Book Antiqua" w:hAnsi="Book Antiqua"/>
          <w:b/>
          <w:szCs w:val="24"/>
          <w:u w:val="single"/>
          <w:lang w:val="es-ES"/>
        </w:rPr>
        <w:t>Departamento de Asuntos del Consumidor (DACO)</w:t>
      </w:r>
    </w:p>
    <w:p w14:paraId="3F74C936" w14:textId="2E42D283" w:rsidR="0069716C" w:rsidRDefault="0069716C" w:rsidP="00D661D1">
      <w:pPr>
        <w:jc w:val="center"/>
        <w:rPr>
          <w:rFonts w:ascii="Book Antiqua" w:hAnsi="Book Antiqua"/>
          <w:bCs/>
          <w:szCs w:val="24"/>
          <w:lang w:val="es-ES"/>
        </w:rPr>
      </w:pPr>
      <w:r w:rsidRPr="009C3FBC">
        <w:rPr>
          <w:rFonts w:ascii="Book Antiqua" w:hAnsi="Book Antiqua"/>
          <w:bCs/>
          <w:szCs w:val="24"/>
          <w:lang w:val="es-ES"/>
        </w:rPr>
        <w:t>(</w:t>
      </w:r>
      <w:r w:rsidR="006663B9">
        <w:rPr>
          <w:rFonts w:ascii="Book Antiqua" w:hAnsi="Book Antiqua"/>
          <w:bCs/>
          <w:szCs w:val="24"/>
          <w:lang w:val="es-ES"/>
        </w:rPr>
        <w:t>22</w:t>
      </w:r>
      <w:r w:rsidR="00D661D1" w:rsidRPr="009C3FBC">
        <w:rPr>
          <w:rFonts w:ascii="Book Antiqua" w:hAnsi="Book Antiqua"/>
          <w:bCs/>
          <w:szCs w:val="24"/>
          <w:lang w:val="es-ES"/>
        </w:rPr>
        <w:t xml:space="preserve"> de mayo de 2025)</w:t>
      </w:r>
    </w:p>
    <w:p w14:paraId="406FFB8C" w14:textId="77777777" w:rsidR="00F927D8" w:rsidRPr="009C3FBC" w:rsidRDefault="00F927D8" w:rsidP="00D661D1">
      <w:pPr>
        <w:jc w:val="center"/>
        <w:rPr>
          <w:rFonts w:ascii="Book Antiqua" w:hAnsi="Book Antiqua"/>
          <w:bCs/>
          <w:szCs w:val="24"/>
          <w:lang w:val="es-ES"/>
        </w:rPr>
      </w:pPr>
    </w:p>
    <w:p w14:paraId="33C7292A" w14:textId="2B0DA52F" w:rsidR="00180347" w:rsidRPr="00180347" w:rsidRDefault="00180347" w:rsidP="00180347">
      <w:pPr>
        <w:ind w:firstLine="720"/>
        <w:jc w:val="both"/>
        <w:rPr>
          <w:rFonts w:ascii="Book Antiqua" w:hAnsi="Book Antiqua"/>
          <w:bCs/>
          <w:szCs w:val="24"/>
          <w:lang w:val="es-ES_tradnl"/>
        </w:rPr>
      </w:pPr>
      <w:r>
        <w:rPr>
          <w:rFonts w:ascii="Book Antiqua" w:hAnsi="Book Antiqua"/>
          <w:bCs/>
          <w:szCs w:val="24"/>
          <w:lang w:val="es-ES_tradnl"/>
        </w:rPr>
        <w:t>El Departamento de Asuntos del Consumidor (</w:t>
      </w:r>
      <w:r w:rsidRPr="00180347">
        <w:rPr>
          <w:rFonts w:ascii="Book Antiqua" w:hAnsi="Book Antiqua"/>
          <w:bCs/>
          <w:szCs w:val="24"/>
          <w:lang w:val="es-ES_tradnl"/>
        </w:rPr>
        <w:t>DACO</w:t>
      </w:r>
      <w:r>
        <w:rPr>
          <w:rFonts w:ascii="Book Antiqua" w:hAnsi="Book Antiqua"/>
          <w:bCs/>
          <w:szCs w:val="24"/>
          <w:lang w:val="es-ES_tradnl"/>
        </w:rPr>
        <w:t xml:space="preserve">) expresó </w:t>
      </w:r>
      <w:r w:rsidR="00995F6C">
        <w:rPr>
          <w:rFonts w:ascii="Book Antiqua" w:hAnsi="Book Antiqua"/>
          <w:bCs/>
          <w:szCs w:val="24"/>
          <w:lang w:val="es-ES_tradnl"/>
        </w:rPr>
        <w:t>que,</w:t>
      </w:r>
      <w:r w:rsidR="007876C2">
        <w:rPr>
          <w:rFonts w:ascii="Book Antiqua" w:hAnsi="Book Antiqua"/>
          <w:bCs/>
          <w:szCs w:val="24"/>
          <w:lang w:val="es-ES_tradnl"/>
        </w:rPr>
        <w:t xml:space="preserve"> aunque</w:t>
      </w:r>
      <w:r w:rsidRPr="00180347">
        <w:rPr>
          <w:rFonts w:ascii="Book Antiqua" w:hAnsi="Book Antiqua"/>
          <w:bCs/>
          <w:szCs w:val="24"/>
          <w:lang w:val="es-ES_tradnl"/>
        </w:rPr>
        <w:t xml:space="preserve"> no es la entidad proponente ni la principal ejecutora de esta medida, es probable que, como parte interesada en la fiscalización de información comercial y la orientación al consumidor, se vea involucrada indirectamente en revisión o aprobación de materiales informativos para asegurar que no sean engañosos, así como en la colaboración </w:t>
      </w:r>
      <w:proofErr w:type="spellStart"/>
      <w:r w:rsidRPr="00180347">
        <w:rPr>
          <w:rFonts w:ascii="Book Antiqua" w:hAnsi="Book Antiqua"/>
          <w:bCs/>
          <w:szCs w:val="24"/>
          <w:lang w:val="es-ES_tradnl"/>
        </w:rPr>
        <w:t>interagencial</w:t>
      </w:r>
      <w:proofErr w:type="spellEnd"/>
      <w:r w:rsidRPr="00180347">
        <w:rPr>
          <w:rFonts w:ascii="Book Antiqua" w:hAnsi="Book Antiqua"/>
          <w:bCs/>
          <w:szCs w:val="24"/>
          <w:lang w:val="es-ES_tradnl"/>
        </w:rPr>
        <w:t> con la Comisión sobre campañas educativas.</w:t>
      </w:r>
    </w:p>
    <w:p w14:paraId="7A830958" w14:textId="77777777" w:rsidR="00180347" w:rsidRPr="00180347" w:rsidRDefault="00180347" w:rsidP="00180347">
      <w:pPr>
        <w:ind w:firstLine="720"/>
        <w:jc w:val="both"/>
        <w:rPr>
          <w:rFonts w:ascii="Book Antiqua" w:hAnsi="Book Antiqua"/>
          <w:bCs/>
          <w:szCs w:val="24"/>
          <w:lang w:val="es-ES_tradnl"/>
        </w:rPr>
      </w:pPr>
    </w:p>
    <w:p w14:paraId="100A740D" w14:textId="6C534FB3" w:rsidR="00180347" w:rsidRPr="00180347" w:rsidRDefault="007C3D00" w:rsidP="00180347">
      <w:pPr>
        <w:ind w:firstLine="720"/>
        <w:jc w:val="both"/>
        <w:rPr>
          <w:rFonts w:ascii="Book Antiqua" w:hAnsi="Book Antiqua"/>
          <w:bCs/>
          <w:szCs w:val="24"/>
          <w:lang w:val="es-ES_tradnl"/>
        </w:rPr>
      </w:pPr>
      <w:r>
        <w:rPr>
          <w:rFonts w:ascii="Book Antiqua" w:hAnsi="Book Antiqua"/>
          <w:bCs/>
          <w:szCs w:val="24"/>
          <w:lang w:val="es-ES_tradnl"/>
        </w:rPr>
        <w:lastRenderedPageBreak/>
        <w:t>También resaltó</w:t>
      </w:r>
      <w:r w:rsidR="00180347" w:rsidRPr="00180347">
        <w:rPr>
          <w:rFonts w:ascii="Book Antiqua" w:hAnsi="Book Antiqua"/>
          <w:bCs/>
          <w:szCs w:val="24"/>
          <w:lang w:val="es-ES_tradnl"/>
        </w:rPr>
        <w:t xml:space="preserve"> que, aunque por el momento no se vislumbra un impacto presupuestario para la agencia, su implementación pudiera implicar la reasignación de recursos existentes en áreas de fiscalización e información al consumidor. </w:t>
      </w:r>
      <w:r>
        <w:rPr>
          <w:rFonts w:ascii="Book Antiqua" w:hAnsi="Book Antiqua"/>
          <w:bCs/>
          <w:szCs w:val="24"/>
          <w:lang w:val="es-ES_tradnl"/>
        </w:rPr>
        <w:t>Adicional, expresó que</w:t>
      </w:r>
      <w:r w:rsidR="00180347" w:rsidRPr="00180347">
        <w:rPr>
          <w:rFonts w:ascii="Book Antiqua" w:hAnsi="Book Antiqua"/>
          <w:bCs/>
          <w:szCs w:val="24"/>
          <w:lang w:val="es-ES_tradnl"/>
        </w:rPr>
        <w:t xml:space="preserve"> tampoco vislumbra que la implementación de esta medida legislativa resulte onerosa para los comercios. DACO recom</w:t>
      </w:r>
      <w:r w:rsidR="00943C00">
        <w:rPr>
          <w:rFonts w:ascii="Book Antiqua" w:hAnsi="Book Antiqua"/>
          <w:bCs/>
          <w:szCs w:val="24"/>
          <w:lang w:val="es-ES_tradnl"/>
        </w:rPr>
        <w:t>endó</w:t>
      </w:r>
      <w:r w:rsidR="00180347" w:rsidRPr="00180347">
        <w:rPr>
          <w:rFonts w:ascii="Book Antiqua" w:hAnsi="Book Antiqua"/>
          <w:bCs/>
          <w:szCs w:val="24"/>
          <w:lang w:val="es-ES_tradnl"/>
        </w:rPr>
        <w:t xml:space="preserve"> que cualquier orientación incluya un enfoque diferenciado y proporcional, para evitar cargas desproporcionadas a los comerciantes.</w:t>
      </w:r>
    </w:p>
    <w:p w14:paraId="7C12CC98" w14:textId="77777777" w:rsidR="00180347" w:rsidRPr="00180347" w:rsidRDefault="00180347" w:rsidP="00180347">
      <w:pPr>
        <w:ind w:firstLine="720"/>
        <w:jc w:val="both"/>
        <w:rPr>
          <w:rFonts w:ascii="Book Antiqua" w:hAnsi="Book Antiqua"/>
          <w:bCs/>
          <w:szCs w:val="24"/>
          <w:lang w:val="es-US"/>
        </w:rPr>
      </w:pPr>
    </w:p>
    <w:p w14:paraId="783FD40F" w14:textId="42E56FB8" w:rsidR="00180347" w:rsidRPr="00180347" w:rsidRDefault="00943C00" w:rsidP="00180347">
      <w:pPr>
        <w:ind w:firstLine="720"/>
        <w:jc w:val="both"/>
        <w:rPr>
          <w:rFonts w:ascii="Book Antiqua" w:hAnsi="Book Antiqua"/>
          <w:bCs/>
          <w:szCs w:val="24"/>
          <w:lang w:val="es-ES_tradnl"/>
        </w:rPr>
      </w:pPr>
      <w:r>
        <w:rPr>
          <w:rFonts w:ascii="Book Antiqua" w:hAnsi="Book Antiqua"/>
          <w:bCs/>
          <w:szCs w:val="24"/>
          <w:lang w:val="es-ES_tradnl"/>
        </w:rPr>
        <w:t>También sugirió</w:t>
      </w:r>
      <w:r w:rsidR="00180347" w:rsidRPr="00180347">
        <w:rPr>
          <w:rFonts w:ascii="Book Antiqua" w:hAnsi="Book Antiqua"/>
          <w:bCs/>
          <w:szCs w:val="24"/>
          <w:lang w:val="es-ES_tradnl"/>
        </w:rPr>
        <w:t xml:space="preserve"> que su implementación sea de carácter voluntario y no punitivo, con una perspectiva educativa. Además, evitar un enfoque único que pueda ser oneroso o impracticable para pequeños comerciantes. Asimismo, fomentar incentivos en vez de penalidades</w:t>
      </w:r>
      <w:r w:rsidR="00180347" w:rsidRPr="00180347">
        <w:rPr>
          <w:rFonts w:ascii="Book Antiqua" w:hAnsi="Book Antiqua"/>
          <w:b/>
          <w:bCs/>
          <w:szCs w:val="24"/>
          <w:lang w:val="es-ES_tradnl"/>
        </w:rPr>
        <w:t xml:space="preserve"> </w:t>
      </w:r>
      <w:r w:rsidR="00180347" w:rsidRPr="00180347">
        <w:rPr>
          <w:rFonts w:ascii="Book Antiqua" w:hAnsi="Book Antiqua"/>
          <w:bCs/>
          <w:szCs w:val="24"/>
          <w:lang w:val="es-ES_tradnl"/>
        </w:rPr>
        <w:t>y evaluar periódicamente su impacto, ya sea a través de un sistema de monitoreo y revisión de resultados para medir efectividad sin crear cargas innecesarias.</w:t>
      </w:r>
    </w:p>
    <w:p w14:paraId="43B73291" w14:textId="77777777" w:rsidR="00180347" w:rsidRPr="00180347" w:rsidRDefault="00180347" w:rsidP="00180347">
      <w:pPr>
        <w:ind w:firstLine="720"/>
        <w:jc w:val="both"/>
        <w:rPr>
          <w:rFonts w:ascii="Book Antiqua" w:hAnsi="Book Antiqua"/>
          <w:bCs/>
          <w:szCs w:val="24"/>
          <w:lang w:val="es-ES_tradnl"/>
        </w:rPr>
      </w:pPr>
    </w:p>
    <w:p w14:paraId="661BCCE6" w14:textId="44BEFBA7" w:rsidR="00180347" w:rsidRPr="00180347" w:rsidRDefault="00AB4DBF" w:rsidP="00180347">
      <w:pPr>
        <w:ind w:firstLine="720"/>
        <w:jc w:val="both"/>
        <w:rPr>
          <w:rFonts w:ascii="Book Antiqua" w:hAnsi="Book Antiqua"/>
          <w:bCs/>
          <w:szCs w:val="24"/>
          <w:lang w:val="es-ES_tradnl"/>
        </w:rPr>
      </w:pPr>
      <w:r>
        <w:rPr>
          <w:rFonts w:ascii="Book Antiqua" w:hAnsi="Book Antiqua"/>
          <w:bCs/>
          <w:szCs w:val="24"/>
          <w:lang w:val="es-ES_tradnl"/>
        </w:rPr>
        <w:t>DACO expresó que</w:t>
      </w:r>
      <w:r w:rsidR="00180347" w:rsidRPr="00180347">
        <w:rPr>
          <w:rFonts w:ascii="Book Antiqua" w:hAnsi="Book Antiqua"/>
          <w:bCs/>
          <w:szCs w:val="24"/>
          <w:lang w:val="es-ES_tradnl"/>
        </w:rPr>
        <w:t xml:space="preserve"> el Proyecto de la Cámara 88 representa una oportunidad para fortalecer la educación del consumidor desde un enfoque nutricional y preventivo. El DACO respalda iniciativas que promuevan elecciones informadas, siempre que no se comprometan los derechos del comercio ni se impongan cargas desproporcionadas sin el debido análisis costo-beneficio. </w:t>
      </w:r>
      <w:r w:rsidR="00FA58C4">
        <w:rPr>
          <w:rFonts w:ascii="Book Antiqua" w:hAnsi="Book Antiqua"/>
          <w:bCs/>
          <w:szCs w:val="24"/>
          <w:lang w:val="es-ES_tradnl"/>
        </w:rPr>
        <w:t>DACO se mostró en la disposición</w:t>
      </w:r>
      <w:r w:rsidR="00180347" w:rsidRPr="00180347">
        <w:rPr>
          <w:rFonts w:ascii="Book Antiqua" w:hAnsi="Book Antiqua"/>
          <w:bCs/>
          <w:szCs w:val="24"/>
          <w:lang w:val="es-ES_tradnl"/>
        </w:rPr>
        <w:t xml:space="preserve"> para colaborar, como ente asesor, en el desarrollo de materiales educativos y estrategias que beneficien tanto a consumidores como a comerciantes</w:t>
      </w:r>
      <w:r w:rsidR="00180347" w:rsidRPr="00180347">
        <w:rPr>
          <w:rFonts w:ascii="Book Antiqua" w:hAnsi="Book Antiqua"/>
          <w:bCs/>
          <w:szCs w:val="24"/>
          <w:lang w:val="es-US"/>
        </w:rPr>
        <w:t>.</w:t>
      </w:r>
    </w:p>
    <w:p w14:paraId="539086CB" w14:textId="77777777" w:rsidR="00180347" w:rsidRPr="00180347" w:rsidRDefault="00180347" w:rsidP="00180347">
      <w:pPr>
        <w:ind w:firstLine="720"/>
        <w:jc w:val="both"/>
        <w:rPr>
          <w:rFonts w:ascii="Book Antiqua" w:hAnsi="Book Antiqua"/>
          <w:bCs/>
          <w:szCs w:val="24"/>
          <w:lang w:val="es-ES_tradnl"/>
        </w:rPr>
      </w:pPr>
    </w:p>
    <w:p w14:paraId="5B680330" w14:textId="6E7589AA" w:rsidR="00D661D1" w:rsidRDefault="00D2583C" w:rsidP="0069716C">
      <w:pPr>
        <w:ind w:firstLine="720"/>
        <w:jc w:val="both"/>
        <w:rPr>
          <w:rFonts w:ascii="Book Antiqua" w:hAnsi="Book Antiqua"/>
          <w:bCs/>
          <w:szCs w:val="24"/>
          <w:lang w:val="es-ES_tradnl"/>
        </w:rPr>
      </w:pPr>
      <w:r>
        <w:rPr>
          <w:rFonts w:ascii="Book Antiqua" w:hAnsi="Book Antiqua"/>
          <w:bCs/>
          <w:szCs w:val="24"/>
          <w:lang w:val="es-ES_tradnl"/>
        </w:rPr>
        <w:t xml:space="preserve">El Departamento de Asuntos del Consumidor finalizó su ponencia expresando </w:t>
      </w:r>
      <w:r w:rsidR="00995F6C">
        <w:rPr>
          <w:rFonts w:ascii="Book Antiqua" w:hAnsi="Book Antiqua"/>
          <w:bCs/>
          <w:szCs w:val="24"/>
          <w:lang w:val="es-ES_tradnl"/>
        </w:rPr>
        <w:t>que,</w:t>
      </w:r>
      <w:r>
        <w:rPr>
          <w:rFonts w:ascii="Book Antiqua" w:hAnsi="Book Antiqua"/>
          <w:bCs/>
          <w:szCs w:val="24"/>
          <w:lang w:val="es-ES_tradnl"/>
        </w:rPr>
        <w:t xml:space="preserve"> de acogerse sus </w:t>
      </w:r>
      <w:r w:rsidR="00A472B3">
        <w:rPr>
          <w:rFonts w:ascii="Book Antiqua" w:hAnsi="Book Antiqua"/>
          <w:bCs/>
          <w:szCs w:val="24"/>
          <w:lang w:val="es-ES_tradnl"/>
        </w:rPr>
        <w:t>sugerencias, estarían en disposición de endosar la medida.</w:t>
      </w:r>
    </w:p>
    <w:p w14:paraId="615C257B" w14:textId="77777777" w:rsidR="00F927D8" w:rsidRDefault="00F927D8" w:rsidP="0069716C">
      <w:pPr>
        <w:ind w:firstLine="720"/>
        <w:jc w:val="both"/>
        <w:rPr>
          <w:rFonts w:ascii="Book Antiqua" w:hAnsi="Book Antiqua"/>
          <w:bCs/>
          <w:szCs w:val="24"/>
          <w:lang w:val="es-ES_tradnl"/>
        </w:rPr>
      </w:pPr>
    </w:p>
    <w:p w14:paraId="43783BBA" w14:textId="77777777" w:rsidR="00264D52" w:rsidRDefault="00264D52" w:rsidP="0069716C">
      <w:pPr>
        <w:ind w:firstLine="720"/>
        <w:jc w:val="both"/>
        <w:rPr>
          <w:rFonts w:ascii="Book Antiqua" w:hAnsi="Book Antiqua"/>
          <w:bCs/>
          <w:szCs w:val="24"/>
          <w:lang w:val="es-ES_tradnl"/>
        </w:rPr>
      </w:pPr>
    </w:p>
    <w:p w14:paraId="154D5BBC" w14:textId="77777777" w:rsidR="00F927D8" w:rsidRPr="00FF248D" w:rsidRDefault="00F927D8" w:rsidP="00F927D8">
      <w:pPr>
        <w:pStyle w:val="Heading3"/>
        <w:jc w:val="center"/>
        <w:rPr>
          <w:rFonts w:ascii="Book Antiqua" w:hAnsi="Book Antiqua"/>
          <w:b/>
          <w:color w:val="auto"/>
          <w:lang w:val="es-ES"/>
        </w:rPr>
      </w:pPr>
      <w:r w:rsidRPr="00FF248D">
        <w:rPr>
          <w:rFonts w:ascii="Book Antiqua" w:hAnsi="Book Antiqua"/>
          <w:b/>
          <w:color w:val="auto"/>
          <w:lang w:val="es-ES"/>
        </w:rPr>
        <w:t>IMPACTO FISCAL</w:t>
      </w:r>
    </w:p>
    <w:p w14:paraId="53C4FF1B" w14:textId="77777777" w:rsidR="00F927D8" w:rsidRPr="00FF248D" w:rsidRDefault="00F927D8" w:rsidP="00F927D8">
      <w:pPr>
        <w:rPr>
          <w:rFonts w:ascii="Book Antiqua" w:hAnsi="Book Antiqua"/>
          <w:lang w:val="es-ES"/>
        </w:rPr>
      </w:pPr>
    </w:p>
    <w:p w14:paraId="73796D39" w14:textId="32115DAE" w:rsidR="00F9230C" w:rsidRDefault="000C1A0B" w:rsidP="00F927D8">
      <w:pPr>
        <w:ind w:firstLine="720"/>
        <w:jc w:val="both"/>
        <w:rPr>
          <w:rFonts w:ascii="Book Antiqua" w:hAnsi="Book Antiqua"/>
          <w:lang w:val="es-ES_tradnl"/>
        </w:rPr>
      </w:pPr>
      <w:r>
        <w:rPr>
          <w:rFonts w:ascii="Book Antiqua" w:hAnsi="Book Antiqua"/>
          <w:lang w:val="es-ES"/>
        </w:rPr>
        <w:t xml:space="preserve">Si bien cabe resaltar que el </w:t>
      </w:r>
      <w:r w:rsidRPr="00F927D8">
        <w:rPr>
          <w:rFonts w:ascii="Book Antiqua" w:hAnsi="Book Antiqua"/>
          <w:lang w:val="es-ES"/>
        </w:rPr>
        <w:t>P.</w:t>
      </w:r>
      <w:r w:rsidR="00F927D8" w:rsidRPr="00F927D8">
        <w:rPr>
          <w:rFonts w:ascii="Book Antiqua" w:hAnsi="Book Antiqua"/>
          <w:lang w:val="es-ES"/>
        </w:rPr>
        <w:t xml:space="preserve"> de la C. 88</w:t>
      </w:r>
      <w:r>
        <w:rPr>
          <w:rFonts w:ascii="Book Antiqua" w:hAnsi="Book Antiqua"/>
          <w:lang w:val="es-ES"/>
        </w:rPr>
        <w:t xml:space="preserve">, </w:t>
      </w:r>
      <w:r w:rsidRPr="000C1A0B">
        <w:rPr>
          <w:rFonts w:ascii="Book Antiqua" w:hAnsi="Book Antiqua"/>
          <w:lang w:val="es-ES_tradnl"/>
        </w:rPr>
        <w:t>aunque por el momento no se vislumbra un impacto presupuestario para</w:t>
      </w:r>
      <w:r>
        <w:rPr>
          <w:rFonts w:ascii="Book Antiqua" w:hAnsi="Book Antiqua"/>
          <w:lang w:val="es-ES_tradnl"/>
        </w:rPr>
        <w:t xml:space="preserve"> el Departamento de Asuntos del Consumidor</w:t>
      </w:r>
      <w:r w:rsidRPr="000C1A0B">
        <w:rPr>
          <w:rFonts w:ascii="Book Antiqua" w:hAnsi="Book Antiqua"/>
          <w:lang w:val="es-ES_tradnl"/>
        </w:rPr>
        <w:t>, su implementación pudiera implicar la reasignación de recursos existentes en áreas de fiscalización e información al consumidor</w:t>
      </w:r>
      <w:r w:rsidR="00264D52">
        <w:rPr>
          <w:rFonts w:ascii="Book Antiqua" w:hAnsi="Book Antiqua"/>
          <w:lang w:val="es-ES_tradnl"/>
        </w:rPr>
        <w:t>.</w:t>
      </w:r>
    </w:p>
    <w:p w14:paraId="44844AA3" w14:textId="77777777" w:rsidR="00264D52" w:rsidRPr="000C1A0B" w:rsidRDefault="00264D52" w:rsidP="00F927D8">
      <w:pPr>
        <w:ind w:firstLine="720"/>
        <w:jc w:val="both"/>
        <w:rPr>
          <w:rFonts w:ascii="Book Antiqua" w:hAnsi="Book Antiqua"/>
          <w:lang w:val="es-ES"/>
        </w:rPr>
      </w:pPr>
    </w:p>
    <w:p w14:paraId="6B6C607F" w14:textId="77777777" w:rsidR="00F927D8" w:rsidRPr="00F927D8" w:rsidRDefault="00F927D8" w:rsidP="00F927D8">
      <w:pPr>
        <w:jc w:val="both"/>
        <w:rPr>
          <w:rFonts w:ascii="Book Antiqua" w:hAnsi="Book Antiqua"/>
          <w:highlight w:val="yellow"/>
          <w:lang w:val="es-ES"/>
        </w:rPr>
      </w:pPr>
    </w:p>
    <w:p w14:paraId="37BEE1AC" w14:textId="77777777" w:rsidR="00F927D8" w:rsidRPr="0057057D" w:rsidRDefault="00F927D8" w:rsidP="00F927D8">
      <w:pPr>
        <w:pStyle w:val="Heading3"/>
        <w:jc w:val="center"/>
        <w:rPr>
          <w:rFonts w:ascii="Book Antiqua" w:hAnsi="Book Antiqua"/>
          <w:b/>
          <w:bCs/>
          <w:color w:val="auto"/>
          <w:lang w:val="es-ES"/>
        </w:rPr>
      </w:pPr>
      <w:r w:rsidRPr="0057057D">
        <w:rPr>
          <w:rFonts w:ascii="Book Antiqua" w:hAnsi="Book Antiqua"/>
          <w:b/>
          <w:bCs/>
          <w:color w:val="auto"/>
          <w:lang w:val="es-ES"/>
        </w:rPr>
        <w:t>CONCLUSIÓN</w:t>
      </w:r>
    </w:p>
    <w:p w14:paraId="365BA886" w14:textId="77777777" w:rsidR="00F927D8" w:rsidRPr="00F927D8" w:rsidRDefault="00F927D8" w:rsidP="00F927D8">
      <w:pPr>
        <w:rPr>
          <w:highlight w:val="yellow"/>
          <w:lang w:val="es-ES"/>
        </w:rPr>
      </w:pPr>
    </w:p>
    <w:p w14:paraId="5D25AF08" w14:textId="1984197A" w:rsidR="00F927D8" w:rsidRDefault="00F927D8" w:rsidP="00F927D8">
      <w:pPr>
        <w:ind w:firstLine="720"/>
        <w:jc w:val="both"/>
        <w:rPr>
          <w:rFonts w:ascii="Book Antiqua" w:hAnsi="Book Antiqua"/>
          <w:lang w:val="es-ES"/>
        </w:rPr>
      </w:pPr>
      <w:r w:rsidRPr="00F927D8">
        <w:rPr>
          <w:rFonts w:ascii="Book Antiqua" w:hAnsi="Book Antiqua"/>
          <w:lang w:val="es-ES"/>
        </w:rPr>
        <w:t xml:space="preserve">El P. de la C. 88 </w:t>
      </w:r>
      <w:r w:rsidR="0057057D">
        <w:rPr>
          <w:rFonts w:ascii="Book Antiqua" w:hAnsi="Book Antiqua"/>
          <w:lang w:val="es-ES"/>
        </w:rPr>
        <w:t xml:space="preserve">es una legislación que busca mejorar la salud nutricional y la calidad de vida de todos los puertorriqueños. </w:t>
      </w:r>
      <w:r w:rsidR="00F9230C">
        <w:rPr>
          <w:rFonts w:ascii="Book Antiqua" w:hAnsi="Book Antiqua"/>
          <w:lang w:val="es-ES"/>
        </w:rPr>
        <w:t>Según establece el Departamento de Recreación y Deportes en la ponencia presentada por el Departamento de Salud, esta medida favorece incluso a nuestros atletas en desarrollo al igual que a los de alto rendimiento por que les facilita la información necesaria al escoger una merienda de alto valor nutricional para antes o después de unas prácticas, torneos y/o competiciones.</w:t>
      </w:r>
    </w:p>
    <w:p w14:paraId="34DA2078" w14:textId="77777777" w:rsidR="00F05EE5" w:rsidRDefault="00F05EE5" w:rsidP="00F927D8">
      <w:pPr>
        <w:ind w:firstLine="720"/>
        <w:jc w:val="both"/>
        <w:rPr>
          <w:rFonts w:ascii="Book Antiqua" w:hAnsi="Book Antiqua"/>
          <w:lang w:val="es-ES"/>
        </w:rPr>
      </w:pPr>
    </w:p>
    <w:p w14:paraId="7022C864" w14:textId="6CD07468" w:rsidR="00F05EE5" w:rsidRPr="00F512CD" w:rsidRDefault="00264D52" w:rsidP="00F927D8">
      <w:pPr>
        <w:ind w:firstLine="720"/>
        <w:jc w:val="both"/>
        <w:rPr>
          <w:rFonts w:ascii="Book Antiqua" w:hAnsi="Book Antiqua"/>
          <w:lang w:val="es-ES"/>
        </w:rPr>
      </w:pPr>
      <w:r w:rsidRPr="00264D52">
        <w:rPr>
          <w:rFonts w:ascii="Book Antiqua" w:hAnsi="Book Antiqua"/>
          <w:lang w:val="es-ES"/>
        </w:rPr>
        <w:t>R</w:t>
      </w:r>
      <w:r w:rsidR="00F05EE5" w:rsidRPr="00264D52">
        <w:rPr>
          <w:rFonts w:ascii="Book Antiqua" w:hAnsi="Book Antiqua"/>
          <w:lang w:val="es-ES"/>
        </w:rPr>
        <w:t xml:space="preserve">ecomendaciones </w:t>
      </w:r>
      <w:r w:rsidR="00F05EE5" w:rsidRPr="00264D52">
        <w:rPr>
          <w:rFonts w:ascii="Book Antiqua" w:hAnsi="Book Antiqua"/>
          <w:bCs/>
          <w:szCs w:val="24"/>
          <w:lang w:val="es-ES_tradnl"/>
        </w:rPr>
        <w:t xml:space="preserve">fueron acogidas en el </w:t>
      </w:r>
      <w:proofErr w:type="spellStart"/>
      <w:r w:rsidR="00F05EE5" w:rsidRPr="00264D52">
        <w:rPr>
          <w:rFonts w:ascii="Book Antiqua" w:hAnsi="Book Antiqua"/>
          <w:bCs/>
          <w:szCs w:val="24"/>
          <w:lang w:val="es-ES_tradnl"/>
        </w:rPr>
        <w:t>Entirillado</w:t>
      </w:r>
      <w:proofErr w:type="spellEnd"/>
      <w:r w:rsidR="00F05EE5" w:rsidRPr="00264D52">
        <w:rPr>
          <w:rFonts w:ascii="Book Antiqua" w:hAnsi="Book Antiqua"/>
          <w:bCs/>
          <w:szCs w:val="24"/>
          <w:lang w:val="es-ES_tradnl"/>
        </w:rPr>
        <w:t xml:space="preserve"> Electrónico que se aneja al presente informe positivo</w:t>
      </w:r>
      <w:r w:rsidRPr="00264D52">
        <w:rPr>
          <w:rFonts w:ascii="Book Antiqua" w:hAnsi="Book Antiqua"/>
          <w:bCs/>
          <w:szCs w:val="24"/>
          <w:lang w:val="es-ES_tradnl"/>
        </w:rPr>
        <w:t>.</w:t>
      </w:r>
    </w:p>
    <w:p w14:paraId="09B8BF4B" w14:textId="77777777" w:rsidR="00F927D8" w:rsidRPr="00FF248D" w:rsidRDefault="00F927D8" w:rsidP="00F927D8">
      <w:pPr>
        <w:jc w:val="both"/>
        <w:rPr>
          <w:rFonts w:ascii="Book Antiqua" w:hAnsi="Book Antiqua"/>
          <w:b/>
          <w:bCs/>
          <w:color w:val="000000"/>
          <w:lang w:val="es-ES"/>
        </w:rPr>
      </w:pPr>
    </w:p>
    <w:p w14:paraId="1DD07ED5" w14:textId="3F344F03" w:rsidR="00ED30AA" w:rsidRPr="009C3FBC" w:rsidRDefault="00ED30AA" w:rsidP="007F4D2B">
      <w:pPr>
        <w:ind w:firstLine="720"/>
        <w:jc w:val="both"/>
        <w:rPr>
          <w:rFonts w:ascii="Book Antiqua" w:hAnsi="Book Antiqua"/>
          <w:szCs w:val="24"/>
          <w:lang w:val="es-ES"/>
        </w:rPr>
      </w:pPr>
      <w:r w:rsidRPr="009C3FBC">
        <w:rPr>
          <w:rFonts w:ascii="Book Antiqua" w:hAnsi="Book Antiqua"/>
          <w:b/>
          <w:bCs/>
          <w:szCs w:val="24"/>
          <w:lang w:val="es-ES"/>
        </w:rPr>
        <w:t>POR</w:t>
      </w:r>
      <w:r w:rsidRPr="009C3FBC">
        <w:rPr>
          <w:rFonts w:ascii="Book Antiqua" w:hAnsi="Book Antiqua"/>
          <w:szCs w:val="24"/>
          <w:lang w:val="es-ES"/>
        </w:rPr>
        <w:t xml:space="preserve"> </w:t>
      </w:r>
      <w:r w:rsidRPr="009C3FBC">
        <w:rPr>
          <w:rFonts w:ascii="Book Antiqua" w:hAnsi="Book Antiqua"/>
          <w:b/>
          <w:bCs/>
          <w:szCs w:val="24"/>
          <w:lang w:val="es-ES"/>
        </w:rPr>
        <w:t xml:space="preserve">LOS FUNDAMENTOS </w:t>
      </w:r>
      <w:r w:rsidR="00F927D8">
        <w:rPr>
          <w:rFonts w:ascii="Book Antiqua" w:hAnsi="Book Antiqua"/>
          <w:b/>
          <w:bCs/>
          <w:szCs w:val="24"/>
          <w:lang w:val="es-ES"/>
        </w:rPr>
        <w:t>PRESENTADOS</w:t>
      </w:r>
      <w:r w:rsidRPr="009C3FBC">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9C3FBC">
        <w:rPr>
          <w:rFonts w:ascii="Book Antiqua" w:hAnsi="Book Antiqua"/>
          <w:b/>
          <w:bCs/>
          <w:szCs w:val="24"/>
          <w:lang w:val="es-ES"/>
        </w:rPr>
        <w:t>P. de</w:t>
      </w:r>
      <w:r w:rsidR="00AA6704" w:rsidRPr="009C3FBC">
        <w:rPr>
          <w:rFonts w:ascii="Book Antiqua" w:hAnsi="Book Antiqua"/>
          <w:b/>
          <w:bCs/>
          <w:szCs w:val="24"/>
          <w:lang w:val="es-ES"/>
        </w:rPr>
        <w:t xml:space="preserve"> </w:t>
      </w:r>
      <w:r w:rsidRPr="009C3FBC">
        <w:rPr>
          <w:rFonts w:ascii="Book Antiqua" w:hAnsi="Book Antiqua"/>
          <w:b/>
          <w:bCs/>
          <w:szCs w:val="24"/>
          <w:lang w:val="es-ES"/>
        </w:rPr>
        <w:t>l</w:t>
      </w:r>
      <w:r w:rsidR="00AA6704" w:rsidRPr="009C3FBC">
        <w:rPr>
          <w:rFonts w:ascii="Book Antiqua" w:hAnsi="Book Antiqua"/>
          <w:b/>
          <w:bCs/>
          <w:szCs w:val="24"/>
          <w:lang w:val="es-ES"/>
        </w:rPr>
        <w:t>a</w:t>
      </w:r>
      <w:r w:rsidRPr="009C3FBC">
        <w:rPr>
          <w:rFonts w:ascii="Book Antiqua" w:hAnsi="Book Antiqua"/>
          <w:b/>
          <w:bCs/>
          <w:szCs w:val="24"/>
          <w:lang w:val="es-ES"/>
        </w:rPr>
        <w:t xml:space="preserve"> </w:t>
      </w:r>
      <w:r w:rsidR="00AA6704" w:rsidRPr="009C3FBC">
        <w:rPr>
          <w:rFonts w:ascii="Book Antiqua" w:hAnsi="Book Antiqua"/>
          <w:b/>
          <w:bCs/>
          <w:szCs w:val="24"/>
          <w:lang w:val="es-ES"/>
        </w:rPr>
        <w:t>C</w:t>
      </w:r>
      <w:r w:rsidRPr="009C3FBC">
        <w:rPr>
          <w:rFonts w:ascii="Book Antiqua" w:hAnsi="Book Antiqua"/>
          <w:b/>
          <w:bCs/>
          <w:szCs w:val="24"/>
          <w:lang w:val="es-ES"/>
        </w:rPr>
        <w:t xml:space="preserve">. </w:t>
      </w:r>
      <w:r w:rsidR="00995F6C">
        <w:rPr>
          <w:rFonts w:ascii="Book Antiqua" w:hAnsi="Book Antiqua"/>
          <w:b/>
          <w:bCs/>
          <w:szCs w:val="24"/>
          <w:lang w:val="es-ES"/>
        </w:rPr>
        <w:t>88</w:t>
      </w:r>
      <w:r w:rsidRPr="009C3FBC">
        <w:rPr>
          <w:rFonts w:ascii="Book Antiqua" w:hAnsi="Book Antiqua"/>
          <w:szCs w:val="24"/>
          <w:lang w:val="es-ES"/>
        </w:rPr>
        <w:t xml:space="preserve">, con las enmiendas contenidas en el </w:t>
      </w:r>
      <w:r w:rsidR="003E3209" w:rsidRPr="009C3FBC">
        <w:rPr>
          <w:rFonts w:ascii="Book Antiqua" w:hAnsi="Book Antiqua"/>
          <w:szCs w:val="24"/>
          <w:lang w:val="es-ES"/>
        </w:rPr>
        <w:t>entrillado</w:t>
      </w:r>
      <w:r w:rsidRPr="009C3FBC">
        <w:rPr>
          <w:rFonts w:ascii="Book Antiqua" w:hAnsi="Book Antiqua"/>
          <w:szCs w:val="24"/>
          <w:lang w:val="es-ES"/>
        </w:rPr>
        <w:t xml:space="preserve"> electrónico que se aneja.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77777777" w:rsidR="00ED30AA" w:rsidRPr="009C3FBC" w:rsidRDefault="00ED30AA" w:rsidP="00ED30AA">
      <w:pPr>
        <w:jc w:val="both"/>
        <w:rPr>
          <w:rFonts w:ascii="Book Antiqua" w:hAnsi="Book Antiqua"/>
          <w:szCs w:val="24"/>
          <w:lang w:val="es-ES"/>
        </w:rPr>
      </w:pPr>
    </w:p>
    <w:p w14:paraId="03DCDF7B" w14:textId="77777777" w:rsidR="00ED30AA" w:rsidRPr="009C3FBC" w:rsidRDefault="00ED30AA" w:rsidP="00ED30AA">
      <w:pPr>
        <w:jc w:val="both"/>
        <w:rPr>
          <w:rFonts w:ascii="Book Antiqua" w:hAnsi="Book Antiqua"/>
          <w:szCs w:val="24"/>
          <w:lang w:val="es-ES"/>
        </w:rPr>
      </w:pPr>
    </w:p>
    <w:p w14:paraId="4B762190" w14:textId="77777777" w:rsidR="00ED30AA" w:rsidRPr="009C3FBC" w:rsidRDefault="00ED30AA" w:rsidP="00ED30AA">
      <w:pPr>
        <w:jc w:val="both"/>
        <w:rPr>
          <w:rFonts w:ascii="Book Antiqua" w:hAnsi="Book Antiqua"/>
          <w:b/>
          <w:bCs/>
          <w:i/>
          <w:iCs/>
          <w:szCs w:val="24"/>
          <w:lang w:val="es-ES"/>
        </w:rPr>
      </w:pPr>
      <w:proofErr w:type="spellStart"/>
      <w:r w:rsidRPr="009C3FBC">
        <w:rPr>
          <w:rFonts w:ascii="Book Antiqua" w:hAnsi="Book Antiqua"/>
          <w:b/>
          <w:bCs/>
          <w:i/>
          <w:iCs/>
          <w:szCs w:val="24"/>
          <w:lang w:val="es-ES"/>
        </w:rPr>
        <w:t>Hon</w:t>
      </w:r>
      <w:proofErr w:type="spellEnd"/>
      <w:r w:rsidRPr="009C3FBC">
        <w:rPr>
          <w:rFonts w:ascii="Book Antiqua" w:hAnsi="Book Antiqua"/>
          <w:b/>
          <w:bCs/>
          <w:i/>
          <w:iCs/>
          <w:szCs w:val="24"/>
          <w:lang w:val="es-ES"/>
        </w:rPr>
        <w:t>. Gabriel Rodríguez Aguiló</w:t>
      </w:r>
      <w:r w:rsidRPr="009C3FBC">
        <w:rPr>
          <w:rFonts w:ascii="Book Antiqua" w:hAnsi="Book Antiqua"/>
          <w:b/>
          <w:bCs/>
          <w:i/>
          <w:iCs/>
          <w:szCs w:val="24"/>
          <w:lang w:val="es-ES"/>
        </w:rPr>
        <w:tab/>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731CB04A"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 Salud</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6B81" w14:textId="77777777" w:rsidR="004E0C8C" w:rsidRDefault="004E0C8C">
      <w:r>
        <w:separator/>
      </w:r>
    </w:p>
  </w:endnote>
  <w:endnote w:type="continuationSeparator" w:id="0">
    <w:p w14:paraId="3AC3DC10" w14:textId="77777777" w:rsidR="004E0C8C" w:rsidRDefault="004E0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7D456" w14:textId="77777777" w:rsidR="004E0C8C" w:rsidRDefault="004E0C8C">
      <w:r>
        <w:separator/>
      </w:r>
    </w:p>
  </w:footnote>
  <w:footnote w:type="continuationSeparator" w:id="0">
    <w:p w14:paraId="6EB425D4" w14:textId="77777777" w:rsidR="004E0C8C" w:rsidRDefault="004E0C8C">
      <w:r>
        <w:continuationSeparator/>
      </w:r>
    </w:p>
  </w:footnote>
  <w:footnote w:id="1">
    <w:p w14:paraId="6192A6B3" w14:textId="1CE4C9A8" w:rsidR="005248AF" w:rsidRPr="00C365F1" w:rsidRDefault="00DC1494">
      <w:pPr>
        <w:pStyle w:val="FootnoteText"/>
        <w:rPr>
          <w:rFonts w:ascii="Cambria" w:hAnsi="Cambria"/>
          <w:sz w:val="18"/>
          <w:szCs w:val="18"/>
          <w14:ligatures w14:val="standardContextual"/>
        </w:rPr>
      </w:pPr>
      <w:r>
        <w:rPr>
          <w:rStyle w:val="FootnoteReference"/>
        </w:rPr>
        <w:footnoteRef/>
      </w:r>
      <w:r>
        <w:t xml:space="preserve"> </w:t>
      </w:r>
      <w:r w:rsidRPr="00DC1494">
        <w:rPr>
          <w:rFonts w:ascii="Cambria" w:hAnsi="Cambria"/>
          <w:sz w:val="18"/>
          <w:szCs w:val="18"/>
          <w14:ligatures w14:val="standardContextual"/>
        </w:rPr>
        <w:t xml:space="preserve">Adjoian, T., Dannefer, R., Willingham, C., Brathwaite, C. &amp; Franklin, S. (2017).  Healthy Checkout Lines: A Study in Urban Supermarkets.  </w:t>
      </w:r>
      <w:r w:rsidRPr="00DC1494">
        <w:rPr>
          <w:rFonts w:ascii="Cambria" w:hAnsi="Cambria"/>
          <w:i/>
          <w:iCs/>
          <w:sz w:val="18"/>
          <w:szCs w:val="18"/>
          <w14:ligatures w14:val="standardContextual"/>
        </w:rPr>
        <w:t>Journal of Nutrition Education and Behavior, 49</w:t>
      </w:r>
      <w:r w:rsidRPr="00DC1494">
        <w:rPr>
          <w:rFonts w:ascii="Cambria" w:hAnsi="Cambria"/>
          <w:sz w:val="18"/>
          <w:szCs w:val="18"/>
          <w14:ligatures w14:val="standardContextual"/>
        </w:rPr>
        <w:t>(8), pp. 615-622. doi: 10.1016/j.jneb.2017.02.004.</w:t>
      </w:r>
    </w:p>
  </w:footnote>
  <w:footnote w:id="2">
    <w:p w14:paraId="0A93C8A5" w14:textId="7C0FCE4C" w:rsidR="00E42E71" w:rsidRDefault="00E42E71">
      <w:pPr>
        <w:pStyle w:val="FootnoteText"/>
      </w:pPr>
      <w:r>
        <w:rPr>
          <w:rStyle w:val="FootnoteReference"/>
        </w:rPr>
        <w:footnoteRef/>
      </w:r>
      <w:r>
        <w:t xml:space="preserve"> </w:t>
      </w:r>
      <w:r w:rsidRPr="00E42E71">
        <w:rPr>
          <w:rFonts w:ascii="Cambria" w:hAnsi="Cambria"/>
          <w:sz w:val="18"/>
          <w:szCs w:val="18"/>
        </w:rPr>
        <w:t xml:space="preserve">Huitink, M., Poelman, M.P., Seidell, J.C., et al. (2020).  Can Healthy Checkout Counters Improve Food Purchases? Two Real-Life Experiments in Dutch Supermarkets.  </w:t>
      </w:r>
      <w:r w:rsidRPr="00E42E71">
        <w:rPr>
          <w:rFonts w:ascii="Cambria" w:hAnsi="Cambria"/>
          <w:i/>
          <w:iCs/>
          <w:sz w:val="18"/>
          <w:szCs w:val="18"/>
        </w:rPr>
        <w:t>International Journal of Environmental Research and Public Health, 17</w:t>
      </w:r>
      <w:r w:rsidRPr="00E42E71">
        <w:rPr>
          <w:rFonts w:ascii="Cambria" w:hAnsi="Cambria"/>
          <w:sz w:val="18"/>
          <w:szCs w:val="18"/>
        </w:rPr>
        <w:t>(22), p. E8611. doi:10.3390/ijerph17228611.</w:t>
      </w:r>
    </w:p>
  </w:footnote>
  <w:footnote w:id="3">
    <w:p w14:paraId="1F8D30E3" w14:textId="611644CB" w:rsidR="00C365F1" w:rsidRPr="005B6F28" w:rsidRDefault="00C365F1">
      <w:pPr>
        <w:pStyle w:val="FootnoteText"/>
        <w:rPr>
          <w:rFonts w:ascii="Cambria" w:hAnsi="Cambria"/>
          <w:sz w:val="18"/>
          <w:szCs w:val="18"/>
          <w14:ligatures w14:val="standardContextual"/>
        </w:rPr>
      </w:pPr>
      <w:r>
        <w:rPr>
          <w:rStyle w:val="FootnoteReference"/>
        </w:rPr>
        <w:footnoteRef/>
      </w:r>
      <w:r w:rsidRPr="00C365F1">
        <w:rPr>
          <w:rFonts w:ascii="Cambria" w:hAnsi="Cambria"/>
          <w:sz w:val="18"/>
          <w:szCs w:val="18"/>
          <w14:ligatures w14:val="standardContextual"/>
        </w:rPr>
        <w:t xml:space="preserve"> Rock, C.L., Thomson, C., Gansler, T., et al. (2020).  American Cancer Society Guideline for Diet and Physical Activity for Cancer Prevention.  </w:t>
      </w:r>
      <w:r w:rsidRPr="00C365F1">
        <w:rPr>
          <w:rFonts w:ascii="Cambria" w:hAnsi="Cambria"/>
          <w:i/>
          <w:iCs/>
          <w:sz w:val="18"/>
          <w:szCs w:val="18"/>
          <w14:ligatures w14:val="standardContextual"/>
        </w:rPr>
        <w:t>CA: A Cancer Journal for Clinicians, 70</w:t>
      </w:r>
      <w:r w:rsidRPr="00C365F1">
        <w:rPr>
          <w:rFonts w:ascii="Cambria" w:hAnsi="Cambria"/>
          <w:sz w:val="18"/>
          <w:szCs w:val="18"/>
          <w14:ligatures w14:val="standardContextual"/>
        </w:rPr>
        <w:t>(4), pp. 245-271. doi:10.3322/caac.21591.</w:t>
      </w:r>
    </w:p>
  </w:footnote>
  <w:footnote w:id="4">
    <w:p w14:paraId="07F1E543" w14:textId="6581CFFB" w:rsidR="005248AF" w:rsidRDefault="005248AF">
      <w:pPr>
        <w:pStyle w:val="FootnoteText"/>
      </w:pPr>
      <w:r>
        <w:rPr>
          <w:rStyle w:val="FootnoteReference"/>
        </w:rPr>
        <w:footnoteRef/>
      </w:r>
      <w:r>
        <w:t xml:space="preserve"> </w:t>
      </w:r>
      <w:r w:rsidRPr="005248AF">
        <w:rPr>
          <w:rFonts w:ascii="Cambria" w:hAnsi="Cambria"/>
          <w:sz w:val="18"/>
          <w:szCs w:val="18"/>
        </w:rPr>
        <w:t xml:space="preserve">Rogus, S., Guthrie, J., Niculescu, M. &amp; Xu, L. (2022).  The Impact of a Healthy Checkout Intervention on Fruit and Vegetable 'Micro-Pack' Purchases in New Mexico.  </w:t>
      </w:r>
      <w:r w:rsidRPr="005248AF">
        <w:rPr>
          <w:rFonts w:ascii="Cambria" w:hAnsi="Cambria"/>
          <w:i/>
          <w:iCs/>
          <w:sz w:val="18"/>
          <w:szCs w:val="18"/>
        </w:rPr>
        <w:t>Public Health Nutrition</w:t>
      </w:r>
      <w:r w:rsidRPr="005248AF">
        <w:rPr>
          <w:rFonts w:ascii="Cambria" w:hAnsi="Cambria"/>
          <w:sz w:val="18"/>
          <w:szCs w:val="18"/>
        </w:rPr>
        <w:t>, pp. 1-9. doi:10.1017/S1368980022002026.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60AAD38C"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D26006">
      <w:rPr>
        <w:rFonts w:ascii="Book Antiqua" w:hAnsi="Book Antiqua"/>
        <w:b/>
        <w:sz w:val="20"/>
        <w:lang w:val="es-PR"/>
      </w:rPr>
      <w:t>88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5B5A08"/>
    <w:multiLevelType w:val="hybridMultilevel"/>
    <w:tmpl w:val="FA8A05E4"/>
    <w:lvl w:ilvl="0" w:tplc="37FADFD4">
      <w:start w:val="1"/>
      <w:numFmt w:val="decimal"/>
      <w:lvlText w:val="%1."/>
      <w:lvlJc w:val="left"/>
      <w:pPr>
        <w:ind w:left="720" w:hanging="360"/>
      </w:pPr>
      <w:rPr>
        <w:rFonts w:ascii="Times New Roman" w:eastAsia="Times New Roman" w:hAnsi="Times New Roman" w:cs="Times New Roman"/>
        <w:b/>
        <w:bCs/>
      </w:rPr>
    </w:lvl>
    <w:lvl w:ilvl="1" w:tplc="04090003">
      <w:start w:val="1"/>
      <w:numFmt w:val="bullet"/>
      <w:lvlText w:val="o"/>
      <w:lvlJc w:val="left"/>
      <w:pPr>
        <w:ind w:left="1440" w:hanging="360"/>
      </w:pPr>
      <w:rPr>
        <w:rFonts w:ascii="Courier New" w:hAnsi="Courier New" w:cs="Courier New" w:hint="default"/>
      </w:rPr>
    </w:lvl>
    <w:lvl w:ilvl="2" w:tplc="DEA62126">
      <w:start w:val="1"/>
      <w:numFmt w:val="bullet"/>
      <w:lvlText w:val=""/>
      <w:lvlJc w:val="left"/>
      <w:pPr>
        <w:ind w:left="2160" w:hanging="360"/>
      </w:pPr>
      <w:rPr>
        <w:rFonts w:ascii="Wingdings" w:hAnsi="Wingdings" w:hint="default"/>
        <w:color w:val="000000" w:themeColor="text1"/>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917F1"/>
    <w:multiLevelType w:val="hybridMultilevel"/>
    <w:tmpl w:val="6A18A40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13" w15:restartNumberingAfterBreak="0">
    <w:nsid w:val="3A1747D6"/>
    <w:multiLevelType w:val="hybridMultilevel"/>
    <w:tmpl w:val="762E3F84"/>
    <w:lvl w:ilvl="0" w:tplc="500A0001">
      <w:start w:val="1"/>
      <w:numFmt w:val="bullet"/>
      <w:lvlText w:val=""/>
      <w:lvlJc w:val="left"/>
      <w:pPr>
        <w:ind w:left="1440" w:hanging="360"/>
      </w:pPr>
      <w:rPr>
        <w:rFonts w:ascii="Symbol" w:hAnsi="Symbol" w:hint="default"/>
      </w:rPr>
    </w:lvl>
    <w:lvl w:ilvl="1" w:tplc="500A0003">
      <w:start w:val="1"/>
      <w:numFmt w:val="bullet"/>
      <w:lvlText w:val="o"/>
      <w:lvlJc w:val="left"/>
      <w:pPr>
        <w:ind w:left="2160" w:hanging="360"/>
      </w:pPr>
      <w:rPr>
        <w:rFonts w:ascii="Courier New" w:hAnsi="Courier New" w:cs="Courier New" w:hint="default"/>
      </w:rPr>
    </w:lvl>
    <w:lvl w:ilvl="2" w:tplc="500A0005">
      <w:start w:val="1"/>
      <w:numFmt w:val="bullet"/>
      <w:lvlText w:val=""/>
      <w:lvlJc w:val="left"/>
      <w:pPr>
        <w:ind w:left="2880" w:hanging="360"/>
      </w:pPr>
      <w:rPr>
        <w:rFonts w:ascii="Wingdings" w:hAnsi="Wingdings" w:hint="default"/>
      </w:rPr>
    </w:lvl>
    <w:lvl w:ilvl="3" w:tplc="500A0001">
      <w:start w:val="1"/>
      <w:numFmt w:val="bullet"/>
      <w:lvlText w:val=""/>
      <w:lvlJc w:val="left"/>
      <w:pPr>
        <w:ind w:left="3600" w:hanging="360"/>
      </w:pPr>
      <w:rPr>
        <w:rFonts w:ascii="Symbol" w:hAnsi="Symbol" w:hint="default"/>
      </w:rPr>
    </w:lvl>
    <w:lvl w:ilvl="4" w:tplc="500A0003">
      <w:start w:val="1"/>
      <w:numFmt w:val="bullet"/>
      <w:lvlText w:val="o"/>
      <w:lvlJc w:val="left"/>
      <w:pPr>
        <w:ind w:left="4320" w:hanging="360"/>
      </w:pPr>
      <w:rPr>
        <w:rFonts w:ascii="Courier New" w:hAnsi="Courier New" w:cs="Courier New" w:hint="default"/>
      </w:rPr>
    </w:lvl>
    <w:lvl w:ilvl="5" w:tplc="500A0005">
      <w:start w:val="1"/>
      <w:numFmt w:val="bullet"/>
      <w:lvlText w:val=""/>
      <w:lvlJc w:val="left"/>
      <w:pPr>
        <w:ind w:left="5040" w:hanging="360"/>
      </w:pPr>
      <w:rPr>
        <w:rFonts w:ascii="Wingdings" w:hAnsi="Wingdings" w:hint="default"/>
      </w:rPr>
    </w:lvl>
    <w:lvl w:ilvl="6" w:tplc="500A0001">
      <w:start w:val="1"/>
      <w:numFmt w:val="bullet"/>
      <w:lvlText w:val=""/>
      <w:lvlJc w:val="left"/>
      <w:pPr>
        <w:ind w:left="5760" w:hanging="360"/>
      </w:pPr>
      <w:rPr>
        <w:rFonts w:ascii="Symbol" w:hAnsi="Symbol" w:hint="default"/>
      </w:rPr>
    </w:lvl>
    <w:lvl w:ilvl="7" w:tplc="500A0003">
      <w:start w:val="1"/>
      <w:numFmt w:val="bullet"/>
      <w:lvlText w:val="o"/>
      <w:lvlJc w:val="left"/>
      <w:pPr>
        <w:ind w:left="6480" w:hanging="360"/>
      </w:pPr>
      <w:rPr>
        <w:rFonts w:ascii="Courier New" w:hAnsi="Courier New" w:cs="Courier New" w:hint="default"/>
      </w:rPr>
    </w:lvl>
    <w:lvl w:ilvl="8" w:tplc="500A0005">
      <w:start w:val="1"/>
      <w:numFmt w:val="bullet"/>
      <w:lvlText w:val=""/>
      <w:lvlJc w:val="left"/>
      <w:pPr>
        <w:ind w:left="7200" w:hanging="360"/>
      </w:pPr>
      <w:rPr>
        <w:rFonts w:ascii="Wingdings" w:hAnsi="Wingdings" w:hint="default"/>
      </w:rPr>
    </w:lvl>
  </w:abstractNum>
  <w:abstractNum w:abstractNumId="14"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63542A"/>
    <w:multiLevelType w:val="hybridMultilevel"/>
    <w:tmpl w:val="07D007F0"/>
    <w:lvl w:ilvl="0" w:tplc="500A0019">
      <w:start w:val="1"/>
      <w:numFmt w:val="lowerLetter"/>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7"/>
  </w:num>
  <w:num w:numId="2" w16cid:durableId="996879017">
    <w:abstractNumId w:val="19"/>
  </w:num>
  <w:num w:numId="3" w16cid:durableId="1363820785">
    <w:abstractNumId w:val="10"/>
  </w:num>
  <w:num w:numId="4" w16cid:durableId="303313110">
    <w:abstractNumId w:val="3"/>
  </w:num>
  <w:num w:numId="5" w16cid:durableId="874389364">
    <w:abstractNumId w:val="24"/>
  </w:num>
  <w:num w:numId="6" w16cid:durableId="1358460559">
    <w:abstractNumId w:val="7"/>
  </w:num>
  <w:num w:numId="7" w16cid:durableId="198127431">
    <w:abstractNumId w:val="14"/>
  </w:num>
  <w:num w:numId="8" w16cid:durableId="1751612478">
    <w:abstractNumId w:val="22"/>
  </w:num>
  <w:num w:numId="9" w16cid:durableId="392125813">
    <w:abstractNumId w:val="4"/>
  </w:num>
  <w:num w:numId="10" w16cid:durableId="688794570">
    <w:abstractNumId w:val="23"/>
  </w:num>
  <w:num w:numId="11" w16cid:durableId="591013037">
    <w:abstractNumId w:val="2"/>
  </w:num>
  <w:num w:numId="12" w16cid:durableId="40909517">
    <w:abstractNumId w:val="21"/>
  </w:num>
  <w:num w:numId="13" w16cid:durableId="138772109">
    <w:abstractNumId w:val="15"/>
  </w:num>
  <w:num w:numId="14" w16cid:durableId="2006399549">
    <w:abstractNumId w:val="25"/>
  </w:num>
  <w:num w:numId="15" w16cid:durableId="1322201008">
    <w:abstractNumId w:val="6"/>
  </w:num>
  <w:num w:numId="16" w16cid:durableId="499083648">
    <w:abstractNumId w:val="5"/>
  </w:num>
  <w:num w:numId="17" w16cid:durableId="838958967">
    <w:abstractNumId w:val="16"/>
  </w:num>
  <w:num w:numId="18" w16cid:durableId="210961959">
    <w:abstractNumId w:val="8"/>
  </w:num>
  <w:num w:numId="19" w16cid:durableId="2050110963">
    <w:abstractNumId w:val="20"/>
  </w:num>
  <w:num w:numId="20" w16cid:durableId="1232740073">
    <w:abstractNumId w:val="0"/>
  </w:num>
  <w:num w:numId="21" w16cid:durableId="993484377">
    <w:abstractNumId w:val="9"/>
  </w:num>
  <w:num w:numId="22" w16cid:durableId="440684007">
    <w:abstractNumId w:val="11"/>
  </w:num>
  <w:num w:numId="23" w16cid:durableId="1260719927">
    <w:abstractNumId w:val="12"/>
  </w:num>
  <w:num w:numId="24" w16cid:durableId="13728781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542120">
    <w:abstractNumId w:val="1"/>
    <w:lvlOverride w:ilvl="0">
      <w:startOverride w:val="1"/>
    </w:lvlOverride>
    <w:lvlOverride w:ilvl="1"/>
    <w:lvlOverride w:ilvl="2"/>
    <w:lvlOverride w:ilvl="3"/>
    <w:lvlOverride w:ilvl="4"/>
    <w:lvlOverride w:ilvl="5"/>
    <w:lvlOverride w:ilvl="6"/>
    <w:lvlOverride w:ilvl="7"/>
    <w:lvlOverride w:ilvl="8"/>
  </w:num>
  <w:num w:numId="26" w16cid:durableId="14102291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0C2"/>
    <w:rsid w:val="00022A9E"/>
    <w:rsid w:val="00027A0E"/>
    <w:rsid w:val="0003731B"/>
    <w:rsid w:val="00040FE4"/>
    <w:rsid w:val="00042989"/>
    <w:rsid w:val="00050C79"/>
    <w:rsid w:val="00051669"/>
    <w:rsid w:val="00056734"/>
    <w:rsid w:val="0005746D"/>
    <w:rsid w:val="00060FF8"/>
    <w:rsid w:val="00063100"/>
    <w:rsid w:val="00065570"/>
    <w:rsid w:val="00066E3A"/>
    <w:rsid w:val="000746D5"/>
    <w:rsid w:val="00077A90"/>
    <w:rsid w:val="00082612"/>
    <w:rsid w:val="000867B6"/>
    <w:rsid w:val="00090545"/>
    <w:rsid w:val="000907ED"/>
    <w:rsid w:val="000A4134"/>
    <w:rsid w:val="000A4FAB"/>
    <w:rsid w:val="000A671F"/>
    <w:rsid w:val="000B654E"/>
    <w:rsid w:val="000C1A0B"/>
    <w:rsid w:val="000C1C3D"/>
    <w:rsid w:val="000C4470"/>
    <w:rsid w:val="000C4965"/>
    <w:rsid w:val="000D59B8"/>
    <w:rsid w:val="000E7F54"/>
    <w:rsid w:val="001012D5"/>
    <w:rsid w:val="001036CE"/>
    <w:rsid w:val="00104C64"/>
    <w:rsid w:val="0010744E"/>
    <w:rsid w:val="00110979"/>
    <w:rsid w:val="0011496A"/>
    <w:rsid w:val="001223AA"/>
    <w:rsid w:val="001236A1"/>
    <w:rsid w:val="00124913"/>
    <w:rsid w:val="00147BF2"/>
    <w:rsid w:val="00150C55"/>
    <w:rsid w:val="00157D83"/>
    <w:rsid w:val="00180347"/>
    <w:rsid w:val="001818AE"/>
    <w:rsid w:val="00185E95"/>
    <w:rsid w:val="00190D17"/>
    <w:rsid w:val="001919F6"/>
    <w:rsid w:val="0019674E"/>
    <w:rsid w:val="001977A4"/>
    <w:rsid w:val="001A4C2B"/>
    <w:rsid w:val="001B01BC"/>
    <w:rsid w:val="001B0938"/>
    <w:rsid w:val="001B0FF8"/>
    <w:rsid w:val="001C0C85"/>
    <w:rsid w:val="001C12C0"/>
    <w:rsid w:val="001C235B"/>
    <w:rsid w:val="001D03DB"/>
    <w:rsid w:val="001D7A7B"/>
    <w:rsid w:val="001E0043"/>
    <w:rsid w:val="001E2EE8"/>
    <w:rsid w:val="001E3BC9"/>
    <w:rsid w:val="001E56A7"/>
    <w:rsid w:val="001F36F7"/>
    <w:rsid w:val="001F6DD7"/>
    <w:rsid w:val="00201000"/>
    <w:rsid w:val="002057D6"/>
    <w:rsid w:val="00205FD5"/>
    <w:rsid w:val="00215135"/>
    <w:rsid w:val="002221AA"/>
    <w:rsid w:val="002375CB"/>
    <w:rsid w:val="00240D47"/>
    <w:rsid w:val="00251EAD"/>
    <w:rsid w:val="002548B8"/>
    <w:rsid w:val="002618D7"/>
    <w:rsid w:val="00264D52"/>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66E83"/>
    <w:rsid w:val="00376315"/>
    <w:rsid w:val="00376DFB"/>
    <w:rsid w:val="00380AE8"/>
    <w:rsid w:val="00392175"/>
    <w:rsid w:val="00393121"/>
    <w:rsid w:val="003A4410"/>
    <w:rsid w:val="003B01A3"/>
    <w:rsid w:val="003B16BF"/>
    <w:rsid w:val="003B3A59"/>
    <w:rsid w:val="003C1E4B"/>
    <w:rsid w:val="003D01D6"/>
    <w:rsid w:val="003D0913"/>
    <w:rsid w:val="003D7D0C"/>
    <w:rsid w:val="003E1D69"/>
    <w:rsid w:val="003E23DC"/>
    <w:rsid w:val="003E269A"/>
    <w:rsid w:val="003E2953"/>
    <w:rsid w:val="003E3209"/>
    <w:rsid w:val="003E3A56"/>
    <w:rsid w:val="003E7F33"/>
    <w:rsid w:val="003F1A6D"/>
    <w:rsid w:val="003F27C7"/>
    <w:rsid w:val="003F727F"/>
    <w:rsid w:val="00402CA2"/>
    <w:rsid w:val="0040308A"/>
    <w:rsid w:val="00405BAC"/>
    <w:rsid w:val="00414C4D"/>
    <w:rsid w:val="00417AF3"/>
    <w:rsid w:val="004224E5"/>
    <w:rsid w:val="00422570"/>
    <w:rsid w:val="00426536"/>
    <w:rsid w:val="00431C14"/>
    <w:rsid w:val="0043433B"/>
    <w:rsid w:val="00434AD0"/>
    <w:rsid w:val="00441885"/>
    <w:rsid w:val="00441FB6"/>
    <w:rsid w:val="004424B4"/>
    <w:rsid w:val="00442993"/>
    <w:rsid w:val="00443CEA"/>
    <w:rsid w:val="0044665B"/>
    <w:rsid w:val="00465534"/>
    <w:rsid w:val="004770CF"/>
    <w:rsid w:val="00477B35"/>
    <w:rsid w:val="00485200"/>
    <w:rsid w:val="0048779C"/>
    <w:rsid w:val="00491727"/>
    <w:rsid w:val="00491C0F"/>
    <w:rsid w:val="004941AC"/>
    <w:rsid w:val="004B2368"/>
    <w:rsid w:val="004B6713"/>
    <w:rsid w:val="004B7C0B"/>
    <w:rsid w:val="004C462C"/>
    <w:rsid w:val="004D1649"/>
    <w:rsid w:val="004D513B"/>
    <w:rsid w:val="004E00C4"/>
    <w:rsid w:val="004E0C8C"/>
    <w:rsid w:val="004E5AFE"/>
    <w:rsid w:val="004F629E"/>
    <w:rsid w:val="00500CC7"/>
    <w:rsid w:val="005027AD"/>
    <w:rsid w:val="00502E18"/>
    <w:rsid w:val="00503F3C"/>
    <w:rsid w:val="00504E9B"/>
    <w:rsid w:val="00506D0F"/>
    <w:rsid w:val="00516A65"/>
    <w:rsid w:val="0052399A"/>
    <w:rsid w:val="005248AF"/>
    <w:rsid w:val="005414EF"/>
    <w:rsid w:val="00551362"/>
    <w:rsid w:val="005532A3"/>
    <w:rsid w:val="00555018"/>
    <w:rsid w:val="00557B7E"/>
    <w:rsid w:val="00561187"/>
    <w:rsid w:val="00562EFE"/>
    <w:rsid w:val="00565E86"/>
    <w:rsid w:val="0057057D"/>
    <w:rsid w:val="005718E8"/>
    <w:rsid w:val="005747EF"/>
    <w:rsid w:val="00577E77"/>
    <w:rsid w:val="00581921"/>
    <w:rsid w:val="005972D3"/>
    <w:rsid w:val="00597E80"/>
    <w:rsid w:val="005A22DC"/>
    <w:rsid w:val="005A749E"/>
    <w:rsid w:val="005B6660"/>
    <w:rsid w:val="005B6F28"/>
    <w:rsid w:val="005D3D5C"/>
    <w:rsid w:val="005E0522"/>
    <w:rsid w:val="005E2D25"/>
    <w:rsid w:val="005F67C5"/>
    <w:rsid w:val="00600EAF"/>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663B9"/>
    <w:rsid w:val="00670B29"/>
    <w:rsid w:val="00671884"/>
    <w:rsid w:val="00683D71"/>
    <w:rsid w:val="00686237"/>
    <w:rsid w:val="00690E19"/>
    <w:rsid w:val="0069371B"/>
    <w:rsid w:val="0069716C"/>
    <w:rsid w:val="006A098B"/>
    <w:rsid w:val="006A1550"/>
    <w:rsid w:val="006A3010"/>
    <w:rsid w:val="006A3B82"/>
    <w:rsid w:val="006C3E0A"/>
    <w:rsid w:val="006C3E43"/>
    <w:rsid w:val="006D5118"/>
    <w:rsid w:val="006D74EC"/>
    <w:rsid w:val="006D7EDB"/>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4F8B"/>
    <w:rsid w:val="007677D7"/>
    <w:rsid w:val="007721AD"/>
    <w:rsid w:val="00785266"/>
    <w:rsid w:val="007876C2"/>
    <w:rsid w:val="00792EBB"/>
    <w:rsid w:val="00795520"/>
    <w:rsid w:val="0079639C"/>
    <w:rsid w:val="007A6992"/>
    <w:rsid w:val="007A6F4D"/>
    <w:rsid w:val="007B0550"/>
    <w:rsid w:val="007B64C9"/>
    <w:rsid w:val="007C3D00"/>
    <w:rsid w:val="007C5DD4"/>
    <w:rsid w:val="007D2039"/>
    <w:rsid w:val="007F0F99"/>
    <w:rsid w:val="007F3057"/>
    <w:rsid w:val="007F4155"/>
    <w:rsid w:val="007F46F0"/>
    <w:rsid w:val="007F4D2B"/>
    <w:rsid w:val="0080177C"/>
    <w:rsid w:val="008059B1"/>
    <w:rsid w:val="0080637C"/>
    <w:rsid w:val="00815062"/>
    <w:rsid w:val="00817440"/>
    <w:rsid w:val="008229BF"/>
    <w:rsid w:val="00824F94"/>
    <w:rsid w:val="0082542F"/>
    <w:rsid w:val="008371ED"/>
    <w:rsid w:val="00847610"/>
    <w:rsid w:val="008517CF"/>
    <w:rsid w:val="00852716"/>
    <w:rsid w:val="008536D1"/>
    <w:rsid w:val="00857362"/>
    <w:rsid w:val="008663F2"/>
    <w:rsid w:val="00867577"/>
    <w:rsid w:val="00872C3D"/>
    <w:rsid w:val="008731C3"/>
    <w:rsid w:val="00875D0B"/>
    <w:rsid w:val="0087699D"/>
    <w:rsid w:val="00877813"/>
    <w:rsid w:val="0088333D"/>
    <w:rsid w:val="00883C0D"/>
    <w:rsid w:val="00884074"/>
    <w:rsid w:val="00892942"/>
    <w:rsid w:val="00893989"/>
    <w:rsid w:val="008A0D2E"/>
    <w:rsid w:val="008A2A15"/>
    <w:rsid w:val="008A37EC"/>
    <w:rsid w:val="008B01AC"/>
    <w:rsid w:val="008B79A1"/>
    <w:rsid w:val="008C7B3D"/>
    <w:rsid w:val="008D0A5E"/>
    <w:rsid w:val="008D0A95"/>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43155"/>
    <w:rsid w:val="00943C00"/>
    <w:rsid w:val="00964006"/>
    <w:rsid w:val="009647F8"/>
    <w:rsid w:val="00973CE5"/>
    <w:rsid w:val="00974382"/>
    <w:rsid w:val="00986798"/>
    <w:rsid w:val="00986EE7"/>
    <w:rsid w:val="00987D90"/>
    <w:rsid w:val="00991228"/>
    <w:rsid w:val="00993159"/>
    <w:rsid w:val="00993A4A"/>
    <w:rsid w:val="00995F6C"/>
    <w:rsid w:val="0099660F"/>
    <w:rsid w:val="009966A7"/>
    <w:rsid w:val="009A40BF"/>
    <w:rsid w:val="009B3FB4"/>
    <w:rsid w:val="009B709C"/>
    <w:rsid w:val="009C0408"/>
    <w:rsid w:val="009C304E"/>
    <w:rsid w:val="009C3FBC"/>
    <w:rsid w:val="009C7AD6"/>
    <w:rsid w:val="009C7CFB"/>
    <w:rsid w:val="009C7FC6"/>
    <w:rsid w:val="009D6FD8"/>
    <w:rsid w:val="009E14F4"/>
    <w:rsid w:val="009E3D79"/>
    <w:rsid w:val="009F1EE7"/>
    <w:rsid w:val="009F3AEE"/>
    <w:rsid w:val="009F6796"/>
    <w:rsid w:val="00A21FFC"/>
    <w:rsid w:val="00A23DD3"/>
    <w:rsid w:val="00A27969"/>
    <w:rsid w:val="00A27F80"/>
    <w:rsid w:val="00A30C0A"/>
    <w:rsid w:val="00A31456"/>
    <w:rsid w:val="00A426A2"/>
    <w:rsid w:val="00A43947"/>
    <w:rsid w:val="00A472B3"/>
    <w:rsid w:val="00A47CF0"/>
    <w:rsid w:val="00A77674"/>
    <w:rsid w:val="00A82809"/>
    <w:rsid w:val="00A83CEA"/>
    <w:rsid w:val="00A86164"/>
    <w:rsid w:val="00A9081B"/>
    <w:rsid w:val="00A96E04"/>
    <w:rsid w:val="00AA5521"/>
    <w:rsid w:val="00AA6704"/>
    <w:rsid w:val="00AA7044"/>
    <w:rsid w:val="00AA752E"/>
    <w:rsid w:val="00AB3915"/>
    <w:rsid w:val="00AB4DBF"/>
    <w:rsid w:val="00AB6058"/>
    <w:rsid w:val="00AD009F"/>
    <w:rsid w:val="00AD2D77"/>
    <w:rsid w:val="00AE2FE8"/>
    <w:rsid w:val="00AE50F2"/>
    <w:rsid w:val="00AF2B6E"/>
    <w:rsid w:val="00B0028A"/>
    <w:rsid w:val="00B15FE6"/>
    <w:rsid w:val="00B1720E"/>
    <w:rsid w:val="00B2266D"/>
    <w:rsid w:val="00B22D8E"/>
    <w:rsid w:val="00B23C1F"/>
    <w:rsid w:val="00B2443A"/>
    <w:rsid w:val="00B24750"/>
    <w:rsid w:val="00B31342"/>
    <w:rsid w:val="00B344D9"/>
    <w:rsid w:val="00B43998"/>
    <w:rsid w:val="00B4465F"/>
    <w:rsid w:val="00B44A73"/>
    <w:rsid w:val="00B45C79"/>
    <w:rsid w:val="00B51BF0"/>
    <w:rsid w:val="00B55416"/>
    <w:rsid w:val="00B7319D"/>
    <w:rsid w:val="00B80F89"/>
    <w:rsid w:val="00B82A58"/>
    <w:rsid w:val="00B841C6"/>
    <w:rsid w:val="00BA5274"/>
    <w:rsid w:val="00BA5706"/>
    <w:rsid w:val="00BA6610"/>
    <w:rsid w:val="00BB085F"/>
    <w:rsid w:val="00BC6DB3"/>
    <w:rsid w:val="00BD078C"/>
    <w:rsid w:val="00BD6D44"/>
    <w:rsid w:val="00BF160B"/>
    <w:rsid w:val="00BF25CF"/>
    <w:rsid w:val="00C0637B"/>
    <w:rsid w:val="00C0754D"/>
    <w:rsid w:val="00C11220"/>
    <w:rsid w:val="00C14A21"/>
    <w:rsid w:val="00C1596C"/>
    <w:rsid w:val="00C20C6A"/>
    <w:rsid w:val="00C22967"/>
    <w:rsid w:val="00C25C7B"/>
    <w:rsid w:val="00C2602B"/>
    <w:rsid w:val="00C26AF9"/>
    <w:rsid w:val="00C32414"/>
    <w:rsid w:val="00C365F1"/>
    <w:rsid w:val="00C41234"/>
    <w:rsid w:val="00C5198C"/>
    <w:rsid w:val="00C55D90"/>
    <w:rsid w:val="00C80616"/>
    <w:rsid w:val="00C81F4D"/>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2583C"/>
    <w:rsid w:val="00D26006"/>
    <w:rsid w:val="00D3090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1494"/>
    <w:rsid w:val="00DC5471"/>
    <w:rsid w:val="00DD0559"/>
    <w:rsid w:val="00DD2D88"/>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2E71"/>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17F0"/>
    <w:rsid w:val="00EF4598"/>
    <w:rsid w:val="00EF4941"/>
    <w:rsid w:val="00F054D6"/>
    <w:rsid w:val="00F05EE5"/>
    <w:rsid w:val="00F2352F"/>
    <w:rsid w:val="00F235EC"/>
    <w:rsid w:val="00F367B5"/>
    <w:rsid w:val="00F4364D"/>
    <w:rsid w:val="00F463B1"/>
    <w:rsid w:val="00F466F9"/>
    <w:rsid w:val="00F54DF0"/>
    <w:rsid w:val="00F6086C"/>
    <w:rsid w:val="00F71400"/>
    <w:rsid w:val="00F8350F"/>
    <w:rsid w:val="00F83D10"/>
    <w:rsid w:val="00F85731"/>
    <w:rsid w:val="00F9230C"/>
    <w:rsid w:val="00F927D8"/>
    <w:rsid w:val="00F937D1"/>
    <w:rsid w:val="00FA58C4"/>
    <w:rsid w:val="00FB5B25"/>
    <w:rsid w:val="00FC6F2F"/>
    <w:rsid w:val="00FD13FD"/>
    <w:rsid w:val="00FD1A3E"/>
    <w:rsid w:val="00FE4BE8"/>
    <w:rsid w:val="00FE560C"/>
    <w:rsid w:val="00FE631A"/>
    <w:rsid w:val="00FE7C91"/>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5029937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372729676">
      <w:bodyDiv w:val="1"/>
      <w:marLeft w:val="0"/>
      <w:marRight w:val="0"/>
      <w:marTop w:val="0"/>
      <w:marBottom w:val="0"/>
      <w:divBdr>
        <w:top w:val="none" w:sz="0" w:space="0" w:color="auto"/>
        <w:left w:val="none" w:sz="0" w:space="0" w:color="auto"/>
        <w:bottom w:val="none" w:sz="0" w:space="0" w:color="auto"/>
        <w:right w:val="none" w:sz="0" w:space="0" w:color="auto"/>
      </w:divBdr>
    </w:div>
    <w:div w:id="410735527">
      <w:bodyDiv w:val="1"/>
      <w:marLeft w:val="0"/>
      <w:marRight w:val="0"/>
      <w:marTop w:val="0"/>
      <w:marBottom w:val="0"/>
      <w:divBdr>
        <w:top w:val="none" w:sz="0" w:space="0" w:color="auto"/>
        <w:left w:val="none" w:sz="0" w:space="0" w:color="auto"/>
        <w:bottom w:val="none" w:sz="0" w:space="0" w:color="auto"/>
        <w:right w:val="none" w:sz="0" w:space="0" w:color="auto"/>
      </w:divBdr>
    </w:div>
    <w:div w:id="434178454">
      <w:bodyDiv w:val="1"/>
      <w:marLeft w:val="0"/>
      <w:marRight w:val="0"/>
      <w:marTop w:val="0"/>
      <w:marBottom w:val="0"/>
      <w:divBdr>
        <w:top w:val="none" w:sz="0" w:space="0" w:color="auto"/>
        <w:left w:val="none" w:sz="0" w:space="0" w:color="auto"/>
        <w:bottom w:val="none" w:sz="0" w:space="0" w:color="auto"/>
        <w:right w:val="none" w:sz="0" w:space="0" w:color="auto"/>
      </w:divBdr>
    </w:div>
    <w:div w:id="452331335">
      <w:bodyDiv w:val="1"/>
      <w:marLeft w:val="0"/>
      <w:marRight w:val="0"/>
      <w:marTop w:val="0"/>
      <w:marBottom w:val="0"/>
      <w:divBdr>
        <w:top w:val="none" w:sz="0" w:space="0" w:color="auto"/>
        <w:left w:val="none" w:sz="0" w:space="0" w:color="auto"/>
        <w:bottom w:val="none" w:sz="0" w:space="0" w:color="auto"/>
        <w:right w:val="none" w:sz="0" w:space="0" w:color="auto"/>
      </w:divBdr>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593635214">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 w:id="1735229193">
      <w:bodyDiv w:val="1"/>
      <w:marLeft w:val="0"/>
      <w:marRight w:val="0"/>
      <w:marTop w:val="0"/>
      <w:marBottom w:val="0"/>
      <w:divBdr>
        <w:top w:val="none" w:sz="0" w:space="0" w:color="auto"/>
        <w:left w:val="none" w:sz="0" w:space="0" w:color="auto"/>
        <w:bottom w:val="none" w:sz="0" w:space="0" w:color="auto"/>
        <w:right w:val="none" w:sz="0" w:space="0" w:color="auto"/>
      </w:divBdr>
    </w:div>
    <w:div w:id="1747730142">
      <w:bodyDiv w:val="1"/>
      <w:marLeft w:val="0"/>
      <w:marRight w:val="0"/>
      <w:marTop w:val="0"/>
      <w:marBottom w:val="0"/>
      <w:divBdr>
        <w:top w:val="none" w:sz="0" w:space="0" w:color="auto"/>
        <w:left w:val="none" w:sz="0" w:space="0" w:color="auto"/>
        <w:bottom w:val="none" w:sz="0" w:space="0" w:color="auto"/>
        <w:right w:val="none" w:sz="0" w:space="0" w:color="auto"/>
      </w:divBdr>
    </w:div>
    <w:div w:id="1749035078">
      <w:bodyDiv w:val="1"/>
      <w:marLeft w:val="0"/>
      <w:marRight w:val="0"/>
      <w:marTop w:val="0"/>
      <w:marBottom w:val="0"/>
      <w:divBdr>
        <w:top w:val="none" w:sz="0" w:space="0" w:color="auto"/>
        <w:left w:val="none" w:sz="0" w:space="0" w:color="auto"/>
        <w:bottom w:val="none" w:sz="0" w:space="0" w:color="auto"/>
        <w:right w:val="none" w:sz="0" w:space="0" w:color="auto"/>
      </w:divBdr>
    </w:div>
    <w:div w:id="203523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4.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3828</Words>
  <Characters>21825</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2025-09-30T20:03:00Z</cp:lastPrinted>
  <dcterms:created xsi:type="dcterms:W3CDTF">2025-09-30T20:22:00Z</dcterms:created>
  <dcterms:modified xsi:type="dcterms:W3CDTF">2025-09-30T20:22:00Z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