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976CBD"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976CBD">
        <w:rPr>
          <w:rFonts w:ascii="Book Antiqua" w:eastAsia="Calibri" w:hAnsi="Book Antiqua" w:cs="Times New Roman"/>
          <w:spacing w:val="12"/>
          <w:kern w:val="0"/>
          <w:sz w:val="36"/>
          <w:szCs w:val="22"/>
          <w14:ligatures w14:val="none"/>
        </w:rPr>
        <w:t>GOBIERNO DE PUERTO RICO</w:t>
      </w:r>
    </w:p>
    <w:p w14:paraId="6409B8ED" w14:textId="77777777" w:rsidR="005600B5" w:rsidRPr="002C7622"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569FD29B"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20</w:t>
      </w:r>
      <w:r w:rsidRPr="002C7622">
        <w:rPr>
          <w:rFonts w:ascii="Book Antiqua" w:eastAsia="Times New Roman" w:hAnsi="Book Antiqua" w:cs="Times New Roman"/>
          <w:kern w:val="0"/>
          <w:szCs w:val="20"/>
          <w:vertAlign w:val="superscript"/>
          <w14:ligatures w14:val="none"/>
        </w:rPr>
        <w:t>ma</w:t>
      </w:r>
      <w:r w:rsidRPr="002C7622">
        <w:rPr>
          <w:rFonts w:ascii="Book Antiqua" w:eastAsia="Times New Roman" w:hAnsi="Book Antiqua" w:cs="Times New Roman"/>
          <w:kern w:val="0"/>
          <w:szCs w:val="20"/>
          <w14:ligatures w14:val="none"/>
        </w:rPr>
        <w:tab/>
        <w:t>Asamblea</w:t>
      </w:r>
      <w:r w:rsidRPr="002C7622">
        <w:rPr>
          <w:rFonts w:ascii="Book Antiqua" w:eastAsia="Times New Roman" w:hAnsi="Book Antiqua" w:cs="Times New Roman"/>
          <w:kern w:val="0"/>
          <w:szCs w:val="20"/>
          <w14:ligatures w14:val="none"/>
        </w:rPr>
        <w:tab/>
      </w:r>
      <w:r w:rsidR="00B45017">
        <w:rPr>
          <w:rFonts w:ascii="Book Antiqua" w:eastAsia="Times New Roman" w:hAnsi="Book Antiqua" w:cs="Times New Roman"/>
          <w:kern w:val="0"/>
          <w:szCs w:val="20"/>
          <w14:ligatures w14:val="none"/>
        </w:rPr>
        <w:t>3</w:t>
      </w:r>
      <w:r w:rsidR="00B45017">
        <w:rPr>
          <w:rFonts w:ascii="Book Antiqua" w:eastAsia="Times New Roman" w:hAnsi="Book Antiqua" w:cs="Times New Roman"/>
          <w:kern w:val="0"/>
          <w:szCs w:val="20"/>
          <w:vertAlign w:val="superscript"/>
          <w14:ligatures w14:val="none"/>
        </w:rPr>
        <w:t>ra</w:t>
      </w:r>
      <w:r w:rsidRPr="002C7622">
        <w:rPr>
          <w:rFonts w:ascii="Book Antiqua" w:eastAsia="Times New Roman" w:hAnsi="Book Antiqua" w:cs="Times New Roman"/>
          <w:kern w:val="0"/>
          <w:szCs w:val="20"/>
          <w14:ligatures w14:val="none"/>
        </w:rPr>
        <w:tab/>
        <w:t>Sesión</w:t>
      </w:r>
    </w:p>
    <w:p w14:paraId="2A7744F2" w14:textId="77777777"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ab/>
        <w:t>Legislativa</w:t>
      </w:r>
      <w:r w:rsidRPr="002C7622">
        <w:rPr>
          <w:rFonts w:ascii="Book Antiqua" w:eastAsia="Times New Roman" w:hAnsi="Book Antiqua" w:cs="Times New Roman"/>
          <w:kern w:val="0"/>
          <w:szCs w:val="20"/>
          <w14:ligatures w14:val="none"/>
        </w:rPr>
        <w:tab/>
      </w:r>
      <w:r w:rsidRPr="002C7622">
        <w:rPr>
          <w:rFonts w:ascii="Book Antiqua" w:eastAsia="Times New Roman" w:hAnsi="Book Antiqua" w:cs="Times New Roman"/>
          <w:kern w:val="0"/>
          <w:szCs w:val="20"/>
          <w14:ligatures w14:val="none"/>
        </w:rPr>
        <w:tab/>
        <w:t>Ordinaria</w:t>
      </w:r>
    </w:p>
    <w:p w14:paraId="3C9CCE28" w14:textId="77777777" w:rsidR="005600B5" w:rsidRPr="002C7622"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976CBD" w:rsidRDefault="00FF6B3F" w:rsidP="005600B5">
      <w:pPr>
        <w:spacing w:after="0" w:line="360" w:lineRule="auto"/>
        <w:jc w:val="center"/>
        <w:rPr>
          <w:rStyle w:val="Strong"/>
          <w:rFonts w:ascii="Book Antiqua" w:eastAsia="Calibri" w:hAnsi="Book Antiqua" w:cs="Times New Roman"/>
          <w:bCs w:val="0"/>
          <w:spacing w:val="12"/>
          <w:kern w:val="0"/>
          <w:sz w:val="36"/>
          <w:szCs w:val="22"/>
          <w14:ligatures w14:val="none"/>
        </w:rPr>
      </w:pPr>
      <w:r w:rsidRPr="00976CBD">
        <w:rPr>
          <w:rFonts w:ascii="Book Antiqua" w:eastAsia="Calibri" w:hAnsi="Book Antiqua" w:cs="Times New Roman"/>
          <w:b/>
          <w:spacing w:val="12"/>
          <w:kern w:val="0"/>
          <w:sz w:val="36"/>
          <w:szCs w:val="22"/>
          <w14:ligatures w14:val="none"/>
        </w:rPr>
        <w:t xml:space="preserve">CÁMARA DE REPRESENTANTES </w:t>
      </w:r>
    </w:p>
    <w:p w14:paraId="4A9BDFA8" w14:textId="1ABA2809" w:rsidR="005600B5" w:rsidRPr="002C7622" w:rsidRDefault="005600B5" w:rsidP="005600B5">
      <w:pPr>
        <w:pStyle w:val="NormalWeb"/>
        <w:jc w:val="center"/>
        <w:rPr>
          <w:rFonts w:ascii="Book Antiqua" w:hAnsi="Book Antiqua"/>
          <w:sz w:val="52"/>
          <w:szCs w:val="52"/>
          <w:lang w:val="es-PR"/>
        </w:rPr>
      </w:pPr>
      <w:r w:rsidRPr="002C7622">
        <w:rPr>
          <w:rStyle w:val="Strong"/>
          <w:rFonts w:ascii="Book Antiqua" w:eastAsiaTheme="majorEastAsia" w:hAnsi="Book Antiqua"/>
          <w:sz w:val="52"/>
          <w:szCs w:val="52"/>
          <w:lang w:val="es-PR"/>
        </w:rPr>
        <w:t>P. de</w:t>
      </w:r>
      <w:r w:rsidR="00E46137">
        <w:rPr>
          <w:rStyle w:val="Strong"/>
          <w:rFonts w:ascii="Book Antiqua" w:eastAsiaTheme="majorEastAsia" w:hAnsi="Book Antiqua"/>
          <w:sz w:val="52"/>
          <w:szCs w:val="52"/>
          <w:lang w:val="es-PR"/>
        </w:rPr>
        <w:t xml:space="preserve"> </w:t>
      </w:r>
      <w:r w:rsidRPr="002C7622">
        <w:rPr>
          <w:rStyle w:val="Strong"/>
          <w:rFonts w:ascii="Book Antiqua" w:eastAsiaTheme="majorEastAsia" w:hAnsi="Book Antiqua"/>
          <w:sz w:val="52"/>
          <w:szCs w:val="52"/>
          <w:lang w:val="es-PR"/>
        </w:rPr>
        <w:t>l</w:t>
      </w:r>
      <w:r w:rsidR="00E46137">
        <w:rPr>
          <w:rStyle w:val="Strong"/>
          <w:rFonts w:ascii="Book Antiqua" w:eastAsiaTheme="majorEastAsia" w:hAnsi="Book Antiqua"/>
          <w:sz w:val="52"/>
          <w:szCs w:val="52"/>
          <w:lang w:val="es-PR"/>
        </w:rPr>
        <w:t>a</w:t>
      </w:r>
      <w:r w:rsidRPr="002C7622">
        <w:rPr>
          <w:rStyle w:val="Strong"/>
          <w:rFonts w:ascii="Book Antiqua" w:eastAsiaTheme="majorEastAsia" w:hAnsi="Book Antiqua"/>
          <w:sz w:val="52"/>
          <w:szCs w:val="52"/>
          <w:lang w:val="es-PR"/>
        </w:rPr>
        <w:t xml:space="preserve"> </w:t>
      </w:r>
      <w:r w:rsidR="00E46137">
        <w:rPr>
          <w:rStyle w:val="Strong"/>
          <w:rFonts w:ascii="Book Antiqua" w:eastAsiaTheme="majorEastAsia" w:hAnsi="Book Antiqua"/>
          <w:sz w:val="52"/>
          <w:szCs w:val="52"/>
          <w:lang w:val="es-PR"/>
        </w:rPr>
        <w:t>C</w:t>
      </w:r>
      <w:r w:rsidRPr="002C7622">
        <w:rPr>
          <w:rStyle w:val="Strong"/>
          <w:rFonts w:ascii="Book Antiqua" w:eastAsiaTheme="majorEastAsia" w:hAnsi="Book Antiqua"/>
          <w:sz w:val="52"/>
          <w:szCs w:val="52"/>
          <w:lang w:val="es-PR"/>
        </w:rPr>
        <w:t xml:space="preserve">. </w:t>
      </w:r>
      <w:r w:rsidR="00184557" w:rsidRPr="002C7622">
        <w:rPr>
          <w:rStyle w:val="Strong"/>
          <w:rFonts w:ascii="Book Antiqua" w:eastAsiaTheme="majorEastAsia" w:hAnsi="Book Antiqua"/>
          <w:sz w:val="52"/>
          <w:szCs w:val="52"/>
          <w:lang w:val="es-PR"/>
        </w:rPr>
        <w:t>9</w:t>
      </w:r>
      <w:r w:rsidR="00E46137">
        <w:rPr>
          <w:rStyle w:val="Strong"/>
          <w:rFonts w:ascii="Book Antiqua" w:eastAsiaTheme="majorEastAsia" w:hAnsi="Book Antiqua"/>
          <w:sz w:val="52"/>
          <w:szCs w:val="52"/>
          <w:lang w:val="es-PR"/>
        </w:rPr>
        <w:t>2</w:t>
      </w:r>
    </w:p>
    <w:p w14:paraId="58E012A3" w14:textId="403743D1" w:rsidR="005600B5" w:rsidRPr="002E0629" w:rsidRDefault="005600B5" w:rsidP="005600B5">
      <w:pPr>
        <w:pStyle w:val="NormalWeb"/>
        <w:jc w:val="center"/>
        <w:rPr>
          <w:rFonts w:ascii="Book Antiqua" w:hAnsi="Book Antiqua"/>
          <w:b/>
          <w:bCs/>
          <w:spacing w:val="12"/>
          <w:lang w:val="es-PR"/>
        </w:rPr>
      </w:pPr>
      <w:r w:rsidRPr="002E0629">
        <w:rPr>
          <w:rStyle w:val="Strong"/>
          <w:rFonts w:ascii="Book Antiqua" w:eastAsiaTheme="majorEastAsia" w:hAnsi="Book Antiqua"/>
          <w:b w:val="0"/>
          <w:bCs w:val="0"/>
          <w:spacing w:val="12"/>
          <w:lang w:val="es-PR"/>
        </w:rPr>
        <w:t>INFORME POSITIVO</w:t>
      </w:r>
    </w:p>
    <w:p w14:paraId="2737D28E" w14:textId="47ECAE0A" w:rsidR="005600B5" w:rsidRPr="002C7622" w:rsidRDefault="004B7BC5" w:rsidP="005600B5">
      <w:pPr>
        <w:pStyle w:val="NormalWeb"/>
        <w:jc w:val="center"/>
        <w:rPr>
          <w:rStyle w:val="Strong"/>
          <w:rFonts w:ascii="Book Antiqua" w:eastAsiaTheme="majorEastAsia" w:hAnsi="Book Antiqua"/>
          <w:b w:val="0"/>
          <w:bCs w:val="0"/>
          <w:lang w:val="es-PR"/>
        </w:rPr>
      </w:pPr>
      <w:r>
        <w:rPr>
          <w:rFonts w:ascii="Book Antiqua" w:hAnsi="Book Antiqua"/>
          <w:lang w:val="es-PR"/>
        </w:rPr>
        <w:t>13</w:t>
      </w:r>
      <w:r w:rsidR="005600B5" w:rsidRPr="002C7622">
        <w:rPr>
          <w:rFonts w:ascii="Book Antiqua" w:hAnsi="Book Antiqua"/>
          <w:lang w:val="es-PR"/>
        </w:rPr>
        <w:t xml:space="preserve"> de</w:t>
      </w:r>
      <w:r w:rsidR="00184557" w:rsidRPr="002C7622">
        <w:rPr>
          <w:rFonts w:ascii="Book Antiqua" w:hAnsi="Book Antiqua"/>
          <w:lang w:val="es-PR"/>
        </w:rPr>
        <w:t xml:space="preserve"> </w:t>
      </w:r>
      <w:r w:rsidR="002E0629">
        <w:rPr>
          <w:rFonts w:ascii="Book Antiqua" w:hAnsi="Book Antiqua"/>
          <w:lang w:val="es-PR"/>
        </w:rPr>
        <w:t>enero</w:t>
      </w:r>
      <w:r w:rsidR="005600B5" w:rsidRPr="002C7622">
        <w:rPr>
          <w:rFonts w:ascii="Book Antiqua" w:hAnsi="Book Antiqua"/>
          <w:lang w:val="es-PR"/>
        </w:rPr>
        <w:t xml:space="preserve"> de 202</w:t>
      </w:r>
      <w:r w:rsidR="002E0629">
        <w:rPr>
          <w:rFonts w:ascii="Book Antiqua" w:hAnsi="Book Antiqua"/>
          <w:lang w:val="es-PR"/>
        </w:rPr>
        <w:t>6</w:t>
      </w:r>
    </w:p>
    <w:p w14:paraId="165D7CAD" w14:textId="7F20896E" w:rsidR="008944CA" w:rsidRPr="002E0629" w:rsidRDefault="005600B5" w:rsidP="008944CA">
      <w:pPr>
        <w:pStyle w:val="NormalWeb"/>
        <w:jc w:val="both"/>
        <w:rPr>
          <w:rFonts w:ascii="Book Antiqua" w:hAnsi="Book Antiqua"/>
          <w:b/>
          <w:bCs/>
          <w:spacing w:val="12"/>
          <w:lang w:val="es-PR"/>
        </w:rPr>
      </w:pPr>
      <w:r w:rsidRPr="002E0629">
        <w:rPr>
          <w:rStyle w:val="Strong"/>
          <w:rFonts w:ascii="Book Antiqua" w:eastAsiaTheme="majorEastAsia" w:hAnsi="Book Antiqua"/>
          <w:b w:val="0"/>
          <w:bCs w:val="0"/>
          <w:spacing w:val="12"/>
          <w:lang w:val="es-PR"/>
        </w:rPr>
        <w:t>A</w:t>
      </w:r>
      <w:r w:rsidR="00223530" w:rsidRPr="002E0629">
        <w:rPr>
          <w:rStyle w:val="Strong"/>
          <w:rFonts w:ascii="Book Antiqua" w:eastAsiaTheme="majorEastAsia" w:hAnsi="Book Antiqua"/>
          <w:b w:val="0"/>
          <w:bCs w:val="0"/>
          <w:spacing w:val="12"/>
          <w:lang w:val="es-PR"/>
        </w:rPr>
        <w:t xml:space="preserve"> </w:t>
      </w:r>
      <w:r w:rsidRPr="002E0629">
        <w:rPr>
          <w:rStyle w:val="Strong"/>
          <w:rFonts w:ascii="Book Antiqua" w:eastAsiaTheme="majorEastAsia" w:hAnsi="Book Antiqua"/>
          <w:b w:val="0"/>
          <w:bCs w:val="0"/>
          <w:spacing w:val="12"/>
          <w:lang w:val="es-PR"/>
        </w:rPr>
        <w:t>L</w:t>
      </w:r>
      <w:r w:rsidR="00223530" w:rsidRPr="002E0629">
        <w:rPr>
          <w:rStyle w:val="Strong"/>
          <w:rFonts w:ascii="Book Antiqua" w:eastAsiaTheme="majorEastAsia" w:hAnsi="Book Antiqua"/>
          <w:b w:val="0"/>
          <w:bCs w:val="0"/>
          <w:spacing w:val="12"/>
          <w:lang w:val="es-PR"/>
        </w:rPr>
        <w:t xml:space="preserve">A CÁMARA DE REPRESENTANTES </w:t>
      </w:r>
      <w:r w:rsidRPr="002E0629">
        <w:rPr>
          <w:rStyle w:val="Strong"/>
          <w:rFonts w:ascii="Book Antiqua" w:eastAsiaTheme="majorEastAsia" w:hAnsi="Book Antiqua"/>
          <w:b w:val="0"/>
          <w:bCs w:val="0"/>
          <w:spacing w:val="12"/>
          <w:lang w:val="es-PR"/>
        </w:rPr>
        <w:t>DE PUERTO RICO</w:t>
      </w:r>
    </w:p>
    <w:p w14:paraId="6944B8D1" w14:textId="27466B1E" w:rsidR="005600B5" w:rsidRPr="002C7622" w:rsidRDefault="00D0622F" w:rsidP="00E470EF">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P</w:t>
      </w:r>
      <w:r w:rsidR="008944CA" w:rsidRPr="002C7622">
        <w:rPr>
          <w:rFonts w:ascii="Book Antiqua" w:eastAsia="Calibri" w:hAnsi="Book Antiqua" w:cs="Times New Roman"/>
          <w:kern w:val="0"/>
          <w14:ligatures w14:val="none"/>
        </w:rPr>
        <w:t xml:space="preserve">revio estudio y consideración del </w:t>
      </w:r>
      <w:r w:rsidR="00223530">
        <w:rPr>
          <w:rFonts w:ascii="Book Antiqua" w:eastAsia="Calibri" w:hAnsi="Book Antiqua" w:cs="Times New Roman"/>
          <w:bCs/>
          <w:kern w:val="0"/>
          <w14:ligatures w14:val="none"/>
        </w:rPr>
        <w:t>Proyecto de</w:t>
      </w:r>
      <w:r w:rsidR="00E46137">
        <w:rPr>
          <w:rFonts w:ascii="Book Antiqua" w:eastAsia="Calibri" w:hAnsi="Book Antiqua" w:cs="Times New Roman"/>
          <w:bCs/>
          <w:kern w:val="0"/>
          <w14:ligatures w14:val="none"/>
        </w:rPr>
        <w:t xml:space="preserve"> la Cámara </w:t>
      </w:r>
      <w:r w:rsidR="00B45017">
        <w:rPr>
          <w:rFonts w:ascii="Book Antiqua" w:eastAsia="Calibri" w:hAnsi="Book Antiqua" w:cs="Times New Roman"/>
          <w:bCs/>
          <w:kern w:val="0"/>
          <w14:ligatures w14:val="none"/>
        </w:rPr>
        <w:t>9</w:t>
      </w:r>
      <w:r w:rsidR="00E46137">
        <w:rPr>
          <w:rFonts w:ascii="Book Antiqua" w:eastAsia="Calibri" w:hAnsi="Book Antiqua" w:cs="Times New Roman"/>
          <w:bCs/>
          <w:kern w:val="0"/>
          <w14:ligatures w14:val="none"/>
        </w:rPr>
        <w:t>2</w:t>
      </w:r>
      <w:r>
        <w:rPr>
          <w:rFonts w:ascii="Book Antiqua" w:eastAsia="Calibri" w:hAnsi="Book Antiqua" w:cs="Times New Roman"/>
          <w:bCs/>
          <w:kern w:val="0"/>
          <w14:ligatures w14:val="none"/>
        </w:rPr>
        <w:t xml:space="preserve"> (P. de la C. 92)</w:t>
      </w:r>
      <w:r w:rsidR="008944CA" w:rsidRPr="002C7622">
        <w:rPr>
          <w:rFonts w:ascii="Book Antiqua" w:eastAsia="Calibri" w:hAnsi="Book Antiqua" w:cs="Times New Roman"/>
          <w:kern w:val="0"/>
          <w14:ligatures w14:val="none"/>
        </w:rPr>
        <w:t xml:space="preserve">, </w:t>
      </w:r>
      <w:r w:rsidR="00FA25D1">
        <w:rPr>
          <w:rFonts w:ascii="Book Antiqua" w:eastAsia="Calibri" w:hAnsi="Book Antiqua" w:cs="Times New Roman"/>
          <w:kern w:val="0"/>
          <w14:ligatures w14:val="none"/>
        </w:rPr>
        <w:t>l</w:t>
      </w:r>
      <w:r w:rsidR="00FA25D1" w:rsidRPr="002C7622">
        <w:rPr>
          <w:rFonts w:ascii="Book Antiqua" w:eastAsia="Calibri" w:hAnsi="Book Antiqua" w:cs="Times New Roman"/>
          <w:kern w:val="0"/>
          <w14:ligatures w14:val="none"/>
        </w:rPr>
        <w:t xml:space="preserve">a </w:t>
      </w:r>
      <w:r w:rsidR="00FA25D1" w:rsidRPr="002C7622">
        <w:rPr>
          <w:rFonts w:ascii="Book Antiqua" w:eastAsia="Calibri" w:hAnsi="Book Antiqua" w:cs="Times New Roman"/>
          <w:bCs/>
          <w:kern w:val="0"/>
          <w14:ligatures w14:val="none"/>
        </w:rPr>
        <w:t xml:space="preserve">Comisión de </w:t>
      </w:r>
      <w:r w:rsidR="00FA25D1">
        <w:rPr>
          <w:rFonts w:ascii="Book Antiqua" w:eastAsia="Calibri" w:hAnsi="Book Antiqua" w:cs="Times New Roman"/>
          <w:bCs/>
          <w:kern w:val="0"/>
          <w14:ligatures w14:val="none"/>
        </w:rPr>
        <w:t>lo Jurídico de la Cámara de Representantes</w:t>
      </w:r>
      <w:r>
        <w:rPr>
          <w:rFonts w:ascii="Book Antiqua" w:eastAsia="Calibri" w:hAnsi="Book Antiqua" w:cs="Times New Roman"/>
          <w:kern w:val="0"/>
          <w14:ligatures w14:val="none"/>
        </w:rPr>
        <w:t xml:space="preserve"> </w:t>
      </w:r>
      <w:r w:rsidR="008944CA" w:rsidRPr="002C7622">
        <w:rPr>
          <w:rFonts w:ascii="Book Antiqua" w:eastAsia="Calibri" w:hAnsi="Book Antiqua" w:cs="Times New Roman"/>
          <w:color w:val="000000" w:themeColor="text1"/>
          <w:kern w:val="0"/>
          <w14:ligatures w14:val="none"/>
        </w:rPr>
        <w:t>recomiend</w:t>
      </w:r>
      <w:r w:rsidR="00FA18AC">
        <w:rPr>
          <w:rFonts w:ascii="Book Antiqua" w:eastAsia="Calibri" w:hAnsi="Book Antiqua" w:cs="Times New Roman"/>
          <w:color w:val="000000" w:themeColor="text1"/>
          <w:kern w:val="0"/>
          <w14:ligatures w14:val="none"/>
        </w:rPr>
        <w:t xml:space="preserve">a </w:t>
      </w:r>
      <w:r w:rsidR="008944CA" w:rsidRPr="002C7622">
        <w:rPr>
          <w:rFonts w:ascii="Book Antiqua" w:eastAsia="Calibri" w:hAnsi="Book Antiqua" w:cs="Times New Roman"/>
          <w:color w:val="000000" w:themeColor="text1"/>
          <w:kern w:val="0"/>
          <w14:ligatures w14:val="none"/>
        </w:rPr>
        <w:t>su aprobación</w:t>
      </w:r>
      <w:r w:rsidR="00223530">
        <w:rPr>
          <w:rFonts w:ascii="Book Antiqua" w:eastAsia="Calibri" w:hAnsi="Book Antiqua" w:cs="Times New Roman"/>
          <w:color w:val="000000" w:themeColor="text1"/>
          <w:kern w:val="0"/>
          <w14:ligatures w14:val="none"/>
        </w:rPr>
        <w:t>,</w:t>
      </w:r>
      <w:r w:rsidR="008944CA" w:rsidRPr="002C7622">
        <w:rPr>
          <w:rFonts w:ascii="Book Antiqua" w:eastAsia="Calibri" w:hAnsi="Book Antiqua" w:cs="Times New Roman"/>
          <w:color w:val="000000" w:themeColor="text1"/>
          <w:kern w:val="0"/>
          <w14:ligatures w14:val="none"/>
        </w:rPr>
        <w:t xml:space="preserve"> </w:t>
      </w:r>
      <w:r w:rsidR="00E46137">
        <w:rPr>
          <w:rFonts w:ascii="Book Antiqua" w:eastAsia="Calibri" w:hAnsi="Book Antiqua" w:cs="Times New Roman"/>
          <w:color w:val="000000" w:themeColor="text1"/>
          <w:kern w:val="0"/>
          <w14:ligatures w14:val="none"/>
        </w:rPr>
        <w:t xml:space="preserve">con las enmiendas en el </w:t>
      </w:r>
      <w:proofErr w:type="spellStart"/>
      <w:r w:rsidR="00E46137">
        <w:rPr>
          <w:rFonts w:ascii="Book Antiqua" w:eastAsia="Calibri" w:hAnsi="Book Antiqua" w:cs="Times New Roman"/>
          <w:color w:val="000000" w:themeColor="text1"/>
          <w:kern w:val="0"/>
          <w14:ligatures w14:val="none"/>
        </w:rPr>
        <w:t>entirillado</w:t>
      </w:r>
      <w:proofErr w:type="spellEnd"/>
      <w:r w:rsidR="00E46137">
        <w:rPr>
          <w:rFonts w:ascii="Book Antiqua" w:eastAsia="Calibri" w:hAnsi="Book Antiqua" w:cs="Times New Roman"/>
          <w:color w:val="000000" w:themeColor="text1"/>
          <w:kern w:val="0"/>
          <w14:ligatures w14:val="none"/>
        </w:rPr>
        <w:t xml:space="preserve"> electrónico que se acompaña</w:t>
      </w:r>
      <w:r w:rsidR="008944CA" w:rsidRPr="002C7622">
        <w:rPr>
          <w:rFonts w:ascii="Book Antiqua" w:eastAsia="Calibri" w:hAnsi="Book Antiqua" w:cs="Times New Roman"/>
          <w:color w:val="000000" w:themeColor="text1"/>
          <w:kern w:val="0"/>
          <w14:ligatures w14:val="none"/>
        </w:rPr>
        <w:t>.</w:t>
      </w:r>
      <w:r w:rsidR="00FA18AC">
        <w:rPr>
          <w:rFonts w:ascii="Book Antiqua" w:eastAsia="Calibri" w:hAnsi="Book Antiqua" w:cs="Times New Roman"/>
          <w:color w:val="000000" w:themeColor="text1"/>
          <w:kern w:val="0"/>
          <w14:ligatures w14:val="none"/>
        </w:rPr>
        <w:t xml:space="preserve"> </w:t>
      </w:r>
    </w:p>
    <w:p w14:paraId="56F8B727" w14:textId="77777777" w:rsidR="005600B5" w:rsidRPr="002E0629" w:rsidRDefault="005600B5" w:rsidP="005600B5">
      <w:pPr>
        <w:spacing w:before="100" w:beforeAutospacing="1" w:after="100" w:afterAutospacing="1" w:line="240" w:lineRule="auto"/>
        <w:jc w:val="center"/>
        <w:outlineLvl w:val="2"/>
        <w:rPr>
          <w:rFonts w:ascii="Book Antiqua" w:eastAsia="Times New Roman" w:hAnsi="Book Antiqua" w:cs="Times New Roman"/>
          <w:spacing w:val="12"/>
          <w:kern w:val="0"/>
          <w14:ligatures w14:val="none"/>
        </w:rPr>
      </w:pPr>
      <w:r w:rsidRPr="002E0629">
        <w:rPr>
          <w:rFonts w:ascii="Book Antiqua" w:eastAsia="Times New Roman" w:hAnsi="Book Antiqua" w:cs="Times New Roman"/>
          <w:spacing w:val="12"/>
          <w:kern w:val="0"/>
          <w14:ligatures w14:val="none"/>
        </w:rPr>
        <w:t>ALCANCE DE LA MEDIDA</w:t>
      </w:r>
    </w:p>
    <w:p w14:paraId="240677D1" w14:textId="7E88ACD0" w:rsidR="004060F2" w:rsidRDefault="006B0738" w:rsidP="004060F2">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El </w:t>
      </w:r>
      <w:r w:rsidR="00FA18AC">
        <w:rPr>
          <w:rFonts w:ascii="Book Antiqua" w:eastAsia="Times New Roman" w:hAnsi="Book Antiqua" w:cs="Times New Roman"/>
          <w:kern w:val="0"/>
          <w14:ligatures w14:val="none"/>
        </w:rPr>
        <w:t>P. de</w:t>
      </w:r>
      <w:r w:rsidR="00E46137">
        <w:rPr>
          <w:rFonts w:ascii="Book Antiqua" w:eastAsia="Times New Roman" w:hAnsi="Book Antiqua" w:cs="Times New Roman"/>
          <w:kern w:val="0"/>
          <w14:ligatures w14:val="none"/>
        </w:rPr>
        <w:t xml:space="preserve"> </w:t>
      </w:r>
      <w:r w:rsidR="00FA18AC">
        <w:rPr>
          <w:rFonts w:ascii="Book Antiqua" w:eastAsia="Times New Roman" w:hAnsi="Book Antiqua" w:cs="Times New Roman"/>
          <w:kern w:val="0"/>
          <w14:ligatures w14:val="none"/>
        </w:rPr>
        <w:t>l</w:t>
      </w:r>
      <w:r w:rsidR="00E46137">
        <w:rPr>
          <w:rFonts w:ascii="Book Antiqua" w:eastAsia="Times New Roman" w:hAnsi="Book Antiqua" w:cs="Times New Roman"/>
          <w:kern w:val="0"/>
          <w14:ligatures w14:val="none"/>
        </w:rPr>
        <w:t>a</w:t>
      </w:r>
      <w:r w:rsidR="00FA18AC">
        <w:rPr>
          <w:rFonts w:ascii="Book Antiqua" w:eastAsia="Times New Roman" w:hAnsi="Book Antiqua" w:cs="Times New Roman"/>
          <w:kern w:val="0"/>
          <w14:ligatures w14:val="none"/>
        </w:rPr>
        <w:t xml:space="preserve"> </w:t>
      </w:r>
      <w:r w:rsidR="00E46137">
        <w:rPr>
          <w:rFonts w:ascii="Book Antiqua" w:eastAsia="Times New Roman" w:hAnsi="Book Antiqua" w:cs="Times New Roman"/>
          <w:kern w:val="0"/>
          <w14:ligatures w14:val="none"/>
        </w:rPr>
        <w:t>C</w:t>
      </w:r>
      <w:r w:rsidR="00FA18AC">
        <w:rPr>
          <w:rFonts w:ascii="Book Antiqua" w:eastAsia="Times New Roman" w:hAnsi="Book Antiqua" w:cs="Times New Roman"/>
          <w:kern w:val="0"/>
          <w14:ligatures w14:val="none"/>
        </w:rPr>
        <w:t>. 9</w:t>
      </w:r>
      <w:r w:rsidR="00E46137">
        <w:rPr>
          <w:rFonts w:ascii="Book Antiqua" w:eastAsia="Times New Roman" w:hAnsi="Book Antiqua" w:cs="Times New Roman"/>
          <w:kern w:val="0"/>
          <w14:ligatures w14:val="none"/>
        </w:rPr>
        <w:t>2</w:t>
      </w:r>
      <w:r w:rsidRPr="002C7622">
        <w:rPr>
          <w:rFonts w:ascii="Book Antiqua" w:eastAsia="Times New Roman" w:hAnsi="Book Antiqua" w:cs="Times New Roman"/>
          <w:kern w:val="0"/>
          <w14:ligatures w14:val="none"/>
        </w:rPr>
        <w:t xml:space="preserve"> </w:t>
      </w:r>
      <w:r w:rsidR="00A91737" w:rsidRPr="002C7622">
        <w:rPr>
          <w:rFonts w:ascii="Book Antiqua" w:eastAsia="Times New Roman" w:hAnsi="Book Antiqua" w:cs="Times New Roman"/>
          <w:kern w:val="0"/>
          <w14:ligatures w14:val="none"/>
        </w:rPr>
        <w:t xml:space="preserve">propone </w:t>
      </w:r>
      <w:r w:rsidR="0018497D">
        <w:rPr>
          <w:rFonts w:ascii="Book Antiqua" w:hAnsi="Book Antiqua"/>
        </w:rPr>
        <w:t xml:space="preserve">añadir un segundo párrafo al </w:t>
      </w:r>
      <w:r w:rsidR="0018497D" w:rsidRPr="0085328E">
        <w:rPr>
          <w:rFonts w:ascii="Book Antiqua" w:hAnsi="Book Antiqua"/>
        </w:rPr>
        <w:t xml:space="preserve">inciso </w:t>
      </w:r>
      <w:r w:rsidR="00AC1652">
        <w:rPr>
          <w:rFonts w:ascii="Book Antiqua" w:hAnsi="Book Antiqua"/>
        </w:rPr>
        <w:t>(</w:t>
      </w:r>
      <w:r w:rsidR="0018497D" w:rsidRPr="0085328E">
        <w:rPr>
          <w:rFonts w:ascii="Book Antiqua" w:hAnsi="Book Antiqua"/>
        </w:rPr>
        <w:t>b</w:t>
      </w:r>
      <w:r w:rsidR="00AC1652">
        <w:rPr>
          <w:rFonts w:ascii="Book Antiqua" w:hAnsi="Book Antiqua"/>
        </w:rPr>
        <w:t>)</w:t>
      </w:r>
      <w:r w:rsidR="0018497D" w:rsidRPr="0085328E">
        <w:rPr>
          <w:rFonts w:ascii="Book Antiqua" w:hAnsi="Book Antiqua"/>
        </w:rPr>
        <w:t xml:space="preserve"> de la Regla 51.7 de Procedimiento Civil</w:t>
      </w:r>
      <w:r w:rsidR="0018497D">
        <w:rPr>
          <w:rFonts w:ascii="Book Antiqua" w:hAnsi="Book Antiqua"/>
        </w:rPr>
        <w:t>,</w:t>
      </w:r>
      <w:r w:rsidR="0018497D" w:rsidRPr="0085328E">
        <w:rPr>
          <w:rFonts w:ascii="Book Antiqua" w:hAnsi="Book Antiqua"/>
        </w:rPr>
        <w:t xml:space="preserve"> </w:t>
      </w:r>
      <w:r w:rsidR="00D376B8">
        <w:rPr>
          <w:rFonts w:ascii="Book Antiqua" w:hAnsi="Book Antiqua"/>
        </w:rPr>
        <w:t xml:space="preserve">para </w:t>
      </w:r>
      <w:r w:rsidR="0018497D" w:rsidRPr="0085328E">
        <w:rPr>
          <w:rFonts w:ascii="Book Antiqua" w:hAnsi="Book Antiqua"/>
        </w:rPr>
        <w:t>fijar un tipo mínimo en las subastas en venta pública de bienes inmuebles cuando la deuda por cobrar no esté garantizada por hipoteca</w:t>
      </w:r>
      <w:r w:rsidR="00184557" w:rsidRPr="002C7622">
        <w:rPr>
          <w:rFonts w:ascii="Book Antiqua" w:eastAsia="Times New Roman" w:hAnsi="Book Antiqua" w:cs="Times New Roman"/>
          <w:kern w:val="0"/>
          <w14:ligatures w14:val="none"/>
        </w:rPr>
        <w:t>.</w:t>
      </w:r>
      <w:r w:rsidR="00194C6D" w:rsidRPr="002C7622">
        <w:rPr>
          <w:rStyle w:val="FootnoteReference"/>
          <w:rFonts w:ascii="Book Antiqua" w:eastAsia="Times New Roman" w:hAnsi="Book Antiqua" w:cs="Times New Roman"/>
          <w:kern w:val="0"/>
          <w14:ligatures w14:val="none"/>
        </w:rPr>
        <w:footnoteReference w:id="1"/>
      </w:r>
    </w:p>
    <w:p w14:paraId="3091885F" w14:textId="77777777" w:rsidR="00175D76" w:rsidRDefault="000B0190" w:rsidP="004060F2">
      <w:pPr>
        <w:spacing w:after="0" w:line="288" w:lineRule="auto"/>
        <w:ind w:firstLine="720"/>
        <w:jc w:val="both"/>
        <w:rPr>
          <w:rFonts w:ascii="Book Antiqua" w:hAnsi="Book Antiqua"/>
        </w:rPr>
      </w:pPr>
      <w:r w:rsidRPr="000B0190">
        <w:rPr>
          <w:rFonts w:ascii="Book Antiqua" w:hAnsi="Book Antiqua"/>
        </w:rPr>
        <w:t>Según su exposición de motivos</w:t>
      </w:r>
      <w:r w:rsidR="009F1235">
        <w:rPr>
          <w:rFonts w:ascii="Book Antiqua" w:hAnsi="Book Antiqua"/>
        </w:rPr>
        <w:t>,</w:t>
      </w:r>
      <w:r w:rsidRPr="000B0190">
        <w:rPr>
          <w:rFonts w:ascii="Book Antiqua" w:hAnsi="Book Antiqua"/>
        </w:rPr>
        <w:t xml:space="preserve"> e</w:t>
      </w:r>
      <w:r w:rsidR="00473356" w:rsidRPr="000B0190">
        <w:rPr>
          <w:rFonts w:ascii="Book Antiqua" w:hAnsi="Book Antiqua"/>
        </w:rPr>
        <w:t>l P. de</w:t>
      </w:r>
      <w:r w:rsidRPr="000B0190">
        <w:rPr>
          <w:rFonts w:ascii="Book Antiqua" w:hAnsi="Book Antiqua"/>
        </w:rPr>
        <w:t xml:space="preserve"> </w:t>
      </w:r>
      <w:r w:rsidR="00473356" w:rsidRPr="000B0190">
        <w:rPr>
          <w:rFonts w:ascii="Book Antiqua" w:hAnsi="Book Antiqua"/>
        </w:rPr>
        <w:t>l</w:t>
      </w:r>
      <w:r w:rsidRPr="000B0190">
        <w:rPr>
          <w:rFonts w:ascii="Book Antiqua" w:hAnsi="Book Antiqua"/>
        </w:rPr>
        <w:t>a</w:t>
      </w:r>
      <w:r w:rsidR="00473356" w:rsidRPr="000B0190">
        <w:rPr>
          <w:rFonts w:ascii="Book Antiqua" w:hAnsi="Book Antiqua"/>
        </w:rPr>
        <w:t xml:space="preserve"> </w:t>
      </w:r>
      <w:r w:rsidRPr="000B0190">
        <w:rPr>
          <w:rFonts w:ascii="Book Antiqua" w:hAnsi="Book Antiqua"/>
        </w:rPr>
        <w:t>C</w:t>
      </w:r>
      <w:r w:rsidR="00473356" w:rsidRPr="000B0190">
        <w:rPr>
          <w:rFonts w:ascii="Book Antiqua" w:hAnsi="Book Antiqua"/>
        </w:rPr>
        <w:t xml:space="preserve">. </w:t>
      </w:r>
      <w:r w:rsidRPr="000B0190">
        <w:rPr>
          <w:rFonts w:ascii="Book Antiqua" w:hAnsi="Book Antiqua"/>
        </w:rPr>
        <w:t>92</w:t>
      </w:r>
      <w:r w:rsidR="0060083D" w:rsidRPr="000B0190">
        <w:rPr>
          <w:rFonts w:ascii="Book Antiqua" w:hAnsi="Book Antiqua"/>
        </w:rPr>
        <w:t xml:space="preserve"> </w:t>
      </w:r>
      <w:r w:rsidR="00F137D7">
        <w:rPr>
          <w:rFonts w:ascii="Book Antiqua" w:hAnsi="Book Antiqua"/>
        </w:rPr>
        <w:t xml:space="preserve">surgió de lo resuelto en </w:t>
      </w:r>
      <w:r w:rsidRPr="00FB2E53">
        <w:rPr>
          <w:rFonts w:ascii="Book Antiqua" w:hAnsi="Book Antiqua"/>
          <w:i/>
          <w:iCs/>
        </w:rPr>
        <w:t>S.L.G. Sánchez v. S.L.G. Valentín</w:t>
      </w:r>
      <w:r w:rsidR="00733F25" w:rsidRPr="00733F25">
        <w:rPr>
          <w:rFonts w:ascii="Book Antiqua" w:hAnsi="Book Antiqua"/>
        </w:rPr>
        <w:t>.</w:t>
      </w:r>
      <w:r w:rsidR="00733F25">
        <w:rPr>
          <w:rStyle w:val="FootnoteReference"/>
          <w:rFonts w:ascii="Book Antiqua" w:hAnsi="Book Antiqua"/>
        </w:rPr>
        <w:footnoteReference w:id="2"/>
      </w:r>
      <w:r w:rsidR="00733F25">
        <w:rPr>
          <w:rFonts w:ascii="Book Antiqua" w:hAnsi="Book Antiqua"/>
          <w:i/>
          <w:iCs/>
        </w:rPr>
        <w:t xml:space="preserve"> </w:t>
      </w:r>
      <w:r w:rsidR="00622536">
        <w:rPr>
          <w:rFonts w:ascii="Book Antiqua" w:hAnsi="Book Antiqua"/>
        </w:rPr>
        <w:t>Allí</w:t>
      </w:r>
      <w:r w:rsidR="00622536">
        <w:rPr>
          <w:rFonts w:ascii="Times New Roman" w:hAnsi="Times New Roman" w:cs="Times New Roman"/>
        </w:rPr>
        <w:t xml:space="preserve">, </w:t>
      </w:r>
      <w:r w:rsidRPr="00561F09">
        <w:rPr>
          <w:rFonts w:ascii="Book Antiqua" w:hAnsi="Book Antiqua"/>
        </w:rPr>
        <w:t>un acreedor por sentencia ejecutó una propiedad valorada en $475,000,</w:t>
      </w:r>
      <w:r w:rsidR="00622536">
        <w:rPr>
          <w:rFonts w:ascii="Book Antiqua" w:hAnsi="Book Antiqua"/>
        </w:rPr>
        <w:t xml:space="preserve"> y la</w:t>
      </w:r>
      <w:r w:rsidRPr="00561F09">
        <w:rPr>
          <w:rFonts w:ascii="Book Antiqua" w:hAnsi="Book Antiqua"/>
        </w:rPr>
        <w:t xml:space="preserve"> adquiri</w:t>
      </w:r>
      <w:r w:rsidR="00622536">
        <w:rPr>
          <w:rFonts w:ascii="Book Antiqua" w:hAnsi="Book Antiqua"/>
        </w:rPr>
        <w:t>ó</w:t>
      </w:r>
      <w:r w:rsidRPr="00561F09">
        <w:rPr>
          <w:rFonts w:ascii="Book Antiqua" w:hAnsi="Book Antiqua"/>
        </w:rPr>
        <w:t xml:space="preserve"> en subasta judicial por $50,000 acreditables a una sentencia de $325,000</w:t>
      </w:r>
      <w:r w:rsidR="001D6BC3">
        <w:rPr>
          <w:rFonts w:ascii="Book Antiqua" w:hAnsi="Book Antiqua"/>
        </w:rPr>
        <w:t>.</w:t>
      </w:r>
      <w:r w:rsidRPr="00561F09">
        <w:rPr>
          <w:rFonts w:ascii="Book Antiqua" w:hAnsi="Book Antiqua"/>
        </w:rPr>
        <w:t xml:space="preserve"> </w:t>
      </w:r>
      <w:r w:rsidR="001D6BC3">
        <w:rPr>
          <w:rFonts w:ascii="Book Antiqua" w:hAnsi="Book Antiqua"/>
        </w:rPr>
        <w:t>E</w:t>
      </w:r>
      <w:r w:rsidRPr="00561F09">
        <w:rPr>
          <w:rFonts w:ascii="Book Antiqua" w:hAnsi="Book Antiqua"/>
        </w:rPr>
        <w:t xml:space="preserve">l referido acreedor intentó cobrar de sus deudores la diferencia hasta el monto total de la sentencia. Dos años después de esa subasta, el caso retornó al tribunal para dilucidar, entre otras cosas, si en una subasta judicial para cobrar una deuda no garantizada con hipoteca tenía que fijarse por el tribunal un tipo mínimo para la venta en pública subasta. </w:t>
      </w:r>
    </w:p>
    <w:p w14:paraId="4C36BF0F" w14:textId="2E05978D" w:rsidR="001748C2" w:rsidRDefault="00175D76" w:rsidP="004060F2">
      <w:pPr>
        <w:spacing w:after="0" w:line="288" w:lineRule="auto"/>
        <w:ind w:firstLine="720"/>
        <w:jc w:val="both"/>
        <w:rPr>
          <w:rFonts w:ascii="Book Antiqua" w:hAnsi="Book Antiqua"/>
        </w:rPr>
      </w:pPr>
      <w:r>
        <w:rPr>
          <w:rFonts w:ascii="Book Antiqua" w:hAnsi="Book Antiqua"/>
        </w:rPr>
        <w:lastRenderedPageBreak/>
        <w:t>E</w:t>
      </w:r>
      <w:r w:rsidR="0052276F" w:rsidRPr="00561F09">
        <w:rPr>
          <w:rFonts w:ascii="Book Antiqua" w:hAnsi="Book Antiqua"/>
        </w:rPr>
        <w:t>l Tribunal Supremo se negó a aplicar por analogía la disposición de la Ley Hipotecaria</w:t>
      </w:r>
      <w:r w:rsidR="00C511CA">
        <w:rPr>
          <w:rFonts w:ascii="Book Antiqua" w:hAnsi="Book Antiqua"/>
        </w:rPr>
        <w:t>,</w:t>
      </w:r>
      <w:r w:rsidR="00CA6538">
        <w:rPr>
          <w:rStyle w:val="FootnoteReference"/>
          <w:rFonts w:ascii="Book Antiqua" w:hAnsi="Book Antiqua"/>
        </w:rPr>
        <w:footnoteReference w:id="3"/>
      </w:r>
      <w:r w:rsidR="0052276F" w:rsidRPr="00561F09">
        <w:rPr>
          <w:rFonts w:ascii="Book Antiqua" w:hAnsi="Book Antiqua"/>
        </w:rPr>
        <w:t xml:space="preserve"> </w:t>
      </w:r>
      <w:r w:rsidR="00C511CA">
        <w:rPr>
          <w:rFonts w:ascii="Book Antiqua" w:hAnsi="Book Antiqua"/>
        </w:rPr>
        <w:t xml:space="preserve">la cual </w:t>
      </w:r>
      <w:r w:rsidR="0052276F" w:rsidRPr="00561F09">
        <w:rPr>
          <w:rFonts w:ascii="Book Antiqua" w:hAnsi="Book Antiqua"/>
        </w:rPr>
        <w:t>requiere fijación de tipo mínimo para la subasta judicial a la misma situación bajo las Reglas de Procedimiento Civil</w:t>
      </w:r>
      <w:r w:rsidR="00C511CA">
        <w:rPr>
          <w:rFonts w:ascii="Book Antiqua" w:hAnsi="Book Antiqua"/>
        </w:rPr>
        <w:t>.</w:t>
      </w:r>
      <w:r w:rsidR="0052276F" w:rsidRPr="00561F09">
        <w:rPr>
          <w:rFonts w:ascii="Book Antiqua" w:hAnsi="Book Antiqua"/>
        </w:rPr>
        <w:t xml:space="preserve"> </w:t>
      </w:r>
      <w:r w:rsidR="00C511CA">
        <w:rPr>
          <w:rFonts w:ascii="Book Antiqua" w:hAnsi="Book Antiqua"/>
        </w:rPr>
        <w:t>E</w:t>
      </w:r>
      <w:r w:rsidR="0052276F" w:rsidRPr="00561F09">
        <w:rPr>
          <w:rFonts w:ascii="Book Antiqua" w:hAnsi="Book Antiqua"/>
        </w:rPr>
        <w:t>stas no requieren fijar el tipo mínimo de la venta judicial en ejecución de una sentencia. La falta de un tipo mínimo en la subasta de un bien inmueble no hipotecado se presta al enriquecimiento injusto y al abuso del acreedor contra el deudor</w:t>
      </w:r>
      <w:r w:rsidR="005D3761">
        <w:rPr>
          <w:rFonts w:ascii="Book Antiqua" w:hAnsi="Book Antiqua"/>
        </w:rPr>
        <w:t>.</w:t>
      </w:r>
      <w:r w:rsidR="0052276F" w:rsidRPr="00561F09">
        <w:rPr>
          <w:rFonts w:ascii="Book Antiqua" w:hAnsi="Book Antiqua"/>
        </w:rPr>
        <w:t xml:space="preserve"> </w:t>
      </w:r>
      <w:r w:rsidR="005D3761">
        <w:rPr>
          <w:rFonts w:ascii="Book Antiqua" w:hAnsi="Book Antiqua"/>
        </w:rPr>
        <w:t xml:space="preserve">El acreedor </w:t>
      </w:r>
      <w:r w:rsidR="0052276F" w:rsidRPr="00561F09">
        <w:rPr>
          <w:rFonts w:ascii="Book Antiqua" w:hAnsi="Book Antiqua"/>
        </w:rPr>
        <w:t xml:space="preserve">podría adquirir una propiedad de gran valor por un precio irrisorio o, por lo menos, por un precio mucho menor que el valor del bien ejecutado.  </w:t>
      </w:r>
    </w:p>
    <w:p w14:paraId="56A353BF" w14:textId="0370B028" w:rsidR="005B777C" w:rsidRDefault="001748C2" w:rsidP="004060F2">
      <w:pPr>
        <w:pStyle w:val="NormalWeb"/>
        <w:spacing w:before="0" w:beforeAutospacing="0" w:after="0" w:afterAutospacing="0" w:line="288" w:lineRule="auto"/>
        <w:ind w:firstLine="720"/>
        <w:jc w:val="both"/>
        <w:rPr>
          <w:rFonts w:ascii="Book Antiqua" w:hAnsi="Book Antiqua"/>
          <w:color w:val="000000" w:themeColor="text1"/>
          <w:lang w:val="es-PR"/>
        </w:rPr>
      </w:pPr>
      <w:r>
        <w:rPr>
          <w:rFonts w:ascii="Book Antiqua" w:hAnsi="Book Antiqua"/>
          <w:lang w:val="es-PR"/>
        </w:rPr>
        <w:t xml:space="preserve">Este proyecto propone </w:t>
      </w:r>
      <w:r w:rsidR="00AB28BD">
        <w:rPr>
          <w:rFonts w:ascii="Book Antiqua" w:hAnsi="Book Antiqua"/>
          <w:lang w:val="es-PR"/>
        </w:rPr>
        <w:t xml:space="preserve">que </w:t>
      </w:r>
      <w:r w:rsidR="0042462A">
        <w:rPr>
          <w:rFonts w:ascii="Book Antiqua" w:hAnsi="Book Antiqua"/>
          <w:lang w:val="es-PR"/>
        </w:rPr>
        <w:t xml:space="preserve">la solución a esta situación sea </w:t>
      </w:r>
      <w:r w:rsidR="00216FBD" w:rsidRPr="00561F09">
        <w:rPr>
          <w:rFonts w:ascii="Book Antiqua" w:hAnsi="Book Antiqua"/>
          <w:lang w:val="es-PR"/>
        </w:rPr>
        <w:t>fijar un tipo mínimo cuando el bien</w:t>
      </w:r>
      <w:r w:rsidR="00CA1477">
        <w:rPr>
          <w:rFonts w:ascii="Book Antiqua" w:hAnsi="Book Antiqua"/>
          <w:lang w:val="es-PR"/>
        </w:rPr>
        <w:t xml:space="preserve"> que no está garantizado por una hipoteca</w:t>
      </w:r>
      <w:r w:rsidR="00216FBD" w:rsidRPr="00561F09">
        <w:rPr>
          <w:rFonts w:ascii="Book Antiqua" w:hAnsi="Book Antiqua"/>
          <w:lang w:val="es-PR"/>
        </w:rPr>
        <w:t xml:space="preserve"> es llevado a pública subasta</w:t>
      </w:r>
      <w:r w:rsidR="00216FBD">
        <w:rPr>
          <w:rFonts w:ascii="Book Antiqua" w:hAnsi="Book Antiqua"/>
          <w:lang w:val="es-PR"/>
        </w:rPr>
        <w:t>.</w:t>
      </w:r>
      <w:r w:rsidR="00AB28BD">
        <w:rPr>
          <w:rStyle w:val="FootnoteReference"/>
          <w:rFonts w:ascii="Book Antiqua" w:hAnsi="Book Antiqua"/>
          <w:lang w:val="es-PR"/>
        </w:rPr>
        <w:footnoteReference w:id="4"/>
      </w:r>
      <w:r w:rsidR="004E1F63">
        <w:rPr>
          <w:rFonts w:ascii="Book Antiqua" w:hAnsi="Book Antiqua"/>
          <w:lang w:val="es-PR"/>
        </w:rPr>
        <w:t xml:space="preserve"> </w:t>
      </w:r>
      <w:r w:rsidR="00554419" w:rsidRPr="004060F2">
        <w:rPr>
          <w:rFonts w:ascii="Book Antiqua" w:hAnsi="Book Antiqua"/>
          <w:color w:val="000000" w:themeColor="text1"/>
          <w:lang w:val="es-PR"/>
        </w:rPr>
        <w:t xml:space="preserve">Por lo tanto, se propone esta enmienda al inciso (b) de la Regla </w:t>
      </w:r>
      <w:r w:rsidR="00DB5A55" w:rsidRPr="004060F2">
        <w:rPr>
          <w:rFonts w:ascii="Book Antiqua" w:hAnsi="Book Antiqua"/>
          <w:color w:val="000000" w:themeColor="text1"/>
          <w:lang w:val="es-PR"/>
        </w:rPr>
        <w:t>51.7 de Procedimiento Civil para estatuir esta norma de justicia social y de claridad en el tráfico de los bienes jurídicos en nuestro mercado</w:t>
      </w:r>
      <w:r w:rsidR="008D564F" w:rsidRPr="004060F2">
        <w:rPr>
          <w:rFonts w:ascii="Book Antiqua" w:hAnsi="Book Antiqua"/>
          <w:color w:val="000000" w:themeColor="text1"/>
          <w:lang w:val="es-PR"/>
        </w:rPr>
        <w:t>.</w:t>
      </w:r>
    </w:p>
    <w:p w14:paraId="1019624F" w14:textId="25B714C9" w:rsidR="0032132D" w:rsidRPr="005370D4" w:rsidRDefault="0032132D" w:rsidP="002E4C8F">
      <w:pPr>
        <w:spacing w:after="0" w:line="288" w:lineRule="auto"/>
        <w:ind w:firstLine="720"/>
        <w:jc w:val="center"/>
        <w:rPr>
          <w:rFonts w:ascii="Book Antiqua" w:eastAsia="Times New Roman" w:hAnsi="Book Antiqua" w:cs="Times New Roman"/>
          <w:spacing w:val="12"/>
          <w:kern w:val="0"/>
          <w14:ligatures w14:val="none"/>
        </w:rPr>
      </w:pPr>
      <w:r w:rsidRPr="005370D4">
        <w:rPr>
          <w:rFonts w:ascii="Book Antiqua" w:eastAsia="Times New Roman" w:hAnsi="Book Antiqua" w:cs="Times New Roman"/>
          <w:spacing w:val="12"/>
          <w:kern w:val="0"/>
          <w14:ligatures w14:val="none"/>
        </w:rPr>
        <w:t>ANÁLISIS DE LA MEDIDA</w:t>
      </w:r>
    </w:p>
    <w:p w14:paraId="413EBA79" w14:textId="0A819B75" w:rsidR="0081089E" w:rsidRPr="002C7622" w:rsidRDefault="003F0737" w:rsidP="00E31BC7">
      <w:pPr>
        <w:spacing w:before="100" w:beforeAutospacing="1" w:after="100" w:afterAutospacing="1" w:line="288" w:lineRule="auto"/>
        <w:ind w:firstLine="720"/>
        <w:jc w:val="both"/>
        <w:rPr>
          <w:rFonts w:ascii="Book Antiqua" w:eastAsia="Times New Roman" w:hAnsi="Book Antiqua" w:cs="Times New Roman"/>
          <w:b/>
          <w:bCs/>
          <w:kern w:val="0"/>
          <w:u w:val="single"/>
          <w14:ligatures w14:val="none"/>
        </w:rPr>
      </w:pPr>
      <w:r w:rsidRPr="002C7622">
        <w:rPr>
          <w:rFonts w:ascii="Book Antiqua" w:eastAsia="Times New Roman" w:hAnsi="Book Antiqua" w:cs="Times New Roman"/>
          <w:kern w:val="0"/>
          <w14:ligatures w14:val="none"/>
        </w:rPr>
        <w:t xml:space="preserve">La Comisión de </w:t>
      </w:r>
      <w:r w:rsidR="00C90319">
        <w:rPr>
          <w:rFonts w:ascii="Book Antiqua" w:eastAsia="Times New Roman" w:hAnsi="Book Antiqua" w:cs="Times New Roman"/>
          <w:kern w:val="0"/>
          <w14:ligatures w14:val="none"/>
        </w:rPr>
        <w:t>lo Jurídico de la Cámara de Representantes</w:t>
      </w:r>
      <w:r w:rsidRPr="002C7622">
        <w:rPr>
          <w:rFonts w:ascii="Book Antiqua" w:eastAsia="Times New Roman" w:hAnsi="Book Antiqua" w:cs="Times New Roman"/>
          <w:kern w:val="0"/>
          <w14:ligatures w14:val="none"/>
        </w:rPr>
        <w:t>, como parte del estudio y evaluación del P. de</w:t>
      </w:r>
      <w:r w:rsidR="009C2BB0">
        <w:rPr>
          <w:rFonts w:ascii="Book Antiqua" w:eastAsia="Times New Roman" w:hAnsi="Book Antiqua" w:cs="Times New Roman"/>
          <w:kern w:val="0"/>
          <w14:ligatures w14:val="none"/>
        </w:rPr>
        <w:t xml:space="preserve"> </w:t>
      </w:r>
      <w:r w:rsidRPr="002C7622">
        <w:rPr>
          <w:rFonts w:ascii="Book Antiqua" w:eastAsia="Times New Roman" w:hAnsi="Book Antiqua" w:cs="Times New Roman"/>
          <w:kern w:val="0"/>
          <w14:ligatures w14:val="none"/>
        </w:rPr>
        <w:t>l</w:t>
      </w:r>
      <w:r w:rsidR="009C2BB0">
        <w:rPr>
          <w:rFonts w:ascii="Book Antiqua" w:eastAsia="Times New Roman" w:hAnsi="Book Antiqua" w:cs="Times New Roman"/>
          <w:kern w:val="0"/>
          <w14:ligatures w14:val="none"/>
        </w:rPr>
        <w:t>a</w:t>
      </w:r>
      <w:r w:rsidRPr="002C7622">
        <w:rPr>
          <w:rFonts w:ascii="Book Antiqua" w:eastAsia="Times New Roman" w:hAnsi="Book Antiqua" w:cs="Times New Roman"/>
          <w:kern w:val="0"/>
          <w14:ligatures w14:val="none"/>
        </w:rPr>
        <w:t xml:space="preserve"> </w:t>
      </w:r>
      <w:r w:rsidR="009C2BB0">
        <w:rPr>
          <w:rFonts w:ascii="Book Antiqua" w:eastAsia="Times New Roman" w:hAnsi="Book Antiqua" w:cs="Times New Roman"/>
          <w:kern w:val="0"/>
          <w14:ligatures w14:val="none"/>
        </w:rPr>
        <w:t>C</w:t>
      </w:r>
      <w:r w:rsidRPr="002C7622">
        <w:rPr>
          <w:rFonts w:ascii="Book Antiqua" w:eastAsia="Times New Roman" w:hAnsi="Book Antiqua" w:cs="Times New Roman"/>
          <w:kern w:val="0"/>
          <w14:ligatures w14:val="none"/>
        </w:rPr>
        <w:t xml:space="preserve">. </w:t>
      </w:r>
      <w:r w:rsidR="00184557" w:rsidRPr="002C7622">
        <w:rPr>
          <w:rFonts w:ascii="Book Antiqua" w:eastAsia="Times New Roman" w:hAnsi="Book Antiqua" w:cs="Times New Roman"/>
          <w:kern w:val="0"/>
          <w14:ligatures w14:val="none"/>
        </w:rPr>
        <w:t>9</w:t>
      </w:r>
      <w:r w:rsidR="009C2BB0">
        <w:rPr>
          <w:rFonts w:ascii="Book Antiqua" w:eastAsia="Times New Roman" w:hAnsi="Book Antiqua" w:cs="Times New Roman"/>
          <w:kern w:val="0"/>
          <w14:ligatures w14:val="none"/>
        </w:rPr>
        <w:t>2</w:t>
      </w:r>
      <w:r w:rsidRPr="002C7622">
        <w:rPr>
          <w:rFonts w:ascii="Book Antiqua" w:eastAsia="Times New Roman" w:hAnsi="Book Antiqua" w:cs="Times New Roman"/>
          <w:kern w:val="0"/>
          <w14:ligatures w14:val="none"/>
        </w:rPr>
        <w:t xml:space="preserve">, </w:t>
      </w:r>
      <w:r w:rsidR="00814E8F">
        <w:rPr>
          <w:rFonts w:ascii="Book Antiqua" w:eastAsia="Times New Roman" w:hAnsi="Book Antiqua" w:cs="Times New Roman"/>
          <w:kern w:val="0"/>
          <w14:ligatures w14:val="none"/>
        </w:rPr>
        <w:t>consideró los</w:t>
      </w:r>
      <w:r w:rsidR="004A4966">
        <w:rPr>
          <w:rFonts w:ascii="Book Antiqua" w:eastAsia="Times New Roman" w:hAnsi="Book Antiqua" w:cs="Times New Roman"/>
          <w:kern w:val="0"/>
          <w14:ligatures w14:val="none"/>
        </w:rPr>
        <w:t xml:space="preserve"> memoriales</w:t>
      </w:r>
      <w:r w:rsidR="0022774A" w:rsidRPr="002C7622">
        <w:rPr>
          <w:rFonts w:ascii="Book Antiqua" w:eastAsia="Times New Roman" w:hAnsi="Book Antiqua" w:cs="Times New Roman"/>
          <w:kern w:val="0"/>
          <w14:ligatures w14:val="none"/>
        </w:rPr>
        <w:t xml:space="preserve"> explicativos </w:t>
      </w:r>
      <w:r w:rsidR="00932991">
        <w:rPr>
          <w:rFonts w:ascii="Book Antiqua" w:eastAsia="Times New Roman" w:hAnsi="Book Antiqua" w:cs="Times New Roman"/>
          <w:kern w:val="0"/>
          <w14:ligatures w14:val="none"/>
        </w:rPr>
        <w:t>que a continuación se resumen.</w:t>
      </w:r>
    </w:p>
    <w:p w14:paraId="5D1A04F6" w14:textId="114A5A20" w:rsidR="003507A8" w:rsidRDefault="00C25BD3" w:rsidP="00094886">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La </w:t>
      </w:r>
      <w:r w:rsidRPr="00614D56">
        <w:rPr>
          <w:rFonts w:ascii="Book Antiqua" w:eastAsia="Times New Roman" w:hAnsi="Book Antiqua" w:cs="Times New Roman"/>
          <w:b/>
          <w:bCs/>
          <w:kern w:val="0"/>
          <w14:ligatures w14:val="none"/>
        </w:rPr>
        <w:t>Oficina de Administración de los Tribunales</w:t>
      </w:r>
      <w:r>
        <w:rPr>
          <w:rFonts w:ascii="Book Antiqua" w:eastAsia="Times New Roman" w:hAnsi="Book Antiqua" w:cs="Times New Roman"/>
          <w:kern w:val="0"/>
          <w14:ligatures w14:val="none"/>
        </w:rPr>
        <w:t xml:space="preserve"> (OAT) plante</w:t>
      </w:r>
      <w:r w:rsidR="00F13DD0">
        <w:rPr>
          <w:rFonts w:ascii="Book Antiqua" w:eastAsia="Times New Roman" w:hAnsi="Book Antiqua" w:cs="Times New Roman"/>
          <w:kern w:val="0"/>
          <w14:ligatures w14:val="none"/>
        </w:rPr>
        <w:t>ó</w:t>
      </w:r>
      <w:r>
        <w:rPr>
          <w:rFonts w:ascii="Book Antiqua" w:eastAsia="Times New Roman" w:hAnsi="Book Antiqua" w:cs="Times New Roman"/>
          <w:kern w:val="0"/>
          <w14:ligatures w14:val="none"/>
        </w:rPr>
        <w:t xml:space="preserve"> una posición técnica</w:t>
      </w:r>
      <w:r w:rsidR="00F13DD0">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w:t>
      </w:r>
      <w:r w:rsidR="00F13DD0">
        <w:rPr>
          <w:rFonts w:ascii="Book Antiqua" w:eastAsia="Times New Roman" w:hAnsi="Book Antiqua" w:cs="Times New Roman"/>
          <w:kern w:val="0"/>
          <w14:ligatures w14:val="none"/>
        </w:rPr>
        <w:t>S</w:t>
      </w:r>
      <w:r>
        <w:rPr>
          <w:rFonts w:ascii="Book Antiqua" w:eastAsia="Times New Roman" w:hAnsi="Book Antiqua" w:cs="Times New Roman"/>
          <w:kern w:val="0"/>
          <w14:ligatures w14:val="none"/>
        </w:rPr>
        <w:t xml:space="preserve">in asumir postura a favor o en contra, </w:t>
      </w:r>
      <w:r w:rsidR="008718F1">
        <w:rPr>
          <w:rFonts w:ascii="Book Antiqua" w:eastAsia="Times New Roman" w:hAnsi="Book Antiqua" w:cs="Times New Roman"/>
          <w:kern w:val="0"/>
          <w14:ligatures w14:val="none"/>
        </w:rPr>
        <w:t>ilustr</w:t>
      </w:r>
      <w:r w:rsidR="00F13DD0">
        <w:rPr>
          <w:rFonts w:ascii="Book Antiqua" w:eastAsia="Times New Roman" w:hAnsi="Book Antiqua" w:cs="Times New Roman"/>
          <w:kern w:val="0"/>
          <w14:ligatures w14:val="none"/>
        </w:rPr>
        <w:t>ó</w:t>
      </w:r>
      <w:r w:rsidR="008718F1">
        <w:rPr>
          <w:rFonts w:ascii="Book Antiqua" w:eastAsia="Times New Roman" w:hAnsi="Book Antiqua" w:cs="Times New Roman"/>
          <w:kern w:val="0"/>
          <w14:ligatures w14:val="none"/>
        </w:rPr>
        <w:t xml:space="preserve"> sobre las posibles consecuencias de estas enmiendas</w:t>
      </w:r>
      <w:r w:rsidR="00FB7D24">
        <w:rPr>
          <w:rFonts w:ascii="Book Antiqua" w:eastAsia="Times New Roman" w:hAnsi="Book Antiqua" w:cs="Times New Roman"/>
          <w:kern w:val="0"/>
          <w14:ligatures w14:val="none"/>
        </w:rPr>
        <w:t xml:space="preserve"> a las Reglas de Procedimiento Civil</w:t>
      </w:r>
      <w:r w:rsidR="00EA3110">
        <w:rPr>
          <w:rFonts w:ascii="Book Antiqua" w:eastAsia="Times New Roman" w:hAnsi="Book Antiqua" w:cs="Times New Roman"/>
          <w:kern w:val="0"/>
          <w14:ligatures w14:val="none"/>
        </w:rPr>
        <w:t>.</w:t>
      </w:r>
      <w:r w:rsidR="00830B26">
        <w:rPr>
          <w:rStyle w:val="FootnoteReference"/>
          <w:rFonts w:ascii="Book Antiqua" w:eastAsia="Times New Roman" w:hAnsi="Book Antiqua" w:cs="Times New Roman"/>
          <w:kern w:val="0"/>
          <w14:ligatures w14:val="none"/>
        </w:rPr>
        <w:footnoteReference w:id="5"/>
      </w:r>
    </w:p>
    <w:p w14:paraId="45F55C69" w14:textId="77777777" w:rsidR="00A862AA" w:rsidRDefault="00A862AA" w:rsidP="00094886">
      <w:pPr>
        <w:spacing w:after="0" w:line="288" w:lineRule="auto"/>
        <w:ind w:firstLine="720"/>
        <w:jc w:val="both"/>
        <w:rPr>
          <w:rFonts w:ascii="Book Antiqua" w:eastAsia="Times New Roman" w:hAnsi="Book Antiqua" w:cs="Times New Roman"/>
          <w:kern w:val="0"/>
          <w14:ligatures w14:val="none"/>
        </w:rPr>
      </w:pPr>
    </w:p>
    <w:p w14:paraId="694C91D4" w14:textId="77777777" w:rsidR="00A862AA" w:rsidRDefault="00A862AA" w:rsidP="00094886">
      <w:pPr>
        <w:spacing w:after="0" w:line="288" w:lineRule="auto"/>
        <w:ind w:firstLine="720"/>
        <w:jc w:val="both"/>
        <w:rPr>
          <w:rFonts w:ascii="Book Antiqua" w:eastAsia="Times New Roman" w:hAnsi="Book Antiqua" w:cs="Times New Roman"/>
          <w:kern w:val="0"/>
          <w14:ligatures w14:val="none"/>
        </w:rPr>
      </w:pPr>
    </w:p>
    <w:p w14:paraId="00D8F601" w14:textId="77777777" w:rsidR="00A862AA" w:rsidRDefault="00A862AA" w:rsidP="00094886">
      <w:pPr>
        <w:spacing w:after="0" w:line="288" w:lineRule="auto"/>
        <w:ind w:firstLine="720"/>
        <w:jc w:val="both"/>
        <w:rPr>
          <w:rFonts w:ascii="Book Antiqua" w:eastAsia="Times New Roman" w:hAnsi="Book Antiqua" w:cs="Times New Roman"/>
          <w:kern w:val="0"/>
          <w14:ligatures w14:val="none"/>
        </w:rPr>
      </w:pPr>
    </w:p>
    <w:p w14:paraId="3A74F43A" w14:textId="77777777" w:rsidR="00A862AA" w:rsidRDefault="00A862AA" w:rsidP="00094886">
      <w:pPr>
        <w:spacing w:after="0" w:line="288" w:lineRule="auto"/>
        <w:ind w:firstLine="720"/>
        <w:jc w:val="both"/>
        <w:rPr>
          <w:rFonts w:ascii="Book Antiqua" w:eastAsia="Times New Roman" w:hAnsi="Book Antiqua" w:cs="Times New Roman"/>
          <w:kern w:val="0"/>
          <w14:ligatures w14:val="none"/>
        </w:rPr>
      </w:pPr>
    </w:p>
    <w:p w14:paraId="1848368E" w14:textId="3EDDFF6A" w:rsidR="008718F1" w:rsidRDefault="00094886" w:rsidP="00080799">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Según la OAT, </w:t>
      </w:r>
      <w:r w:rsidR="00523CD4">
        <w:rPr>
          <w:rFonts w:ascii="Book Antiqua" w:eastAsia="Times New Roman" w:hAnsi="Book Antiqua" w:cs="Times New Roman"/>
          <w:kern w:val="0"/>
          <w14:ligatures w14:val="none"/>
        </w:rPr>
        <w:t xml:space="preserve">“la enmienda propuesta procura evitar que aquellos acreedores </w:t>
      </w:r>
      <w:r w:rsidR="00733520">
        <w:rPr>
          <w:rFonts w:ascii="Book Antiqua" w:eastAsia="Times New Roman" w:hAnsi="Book Antiqua" w:cs="Times New Roman"/>
          <w:kern w:val="0"/>
          <w14:ligatures w14:val="none"/>
        </w:rPr>
        <w:t xml:space="preserve">de deudas cuyos pagos no están garantizados por un gravamen hipotecario </w:t>
      </w:r>
      <w:r w:rsidR="00F54AD1">
        <w:rPr>
          <w:rFonts w:ascii="Book Antiqua" w:eastAsia="Times New Roman" w:hAnsi="Book Antiqua" w:cs="Times New Roman"/>
          <w:kern w:val="0"/>
          <w14:ligatures w14:val="none"/>
        </w:rPr>
        <w:t xml:space="preserve">puedan enriquecerse injustamente </w:t>
      </w:r>
      <w:r w:rsidR="0064393B">
        <w:rPr>
          <w:rFonts w:ascii="Book Antiqua" w:eastAsia="Times New Roman" w:hAnsi="Book Antiqua" w:cs="Times New Roman"/>
          <w:kern w:val="0"/>
          <w14:ligatures w14:val="none"/>
        </w:rPr>
        <w:t>en el proceso</w:t>
      </w:r>
      <w:r w:rsidR="00423DC5">
        <w:rPr>
          <w:rFonts w:ascii="Book Antiqua" w:eastAsia="Times New Roman" w:hAnsi="Book Antiqua" w:cs="Times New Roman"/>
          <w:kern w:val="0"/>
          <w14:ligatures w14:val="none"/>
        </w:rPr>
        <w:t xml:space="preserve"> de cobrar su deuda. Específicamente, pretende eliminar la posibilidad de que dichos acreedores </w:t>
      </w:r>
      <w:r w:rsidR="00413D5D">
        <w:rPr>
          <w:rFonts w:ascii="Book Antiqua" w:eastAsia="Times New Roman" w:hAnsi="Book Antiqua" w:cs="Times New Roman"/>
          <w:kern w:val="0"/>
          <w14:ligatures w14:val="none"/>
        </w:rPr>
        <w:t xml:space="preserve">puedan utilizar el mecanismo de venta judicial para adquirir una propiedad inmueble perteneciente al deudor </w:t>
      </w:r>
      <w:r w:rsidR="00413D5D" w:rsidRPr="00F34398">
        <w:rPr>
          <w:rFonts w:ascii="Book Antiqua" w:eastAsia="Times New Roman" w:hAnsi="Book Antiqua" w:cs="Times New Roman"/>
          <w:i/>
          <w:iCs/>
          <w:kern w:val="0"/>
          <w14:ligatures w14:val="none"/>
        </w:rPr>
        <w:t>por una cantidad muy por debajo a su valor en el mercado</w:t>
      </w:r>
      <w:r w:rsidR="00413D5D">
        <w:rPr>
          <w:rFonts w:ascii="Book Antiqua" w:eastAsia="Times New Roman" w:hAnsi="Book Antiqua" w:cs="Times New Roman"/>
          <w:kern w:val="0"/>
          <w14:ligatures w14:val="none"/>
        </w:rPr>
        <w:t>.</w:t>
      </w:r>
      <w:r w:rsidR="00B570AD">
        <w:rPr>
          <w:rFonts w:ascii="Book Antiqua" w:eastAsia="Times New Roman" w:hAnsi="Book Antiqua" w:cs="Times New Roman"/>
          <w:kern w:val="0"/>
          <w14:ligatures w14:val="none"/>
        </w:rPr>
        <w:t xml:space="preserve"> Para lograr este propósito</w:t>
      </w:r>
      <w:r w:rsidR="008A4A80">
        <w:rPr>
          <w:rFonts w:ascii="Book Antiqua" w:eastAsia="Times New Roman" w:hAnsi="Book Antiqua" w:cs="Times New Roman"/>
          <w:kern w:val="0"/>
          <w14:ligatures w14:val="none"/>
        </w:rPr>
        <w:t xml:space="preserve">, la enmienda </w:t>
      </w:r>
      <w:r w:rsidR="004B7F02">
        <w:rPr>
          <w:rFonts w:ascii="Book Antiqua" w:eastAsia="Times New Roman" w:hAnsi="Book Antiqua" w:cs="Times New Roman"/>
          <w:kern w:val="0"/>
          <w14:ligatures w14:val="none"/>
        </w:rPr>
        <w:t>propone extender al ámbito de las ventas judiciales de bienes inmuebles no gravados por hipotecas el requisito de que a tales bienes inmuebles a ser subastados se les fije un valor como tipo mínimo.”</w:t>
      </w:r>
      <w:r w:rsidR="005454A4">
        <w:rPr>
          <w:rStyle w:val="FootnoteReference"/>
          <w:rFonts w:ascii="Book Antiqua" w:eastAsia="Times New Roman" w:hAnsi="Book Antiqua" w:cs="Times New Roman"/>
          <w:kern w:val="0"/>
          <w14:ligatures w14:val="none"/>
        </w:rPr>
        <w:footnoteReference w:id="6"/>
      </w:r>
      <w:r w:rsidR="00363CE5">
        <w:rPr>
          <w:rFonts w:ascii="Book Antiqua" w:eastAsia="Times New Roman" w:hAnsi="Book Antiqua" w:cs="Times New Roman"/>
          <w:kern w:val="0"/>
          <w14:ligatures w14:val="none"/>
        </w:rPr>
        <w:t xml:space="preserve"> </w:t>
      </w:r>
    </w:p>
    <w:p w14:paraId="38BC0772" w14:textId="4C6CFCA4" w:rsidR="00363CE5" w:rsidRDefault="00363CE5" w:rsidP="00E31BC7">
      <w:pPr>
        <w:spacing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Resulta interesante </w:t>
      </w:r>
      <w:r w:rsidR="009C277E">
        <w:rPr>
          <w:rFonts w:ascii="Book Antiqua" w:eastAsia="Times New Roman" w:hAnsi="Book Antiqua" w:cs="Times New Roman"/>
          <w:kern w:val="0"/>
          <w14:ligatures w14:val="none"/>
        </w:rPr>
        <w:t>el</w:t>
      </w:r>
      <w:r w:rsidR="005642D7">
        <w:rPr>
          <w:rFonts w:ascii="Book Antiqua" w:eastAsia="Times New Roman" w:hAnsi="Book Antiqua" w:cs="Times New Roman"/>
          <w:kern w:val="0"/>
          <w14:ligatures w14:val="none"/>
        </w:rPr>
        <w:t xml:space="preserve"> siguiente</w:t>
      </w:r>
      <w:r w:rsidR="009C277E">
        <w:rPr>
          <w:rFonts w:ascii="Book Antiqua" w:eastAsia="Times New Roman" w:hAnsi="Book Antiqua" w:cs="Times New Roman"/>
          <w:kern w:val="0"/>
          <w14:ligatures w14:val="none"/>
        </w:rPr>
        <w:t xml:space="preserve"> planteamiento</w:t>
      </w:r>
      <w:r w:rsidR="005642D7">
        <w:rPr>
          <w:rFonts w:ascii="Book Antiqua" w:eastAsia="Times New Roman" w:hAnsi="Book Antiqua" w:cs="Times New Roman"/>
          <w:kern w:val="0"/>
          <w14:ligatures w14:val="none"/>
        </w:rPr>
        <w:t xml:space="preserve"> de la OAT</w:t>
      </w:r>
      <w:r w:rsidR="00A566F2">
        <w:rPr>
          <w:rFonts w:ascii="Book Antiqua" w:eastAsia="Times New Roman" w:hAnsi="Book Antiqua" w:cs="Times New Roman"/>
          <w:kern w:val="0"/>
          <w14:ligatures w14:val="none"/>
        </w:rPr>
        <w:t>:</w:t>
      </w:r>
    </w:p>
    <w:p w14:paraId="091A029F" w14:textId="7439A323" w:rsidR="00A566F2" w:rsidRPr="003507A8" w:rsidRDefault="00B30804" w:rsidP="00C404DA">
      <w:pPr>
        <w:spacing w:line="240" w:lineRule="auto"/>
        <w:ind w:left="720"/>
        <w:jc w:val="both"/>
        <w:rPr>
          <w:rFonts w:ascii="Book Antiqua" w:eastAsia="Times New Roman" w:hAnsi="Book Antiqua" w:cs="Times New Roman"/>
          <w:kern w:val="0"/>
          <w:u w:val="single"/>
          <w14:ligatures w14:val="none"/>
        </w:rPr>
      </w:pPr>
      <w:r w:rsidRPr="003507A8">
        <w:rPr>
          <w:rFonts w:ascii="Book Antiqua" w:eastAsia="Times New Roman" w:hAnsi="Book Antiqua" w:cs="Times New Roman"/>
          <w:kern w:val="0"/>
          <w14:ligatures w14:val="none"/>
        </w:rPr>
        <w:t xml:space="preserve">Sin emitir juicios valorativos sobre la intención legislativa del proyecto de ley en cuestión, consideramos que la Asamblea Legislativa debe tener presente y ponderar tanto los fundamentos de las determinaciones de la mayoría del Tribunal Supremo en el caso </w:t>
      </w:r>
      <w:r w:rsidRPr="003507A8">
        <w:rPr>
          <w:rFonts w:ascii="Book Antiqua" w:eastAsia="Times New Roman" w:hAnsi="Book Antiqua" w:cs="Times New Roman"/>
          <w:kern w:val="0"/>
          <w:u w:val="single"/>
          <w14:ligatures w14:val="none"/>
        </w:rPr>
        <w:t>SLG Sánchez v. SLG Valentín,</w:t>
      </w:r>
      <w:r w:rsidRPr="003507A8">
        <w:rPr>
          <w:rFonts w:ascii="Book Antiqua" w:eastAsia="Times New Roman" w:hAnsi="Book Antiqua" w:cs="Times New Roman"/>
          <w:kern w:val="0"/>
          <w14:ligatures w14:val="none"/>
        </w:rPr>
        <w:t xml:space="preserve"> </w:t>
      </w:r>
      <w:r w:rsidRPr="003507A8">
        <w:rPr>
          <w:rFonts w:ascii="Book Antiqua" w:eastAsia="Times New Roman" w:hAnsi="Book Antiqua" w:cs="Times New Roman"/>
          <w:i/>
          <w:iCs/>
          <w:kern w:val="0"/>
          <w14:ligatures w14:val="none"/>
        </w:rPr>
        <w:t>supra</w:t>
      </w:r>
      <w:r w:rsidRPr="003507A8">
        <w:rPr>
          <w:rFonts w:ascii="Book Antiqua" w:eastAsia="Times New Roman" w:hAnsi="Book Antiqua" w:cs="Times New Roman"/>
          <w:kern w:val="0"/>
          <w14:ligatures w14:val="none"/>
        </w:rPr>
        <w:t xml:space="preserve">, como los planteamientos expuestos en la Opinión Disidente antes mencionada al momento de determinar sobre la viabilidad y conveniencia de fijar un tipo mínimo en subastas en venta pública de bienes inmuebles no garantizados por hipotecas. </w:t>
      </w:r>
    </w:p>
    <w:p w14:paraId="5D0A2ABF" w14:textId="638E5BC4" w:rsidR="0081089E" w:rsidRDefault="002F4512" w:rsidP="0081089E">
      <w:pPr>
        <w:spacing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La OAT h</w:t>
      </w:r>
      <w:r w:rsidR="00B11575">
        <w:rPr>
          <w:rFonts w:ascii="Book Antiqua" w:eastAsia="Times New Roman" w:hAnsi="Book Antiqua" w:cs="Times New Roman"/>
          <w:kern w:val="0"/>
          <w14:ligatures w14:val="none"/>
        </w:rPr>
        <w:t>izo</w:t>
      </w:r>
      <w:r>
        <w:rPr>
          <w:rFonts w:ascii="Book Antiqua" w:eastAsia="Times New Roman" w:hAnsi="Book Antiqua" w:cs="Times New Roman"/>
          <w:kern w:val="0"/>
          <w14:ligatures w14:val="none"/>
        </w:rPr>
        <w:t xml:space="preserve"> varios señalamientos sobre el lenguaje de este proyecto</w:t>
      </w:r>
      <w:r w:rsidR="00642036">
        <w:rPr>
          <w:rFonts w:ascii="Book Antiqua" w:eastAsia="Times New Roman" w:hAnsi="Book Antiqua" w:cs="Times New Roman"/>
          <w:kern w:val="0"/>
          <w14:ligatures w14:val="none"/>
        </w:rPr>
        <w:t>:</w:t>
      </w:r>
    </w:p>
    <w:p w14:paraId="12D1B282" w14:textId="2E22A1A1" w:rsidR="00642036" w:rsidRDefault="004E19DF" w:rsidP="003507A8">
      <w:pPr>
        <w:pStyle w:val="ListParagraph"/>
        <w:numPr>
          <w:ilvl w:val="0"/>
          <w:numId w:val="2"/>
        </w:numPr>
        <w:spacing w:line="288" w:lineRule="auto"/>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lenguaje propuesto no </w:t>
      </w:r>
      <w:r w:rsidR="00CD45E8">
        <w:rPr>
          <w:rFonts w:ascii="Book Antiqua" w:eastAsia="Times New Roman" w:hAnsi="Book Antiqua" w:cs="Times New Roman"/>
          <w:kern w:val="0"/>
          <w14:ligatures w14:val="none"/>
        </w:rPr>
        <w:t>establece a qué fecha sería el valor de la propiedad, ni tampoco especifica la manera en que se evidenciaría el valor de la propiedad y a qui</w:t>
      </w:r>
      <w:r w:rsidR="00166FF4">
        <w:rPr>
          <w:rFonts w:ascii="Book Antiqua" w:eastAsia="Times New Roman" w:hAnsi="Book Antiqua" w:cs="Times New Roman"/>
          <w:kern w:val="0"/>
          <w14:ligatures w14:val="none"/>
        </w:rPr>
        <w:t>é</w:t>
      </w:r>
      <w:r w:rsidR="00CD45E8">
        <w:rPr>
          <w:rFonts w:ascii="Book Antiqua" w:eastAsia="Times New Roman" w:hAnsi="Book Antiqua" w:cs="Times New Roman"/>
          <w:kern w:val="0"/>
          <w14:ligatures w14:val="none"/>
        </w:rPr>
        <w:t xml:space="preserve">n correspondería dicha obligación </w:t>
      </w:r>
      <w:r w:rsidR="00166FF4">
        <w:rPr>
          <w:rFonts w:ascii="Book Antiqua" w:eastAsia="Times New Roman" w:hAnsi="Book Antiqua" w:cs="Times New Roman"/>
          <w:kern w:val="0"/>
          <w14:ligatures w14:val="none"/>
        </w:rPr>
        <w:t xml:space="preserve">de </w:t>
      </w:r>
      <w:r w:rsidR="00CD45E8">
        <w:rPr>
          <w:rFonts w:ascii="Book Antiqua" w:eastAsia="Times New Roman" w:hAnsi="Book Antiqua" w:cs="Times New Roman"/>
          <w:kern w:val="0"/>
          <w14:ligatures w14:val="none"/>
        </w:rPr>
        <w:t xml:space="preserve">evidenciar. </w:t>
      </w:r>
    </w:p>
    <w:p w14:paraId="0CD5A506" w14:textId="7F13027F" w:rsidR="00DF5E46" w:rsidRDefault="00DF5E46" w:rsidP="003507A8">
      <w:pPr>
        <w:pStyle w:val="ListParagraph"/>
        <w:numPr>
          <w:ilvl w:val="0"/>
          <w:numId w:val="2"/>
        </w:numPr>
        <w:spacing w:line="288" w:lineRule="auto"/>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Entienden </w:t>
      </w:r>
      <w:r w:rsidR="001A3F9D">
        <w:rPr>
          <w:rFonts w:ascii="Book Antiqua" w:eastAsia="Times New Roman" w:hAnsi="Book Antiqua" w:cs="Times New Roman"/>
          <w:kern w:val="0"/>
          <w14:ligatures w14:val="none"/>
        </w:rPr>
        <w:t>que,</w:t>
      </w:r>
      <w:r>
        <w:rPr>
          <w:rFonts w:ascii="Book Antiqua" w:eastAsia="Times New Roman" w:hAnsi="Book Antiqua" w:cs="Times New Roman"/>
          <w:kern w:val="0"/>
          <w14:ligatures w14:val="none"/>
        </w:rPr>
        <w:t xml:space="preserve"> como consecuencia de la enmienda propuesta</w:t>
      </w:r>
      <w:r w:rsidR="00906D3C">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w:t>
      </w:r>
      <w:r w:rsidR="00C13A0F">
        <w:rPr>
          <w:rFonts w:ascii="Book Antiqua" w:eastAsia="Times New Roman" w:hAnsi="Book Antiqua" w:cs="Times New Roman"/>
          <w:kern w:val="0"/>
          <w14:ligatures w14:val="none"/>
        </w:rPr>
        <w:t xml:space="preserve">el proceso de ventas judiciales para ejecutar una deuda con garantía hipotecaria y las celebradas para cobrar una sentencia sin garantía hipotecaria tendrán </w:t>
      </w:r>
      <w:r w:rsidR="008018DC">
        <w:rPr>
          <w:rFonts w:ascii="Book Antiqua" w:eastAsia="Times New Roman" w:hAnsi="Book Antiqua" w:cs="Times New Roman"/>
          <w:kern w:val="0"/>
          <w14:ligatures w14:val="none"/>
        </w:rPr>
        <w:t xml:space="preserve">diferentes tratos y salvaguardas para los deudores y acreedores. </w:t>
      </w:r>
    </w:p>
    <w:p w14:paraId="2A8A4306" w14:textId="65CACA00" w:rsidR="008018DC" w:rsidRPr="00642036" w:rsidRDefault="008018DC" w:rsidP="003507A8">
      <w:pPr>
        <w:pStyle w:val="ListParagraph"/>
        <w:numPr>
          <w:ilvl w:val="0"/>
          <w:numId w:val="2"/>
        </w:numPr>
        <w:spacing w:line="288" w:lineRule="auto"/>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Los adquirientes de un bien en subasta lo hacen con la obligación de asumir todas las obligaciones y deudas gravadas sobre la propiedad. Por tanto, adquieren solo el valor </w:t>
      </w:r>
      <w:r>
        <w:rPr>
          <w:rFonts w:ascii="Book Antiqua" w:eastAsia="Times New Roman" w:hAnsi="Book Antiqua" w:cs="Times New Roman"/>
          <w:kern w:val="0"/>
          <w14:ligatures w14:val="none"/>
        </w:rPr>
        <w:tab/>
      </w:r>
      <w:r w:rsidR="00094EB8">
        <w:rPr>
          <w:rFonts w:ascii="Book Antiqua" w:eastAsia="Times New Roman" w:hAnsi="Book Antiqua" w:cs="Times New Roman"/>
          <w:kern w:val="0"/>
          <w14:ligatures w14:val="none"/>
        </w:rPr>
        <w:t xml:space="preserve">remanente luego de pagadas todas las deudas, conocido como </w:t>
      </w:r>
      <w:proofErr w:type="spellStart"/>
      <w:r w:rsidR="00094EB8">
        <w:rPr>
          <w:rFonts w:ascii="Book Antiqua" w:eastAsia="Times New Roman" w:hAnsi="Book Antiqua" w:cs="Times New Roman"/>
          <w:i/>
          <w:iCs/>
          <w:kern w:val="0"/>
          <w14:ligatures w14:val="none"/>
        </w:rPr>
        <w:t>equity</w:t>
      </w:r>
      <w:proofErr w:type="spellEnd"/>
      <w:r w:rsidR="00094EB8">
        <w:rPr>
          <w:rFonts w:ascii="Book Antiqua" w:eastAsia="Times New Roman" w:hAnsi="Book Antiqua" w:cs="Times New Roman"/>
          <w:kern w:val="0"/>
          <w14:ligatures w14:val="none"/>
        </w:rPr>
        <w:t xml:space="preserve"> de la propiedad. La</w:t>
      </w:r>
      <w:r w:rsidR="00B4014A">
        <w:rPr>
          <w:rFonts w:ascii="Book Antiqua" w:eastAsia="Times New Roman" w:hAnsi="Book Antiqua" w:cs="Times New Roman"/>
          <w:kern w:val="0"/>
          <w14:ligatures w14:val="none"/>
        </w:rPr>
        <w:t xml:space="preserve"> enmienda propuesta no menciona la posibilidad de tomar en consideración las deudas que graven la propiedad para modificar el valor del tipo mínimo</w:t>
      </w:r>
      <w:r w:rsidR="00555619">
        <w:rPr>
          <w:rFonts w:ascii="Book Antiqua" w:eastAsia="Times New Roman" w:hAnsi="Book Antiqua" w:cs="Times New Roman"/>
          <w:kern w:val="0"/>
          <w14:ligatures w14:val="none"/>
        </w:rPr>
        <w:t>,</w:t>
      </w:r>
      <w:r w:rsidR="00B4014A">
        <w:rPr>
          <w:rFonts w:ascii="Book Antiqua" w:eastAsia="Times New Roman" w:hAnsi="Book Antiqua" w:cs="Times New Roman"/>
          <w:kern w:val="0"/>
          <w14:ligatures w14:val="none"/>
        </w:rPr>
        <w:t xml:space="preserve"> o el valor a ser acreditado a la deuda por sentencia del adquiriente.</w:t>
      </w:r>
    </w:p>
    <w:p w14:paraId="02740497" w14:textId="50100B54" w:rsidR="00A15255" w:rsidRDefault="00004FB8" w:rsidP="005370D4">
      <w:pPr>
        <w:spacing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En el </w:t>
      </w:r>
      <w:proofErr w:type="spellStart"/>
      <w:r>
        <w:rPr>
          <w:rFonts w:ascii="Book Antiqua" w:eastAsia="Times New Roman" w:hAnsi="Book Antiqua" w:cs="Times New Roman"/>
          <w:kern w:val="0"/>
          <w14:ligatures w14:val="none"/>
        </w:rPr>
        <w:t>entirillado</w:t>
      </w:r>
      <w:proofErr w:type="spellEnd"/>
      <w:r>
        <w:rPr>
          <w:rFonts w:ascii="Book Antiqua" w:eastAsia="Times New Roman" w:hAnsi="Book Antiqua" w:cs="Times New Roman"/>
          <w:kern w:val="0"/>
          <w14:ligatures w14:val="none"/>
        </w:rPr>
        <w:t xml:space="preserve"> que se acompaña, se incluyeron </w:t>
      </w:r>
      <w:r w:rsidR="00DF5E46">
        <w:rPr>
          <w:rFonts w:ascii="Book Antiqua" w:eastAsia="Times New Roman" w:hAnsi="Book Antiqua" w:cs="Times New Roman"/>
          <w:kern w:val="0"/>
          <w14:ligatures w14:val="none"/>
        </w:rPr>
        <w:t xml:space="preserve">enmiendas </w:t>
      </w:r>
      <w:r w:rsidR="007F0030">
        <w:rPr>
          <w:rFonts w:ascii="Book Antiqua" w:eastAsia="Times New Roman" w:hAnsi="Book Antiqua" w:cs="Times New Roman"/>
          <w:kern w:val="0"/>
          <w14:ligatures w14:val="none"/>
        </w:rPr>
        <w:t>sobre algunos de los comentarios de la OAT</w:t>
      </w:r>
      <w:r w:rsidR="00DF5E46">
        <w:rPr>
          <w:rFonts w:ascii="Book Antiqua" w:eastAsia="Times New Roman" w:hAnsi="Book Antiqua" w:cs="Times New Roman"/>
          <w:kern w:val="0"/>
          <w14:ligatures w14:val="none"/>
        </w:rPr>
        <w:t>.</w:t>
      </w:r>
    </w:p>
    <w:p w14:paraId="4E7EE452" w14:textId="47300829" w:rsidR="002F6ABB" w:rsidRDefault="00A41239" w:rsidP="005370D4">
      <w:pPr>
        <w:spacing w:line="288" w:lineRule="auto"/>
        <w:ind w:firstLine="720"/>
        <w:jc w:val="both"/>
        <w:rPr>
          <w:rFonts w:ascii="Book Antiqua" w:hAnsi="Book Antiqua"/>
        </w:rPr>
      </w:pPr>
      <w:r>
        <w:rPr>
          <w:rFonts w:ascii="Book Antiqua" w:hAnsi="Book Antiqua"/>
        </w:rPr>
        <w:t xml:space="preserve">El </w:t>
      </w:r>
      <w:r w:rsidRPr="00986210">
        <w:rPr>
          <w:rFonts w:ascii="Book Antiqua" w:hAnsi="Book Antiqua"/>
          <w:b/>
          <w:bCs/>
        </w:rPr>
        <w:t xml:space="preserve">Colegio de </w:t>
      </w:r>
      <w:proofErr w:type="gramStart"/>
      <w:r w:rsidRPr="00986210">
        <w:rPr>
          <w:rFonts w:ascii="Book Antiqua" w:hAnsi="Book Antiqua"/>
          <w:b/>
          <w:bCs/>
        </w:rPr>
        <w:t>Abogados y Abogadas</w:t>
      </w:r>
      <w:proofErr w:type="gramEnd"/>
      <w:r w:rsidRPr="00986210">
        <w:rPr>
          <w:rFonts w:ascii="Book Antiqua" w:hAnsi="Book Antiqua"/>
          <w:b/>
          <w:bCs/>
        </w:rPr>
        <w:t xml:space="preserve"> de Puerto Rico</w:t>
      </w:r>
      <w:r w:rsidR="008552A4">
        <w:rPr>
          <w:rFonts w:ascii="Book Antiqua" w:hAnsi="Book Antiqua"/>
        </w:rPr>
        <w:t xml:space="preserve"> (CAAPR)</w:t>
      </w:r>
      <w:r>
        <w:rPr>
          <w:rFonts w:ascii="Book Antiqua" w:hAnsi="Book Antiqua"/>
        </w:rPr>
        <w:t xml:space="preserve"> favorec</w:t>
      </w:r>
      <w:r w:rsidR="000F3837">
        <w:rPr>
          <w:rFonts w:ascii="Book Antiqua" w:hAnsi="Book Antiqua"/>
        </w:rPr>
        <w:t>e</w:t>
      </w:r>
      <w:r>
        <w:rPr>
          <w:rFonts w:ascii="Book Antiqua" w:hAnsi="Book Antiqua"/>
        </w:rPr>
        <w:t xml:space="preserve"> esta legislación, con enmiendas muy puntuales</w:t>
      </w:r>
      <w:r w:rsidR="000F3837">
        <w:rPr>
          <w:rFonts w:ascii="Book Antiqua" w:hAnsi="Book Antiqua"/>
        </w:rPr>
        <w:t>.</w:t>
      </w:r>
      <w:r w:rsidR="00CD4E2A">
        <w:rPr>
          <w:rStyle w:val="FootnoteReference"/>
          <w:rFonts w:ascii="Book Antiqua" w:hAnsi="Book Antiqua"/>
        </w:rPr>
        <w:footnoteReference w:id="7"/>
      </w:r>
      <w:r w:rsidR="008552A4">
        <w:rPr>
          <w:rFonts w:ascii="Book Antiqua" w:hAnsi="Book Antiqua"/>
        </w:rPr>
        <w:t xml:space="preserve"> </w:t>
      </w:r>
      <w:r w:rsidR="001329B0">
        <w:rPr>
          <w:rFonts w:ascii="Book Antiqua" w:hAnsi="Book Antiqua"/>
        </w:rPr>
        <w:t>Esta institución record</w:t>
      </w:r>
      <w:r w:rsidR="000F3837">
        <w:rPr>
          <w:rFonts w:ascii="Book Antiqua" w:hAnsi="Book Antiqua"/>
        </w:rPr>
        <w:t>ó</w:t>
      </w:r>
      <w:r w:rsidR="001329B0">
        <w:rPr>
          <w:rFonts w:ascii="Book Antiqua" w:hAnsi="Book Antiqua"/>
        </w:rPr>
        <w:t xml:space="preserve"> lo que a su juicio es la intención legislativa de este proyecto: </w:t>
      </w:r>
    </w:p>
    <w:p w14:paraId="1655CA27" w14:textId="5187440D" w:rsidR="002E39A4" w:rsidRPr="005370D4" w:rsidRDefault="002E39A4" w:rsidP="00C404DA">
      <w:pPr>
        <w:spacing w:line="240" w:lineRule="auto"/>
        <w:ind w:left="720"/>
        <w:jc w:val="both"/>
        <w:rPr>
          <w:rFonts w:ascii="Book Antiqua" w:hAnsi="Book Antiqua"/>
        </w:rPr>
      </w:pPr>
      <w:r w:rsidRPr="005370D4">
        <w:rPr>
          <w:rFonts w:ascii="Book Antiqua" w:hAnsi="Book Antiqua"/>
        </w:rPr>
        <w:t>El proyecto procura corregir lo que considera una situación injusta para el deudor que, en tales circunstancias, se ve obligado a entregar un bien inmueble con valor suficiente para cubrir la deuda al descubierto, pero al venderse en pública subasta, el precio licitado es mucho menor, quedando todavía obligado a satisfacer el remanente no satisfecho de la deuda original, incluso cuando el único licitador sea el propio acreedor. Una situación similar fue atendida por el Tribunal Supremo en el caso S.L.G. Sánchez v. S.L.G. Valentín, 186 D.P.R. 503 (2012), con variadas reacciones de la academia y la profesión. Como bien señala la Exposición de Motivos, “el Tribunal Supremo se negó a aplicar por analogía la disposición de la Ley Hipotecaria que requiere fijación de tipo mínimo para la subasta judicial a la misma situación bajo las Reglas de Procedimiento Civil, por cuanto estas no requieren fijar el tipo mínimo de la venta judicial en ejecución de una sentencia.” El alto foro entendió que la controversia surgida de la falta de un tipo mínimo en la subasta de un bien inmueble no hipotecado podía resolverse a base de la figura del enriquecimiento injusto.</w:t>
      </w:r>
    </w:p>
    <w:p w14:paraId="342CB67A" w14:textId="33014F41" w:rsidR="001329B0" w:rsidRDefault="0097159A" w:rsidP="00CD26ED">
      <w:pPr>
        <w:spacing w:after="0" w:line="288" w:lineRule="auto"/>
        <w:ind w:firstLine="720"/>
        <w:jc w:val="both"/>
        <w:rPr>
          <w:rFonts w:ascii="Book Antiqua" w:hAnsi="Book Antiqua"/>
        </w:rPr>
      </w:pPr>
      <w:r>
        <w:rPr>
          <w:rFonts w:ascii="Book Antiqua" w:hAnsi="Book Antiqua"/>
        </w:rPr>
        <w:t>E</w:t>
      </w:r>
      <w:r w:rsidR="001329B0">
        <w:rPr>
          <w:rFonts w:ascii="Book Antiqua" w:hAnsi="Book Antiqua"/>
        </w:rPr>
        <w:t>l CAAPR plante</w:t>
      </w:r>
      <w:r>
        <w:rPr>
          <w:rFonts w:ascii="Book Antiqua" w:hAnsi="Book Antiqua"/>
        </w:rPr>
        <w:t>ó</w:t>
      </w:r>
      <w:r w:rsidR="001329B0">
        <w:rPr>
          <w:rFonts w:ascii="Book Antiqua" w:hAnsi="Book Antiqua"/>
        </w:rPr>
        <w:t xml:space="preserve"> </w:t>
      </w:r>
      <w:r w:rsidR="0024457E">
        <w:rPr>
          <w:rFonts w:ascii="Book Antiqua" w:hAnsi="Book Antiqua"/>
        </w:rPr>
        <w:t xml:space="preserve">sus comentarios sobre lo que </w:t>
      </w:r>
      <w:r>
        <w:rPr>
          <w:rFonts w:ascii="Book Antiqua" w:hAnsi="Book Antiqua"/>
        </w:rPr>
        <w:t xml:space="preserve">considera </w:t>
      </w:r>
      <w:r w:rsidR="0024457E">
        <w:rPr>
          <w:rFonts w:ascii="Book Antiqua" w:hAnsi="Book Antiqua"/>
        </w:rPr>
        <w:t>inequidades que la continuidad de esa norma permitiría.</w:t>
      </w:r>
      <w:r w:rsidR="005F5DD0">
        <w:rPr>
          <w:rFonts w:ascii="Book Antiqua" w:hAnsi="Book Antiqua"/>
        </w:rPr>
        <w:t xml:space="preserve"> Entiende que</w:t>
      </w:r>
      <w:r w:rsidR="00430435">
        <w:rPr>
          <w:rFonts w:ascii="Book Antiqua" w:hAnsi="Book Antiqua"/>
        </w:rPr>
        <w:t xml:space="preserve"> este proyecto es positivo, pues viene a </w:t>
      </w:r>
      <w:r w:rsidR="008212EF">
        <w:rPr>
          <w:rFonts w:ascii="Book Antiqua" w:hAnsi="Book Antiqua"/>
        </w:rPr>
        <w:t>cubrir “</w:t>
      </w:r>
      <w:r w:rsidR="008212EF" w:rsidRPr="008212EF">
        <w:rPr>
          <w:rFonts w:ascii="Book Antiqua" w:hAnsi="Book Antiqua"/>
        </w:rPr>
        <w:t>un vacío procesal con implicaciones sustantivas muy graves para el deudor, sobre todo cuando sus bienes inmuebles tienen valor suficiente para cubrir la deuda, pero la ejecución en subasta pública no permite esa correlación monetaria.</w:t>
      </w:r>
      <w:r w:rsidR="008212EF">
        <w:rPr>
          <w:rFonts w:ascii="Book Antiqua" w:hAnsi="Book Antiqua"/>
        </w:rPr>
        <w:t>”</w:t>
      </w:r>
      <w:r w:rsidR="005F5DD0">
        <w:rPr>
          <w:rStyle w:val="FootnoteReference"/>
          <w:rFonts w:ascii="Book Antiqua" w:hAnsi="Book Antiqua"/>
        </w:rPr>
        <w:footnoteReference w:id="8"/>
      </w:r>
      <w:r w:rsidR="008212EF">
        <w:rPr>
          <w:rFonts w:ascii="Book Antiqua" w:hAnsi="Book Antiqua"/>
        </w:rPr>
        <w:t xml:space="preserve"> </w:t>
      </w:r>
    </w:p>
    <w:p w14:paraId="1C76555B" w14:textId="6F61C781" w:rsidR="008212EF" w:rsidRDefault="00850F76" w:rsidP="00986210">
      <w:pPr>
        <w:spacing w:line="288" w:lineRule="auto"/>
        <w:ind w:firstLine="720"/>
        <w:jc w:val="both"/>
        <w:rPr>
          <w:rFonts w:ascii="Book Antiqua" w:hAnsi="Book Antiqua"/>
        </w:rPr>
      </w:pPr>
      <w:r>
        <w:rPr>
          <w:rFonts w:ascii="Book Antiqua" w:hAnsi="Book Antiqua"/>
        </w:rPr>
        <w:t>Sin embargo, el CAAPR present</w:t>
      </w:r>
      <w:r w:rsidR="00CD26ED">
        <w:rPr>
          <w:rFonts w:ascii="Book Antiqua" w:hAnsi="Book Antiqua"/>
        </w:rPr>
        <w:t>ó</w:t>
      </w:r>
      <w:r>
        <w:rPr>
          <w:rFonts w:ascii="Book Antiqua" w:hAnsi="Book Antiqua"/>
        </w:rPr>
        <w:t xml:space="preserve"> una preocupación adicional sobre un aspecto no cubierto en la legislación</w:t>
      </w:r>
      <w:r w:rsidR="00925A42">
        <w:rPr>
          <w:rFonts w:ascii="Book Antiqua" w:hAnsi="Book Antiqua"/>
        </w:rPr>
        <w:t>: qué pasa con las subastas sobre bienes muebles sin garantía hipotecaria. Sobre este particular</w:t>
      </w:r>
      <w:r w:rsidR="00D22FE5">
        <w:rPr>
          <w:rFonts w:ascii="Book Antiqua" w:hAnsi="Book Antiqua"/>
        </w:rPr>
        <w:t xml:space="preserve"> dijo lo siguiente</w:t>
      </w:r>
      <w:r w:rsidR="00925A42">
        <w:rPr>
          <w:rFonts w:ascii="Book Antiqua" w:hAnsi="Book Antiqua"/>
        </w:rPr>
        <w:t xml:space="preserve">: </w:t>
      </w:r>
    </w:p>
    <w:p w14:paraId="145E5CF3" w14:textId="77777777" w:rsidR="00D22FE5" w:rsidRDefault="00D22FE5" w:rsidP="00986210">
      <w:pPr>
        <w:spacing w:line="288" w:lineRule="auto"/>
        <w:ind w:firstLine="720"/>
        <w:jc w:val="both"/>
        <w:rPr>
          <w:rFonts w:ascii="Book Antiqua" w:hAnsi="Book Antiqua"/>
        </w:rPr>
      </w:pPr>
    </w:p>
    <w:p w14:paraId="1EA37FE8" w14:textId="76A5713E" w:rsidR="00C404DA" w:rsidRPr="001E2588" w:rsidRDefault="00925A42" w:rsidP="001E2588">
      <w:pPr>
        <w:spacing w:line="240" w:lineRule="auto"/>
        <w:ind w:left="720" w:right="360"/>
        <w:jc w:val="both"/>
        <w:rPr>
          <w:rFonts w:ascii="Book Antiqua" w:hAnsi="Book Antiqua"/>
        </w:rPr>
      </w:pPr>
      <w:r w:rsidRPr="001E2588">
        <w:rPr>
          <w:rFonts w:ascii="Book Antiqua" w:hAnsi="Book Antiqua"/>
        </w:rPr>
        <w:lastRenderedPageBreak/>
        <w:t xml:space="preserve">De aprobarse el proyecto, </w:t>
      </w:r>
      <w:r w:rsidRPr="001E2588">
        <w:rPr>
          <w:rFonts w:ascii="Book Antiqua" w:hAnsi="Book Antiqua"/>
          <w:b/>
          <w:bCs/>
        </w:rPr>
        <w:t>tal como fue presentado</w:t>
      </w:r>
      <w:r w:rsidRPr="001E2588">
        <w:rPr>
          <w:rFonts w:ascii="Book Antiqua" w:hAnsi="Book Antiqua"/>
        </w:rPr>
        <w:t xml:space="preserve"> con su exposición de motivos, se activaría en el futuro el principio de hermenéutica </w:t>
      </w:r>
      <w:proofErr w:type="spellStart"/>
      <w:r w:rsidRPr="001E2588">
        <w:rPr>
          <w:rFonts w:ascii="Book Antiqua" w:hAnsi="Book Antiqua"/>
          <w:i/>
          <w:iCs/>
        </w:rPr>
        <w:t>expressio</w:t>
      </w:r>
      <w:proofErr w:type="spellEnd"/>
      <w:r w:rsidRPr="001E2588">
        <w:rPr>
          <w:rFonts w:ascii="Book Antiqua" w:hAnsi="Book Antiqua"/>
          <w:i/>
          <w:iCs/>
        </w:rPr>
        <w:t xml:space="preserve"> </w:t>
      </w:r>
      <w:proofErr w:type="spellStart"/>
      <w:r w:rsidRPr="001E2588">
        <w:rPr>
          <w:rFonts w:ascii="Book Antiqua" w:hAnsi="Book Antiqua"/>
          <w:i/>
          <w:iCs/>
        </w:rPr>
        <w:t>unius</w:t>
      </w:r>
      <w:proofErr w:type="spellEnd"/>
      <w:r w:rsidRPr="001E2588">
        <w:rPr>
          <w:rFonts w:ascii="Book Antiqua" w:hAnsi="Book Antiqua"/>
          <w:i/>
          <w:iCs/>
        </w:rPr>
        <w:t xml:space="preserve"> </w:t>
      </w:r>
      <w:proofErr w:type="spellStart"/>
      <w:r w:rsidRPr="001E2588">
        <w:rPr>
          <w:rFonts w:ascii="Book Antiqua" w:hAnsi="Book Antiqua"/>
          <w:i/>
          <w:iCs/>
        </w:rPr>
        <w:t>est</w:t>
      </w:r>
      <w:proofErr w:type="spellEnd"/>
      <w:r w:rsidRPr="001E2588">
        <w:rPr>
          <w:rFonts w:ascii="Book Antiqua" w:hAnsi="Book Antiqua"/>
          <w:i/>
          <w:iCs/>
        </w:rPr>
        <w:t xml:space="preserve"> </w:t>
      </w:r>
      <w:proofErr w:type="spellStart"/>
      <w:r w:rsidRPr="001E2588">
        <w:rPr>
          <w:rFonts w:ascii="Book Antiqua" w:hAnsi="Book Antiqua"/>
          <w:i/>
          <w:iCs/>
        </w:rPr>
        <w:t>exclusio</w:t>
      </w:r>
      <w:proofErr w:type="spellEnd"/>
      <w:r w:rsidRPr="001E2588">
        <w:rPr>
          <w:rFonts w:ascii="Book Antiqua" w:hAnsi="Book Antiqua"/>
          <w:i/>
          <w:iCs/>
        </w:rPr>
        <w:t xml:space="preserve"> </w:t>
      </w:r>
      <w:proofErr w:type="spellStart"/>
      <w:r w:rsidRPr="001E2588">
        <w:rPr>
          <w:rFonts w:ascii="Book Antiqua" w:hAnsi="Book Antiqua"/>
          <w:i/>
          <w:iCs/>
        </w:rPr>
        <w:t>alterius</w:t>
      </w:r>
      <w:proofErr w:type="spellEnd"/>
      <w:r w:rsidRPr="001E2588">
        <w:rPr>
          <w:rFonts w:ascii="Book Antiqua" w:hAnsi="Book Antiqua"/>
        </w:rPr>
        <w:t>, que significa: “la expresión de una cosa es la exclusión de otra”. Esta regla se utiliza en la hermenéutica legal para inferir que, cuando el texto de una ley, y añadimos, o su exposición de motivos o historial legislativo, menciona expresamente ciertos elementos, se presume que todo lo no mencionado queda excluido intencionalmente. Esto es, “la mención específica de una persona o cosa implica la exclusión de otras personas o cosas”. “Dicha norma parte de la renuencia de los tribunales a imputarle actos inútiles o fútiles a la Asamblea Legislativa”. Aún más, uno de los elementos para la interpretación de la ley es su historial legislativo, para detectar la intención del legislador. Es decir, “[a]l interpretar y aplicar un estatuto hay que hacerlo teniendo presente el propósito social que lo inspiró”.</w:t>
      </w:r>
      <w:r w:rsidR="005A7759">
        <w:rPr>
          <w:rFonts w:ascii="Book Antiqua" w:hAnsi="Book Antiqua"/>
        </w:rPr>
        <w:t xml:space="preserve"> </w:t>
      </w:r>
      <w:r w:rsidRPr="001E2588">
        <w:rPr>
          <w:rFonts w:ascii="Book Antiqua" w:hAnsi="Book Antiqua"/>
        </w:rPr>
        <w:t xml:space="preserve">Para tal análisis se recurre a “la exposición de motivos [de la ley en cuestión], la política pública del tiempo, los informes de las comisiones legislativas y el diario de sesiones, entre otros”. </w:t>
      </w:r>
    </w:p>
    <w:p w14:paraId="158CFDD0" w14:textId="731F9BA8" w:rsidR="00925A42" w:rsidRPr="001E2588" w:rsidRDefault="00925A42" w:rsidP="001E2588">
      <w:pPr>
        <w:spacing w:line="240" w:lineRule="auto"/>
        <w:ind w:left="720" w:right="360"/>
        <w:jc w:val="both"/>
        <w:rPr>
          <w:rFonts w:ascii="Book Antiqua" w:hAnsi="Book Antiqua"/>
        </w:rPr>
      </w:pPr>
      <w:r w:rsidRPr="001E2588">
        <w:rPr>
          <w:rFonts w:ascii="Book Antiqua" w:hAnsi="Book Antiqua"/>
        </w:rPr>
        <w:t>En síntesis, como se ha expresado, tanto por su historial, como por aplicación de la regla “</w:t>
      </w:r>
      <w:proofErr w:type="spellStart"/>
      <w:r w:rsidRPr="001E2588">
        <w:rPr>
          <w:rFonts w:ascii="Book Antiqua" w:hAnsi="Book Antiqua"/>
          <w:i/>
          <w:iCs/>
        </w:rPr>
        <w:t>expressio</w:t>
      </w:r>
      <w:proofErr w:type="spellEnd"/>
      <w:r w:rsidRPr="001E2588">
        <w:rPr>
          <w:rFonts w:ascii="Book Antiqua" w:hAnsi="Book Antiqua"/>
          <w:i/>
          <w:iCs/>
        </w:rPr>
        <w:t xml:space="preserve"> </w:t>
      </w:r>
      <w:proofErr w:type="spellStart"/>
      <w:r w:rsidRPr="001E2588">
        <w:rPr>
          <w:rFonts w:ascii="Book Antiqua" w:hAnsi="Book Antiqua"/>
          <w:i/>
          <w:iCs/>
        </w:rPr>
        <w:t>unius</w:t>
      </w:r>
      <w:proofErr w:type="spellEnd"/>
      <w:r w:rsidRPr="001E2588">
        <w:rPr>
          <w:rFonts w:ascii="Book Antiqua" w:hAnsi="Book Antiqua"/>
          <w:i/>
          <w:iCs/>
        </w:rPr>
        <w:t xml:space="preserve"> </w:t>
      </w:r>
      <w:proofErr w:type="spellStart"/>
      <w:r w:rsidRPr="001E2588">
        <w:rPr>
          <w:rFonts w:ascii="Book Antiqua" w:hAnsi="Book Antiqua"/>
          <w:i/>
          <w:iCs/>
        </w:rPr>
        <w:t>est</w:t>
      </w:r>
      <w:proofErr w:type="spellEnd"/>
      <w:r w:rsidRPr="001E2588">
        <w:rPr>
          <w:rFonts w:ascii="Book Antiqua" w:hAnsi="Book Antiqua"/>
          <w:i/>
          <w:iCs/>
        </w:rPr>
        <w:t xml:space="preserve"> </w:t>
      </w:r>
      <w:proofErr w:type="spellStart"/>
      <w:r w:rsidRPr="001E2588">
        <w:rPr>
          <w:rFonts w:ascii="Book Antiqua" w:hAnsi="Book Antiqua"/>
          <w:i/>
          <w:iCs/>
        </w:rPr>
        <w:t>exclusio</w:t>
      </w:r>
      <w:proofErr w:type="spellEnd"/>
      <w:r w:rsidRPr="001E2588">
        <w:rPr>
          <w:rFonts w:ascii="Book Antiqua" w:hAnsi="Book Antiqua"/>
          <w:i/>
          <w:iCs/>
        </w:rPr>
        <w:t xml:space="preserve"> </w:t>
      </w:r>
      <w:proofErr w:type="spellStart"/>
      <w:r w:rsidRPr="001E2588">
        <w:rPr>
          <w:rFonts w:ascii="Book Antiqua" w:hAnsi="Book Antiqua"/>
          <w:i/>
          <w:iCs/>
        </w:rPr>
        <w:t>alterius</w:t>
      </w:r>
      <w:proofErr w:type="spellEnd"/>
      <w:r w:rsidRPr="001E2588">
        <w:rPr>
          <w:rFonts w:ascii="Book Antiqua" w:hAnsi="Book Antiqua"/>
        </w:rPr>
        <w:t xml:space="preserve">”, quedaría prohibido, por </w:t>
      </w:r>
      <w:proofErr w:type="spellStart"/>
      <w:r w:rsidRPr="001E2588">
        <w:rPr>
          <w:rFonts w:ascii="Book Antiqua" w:hAnsi="Book Antiqua"/>
          <w:i/>
          <w:iCs/>
        </w:rPr>
        <w:t>fiat</w:t>
      </w:r>
      <w:proofErr w:type="spellEnd"/>
      <w:r w:rsidRPr="001E2588">
        <w:rPr>
          <w:rFonts w:ascii="Book Antiqua" w:hAnsi="Book Antiqua"/>
        </w:rPr>
        <w:t xml:space="preserve"> o interpretación judicial, el requisito o el mero requerimiento de una justa valoración en la venta en subasta de bienes muebles. Así se interpretará, sin duda, si la aplicación al requisito de tasación en bienes muebles se considera como un trámite o requisito </w:t>
      </w:r>
      <w:r w:rsidRPr="001E2588">
        <w:rPr>
          <w:rFonts w:ascii="Book Antiqua" w:hAnsi="Book Antiqua"/>
          <w:i/>
          <w:iCs/>
        </w:rPr>
        <w:t>no enumerado</w:t>
      </w:r>
      <w:r w:rsidRPr="001E2588">
        <w:rPr>
          <w:rFonts w:ascii="Book Antiqua" w:hAnsi="Book Antiqua"/>
        </w:rPr>
        <w:t xml:space="preserve"> y, más aún, </w:t>
      </w:r>
      <w:r w:rsidRPr="001E2588">
        <w:rPr>
          <w:rFonts w:ascii="Book Antiqua" w:hAnsi="Book Antiqua"/>
          <w:i/>
          <w:iCs/>
        </w:rPr>
        <w:t>expresamente excluido</w:t>
      </w:r>
      <w:r w:rsidRPr="001E2588">
        <w:rPr>
          <w:rFonts w:ascii="Book Antiqua" w:hAnsi="Book Antiqua"/>
        </w:rPr>
        <w:t xml:space="preserve"> por el legislador en la interpretación de la Regla 51.7(b) de Procedimiento Civil hecha en el P. de la C. 92.</w:t>
      </w:r>
      <w:r w:rsidR="0060274C" w:rsidRPr="001E2588">
        <w:rPr>
          <w:rStyle w:val="FootnoteReference"/>
          <w:rFonts w:ascii="Book Antiqua" w:hAnsi="Book Antiqua"/>
        </w:rPr>
        <w:footnoteReference w:id="9"/>
      </w:r>
    </w:p>
    <w:p w14:paraId="558D5DFC" w14:textId="7192FA47" w:rsidR="00925A42" w:rsidRDefault="00925A42" w:rsidP="001E2588">
      <w:pPr>
        <w:spacing w:line="288" w:lineRule="auto"/>
        <w:jc w:val="both"/>
        <w:rPr>
          <w:rFonts w:ascii="Book Antiqua" w:hAnsi="Book Antiqua"/>
        </w:rPr>
      </w:pPr>
      <w:r>
        <w:rPr>
          <w:rFonts w:ascii="Book Antiqua" w:hAnsi="Book Antiqua"/>
          <w:sz w:val="22"/>
          <w:szCs w:val="22"/>
        </w:rPr>
        <w:tab/>
      </w:r>
      <w:r w:rsidRPr="001E2588">
        <w:rPr>
          <w:rFonts w:ascii="Book Antiqua" w:hAnsi="Book Antiqua"/>
        </w:rPr>
        <w:t xml:space="preserve">Para atender esta preocupación se presentan las enmiendas que sugieren, aunque un tanto modificadas, a la luz de lo también expresado por la OAT. </w:t>
      </w:r>
    </w:p>
    <w:p w14:paraId="401A0BC2" w14:textId="3F8B3C9F" w:rsidR="00D13460" w:rsidRDefault="00A47675" w:rsidP="001E2588">
      <w:pPr>
        <w:spacing w:line="288" w:lineRule="auto"/>
        <w:ind w:firstLine="720"/>
        <w:jc w:val="both"/>
        <w:rPr>
          <w:rFonts w:ascii="Book Antiqua" w:hAnsi="Book Antiqua"/>
        </w:rPr>
      </w:pPr>
      <w:r w:rsidRPr="001E2588">
        <w:rPr>
          <w:rFonts w:ascii="Book Antiqua" w:hAnsi="Book Antiqua"/>
        </w:rPr>
        <w:t xml:space="preserve">La </w:t>
      </w:r>
      <w:r w:rsidR="009E30C9" w:rsidRPr="001E2588">
        <w:rPr>
          <w:rFonts w:ascii="Book Antiqua" w:hAnsi="Book Antiqua"/>
          <w:b/>
          <w:bCs/>
        </w:rPr>
        <w:t xml:space="preserve">Asociación de Bancos </w:t>
      </w:r>
      <w:r w:rsidR="001A2997" w:rsidRPr="001E2588">
        <w:rPr>
          <w:rFonts w:ascii="Book Antiqua" w:hAnsi="Book Antiqua"/>
          <w:b/>
          <w:bCs/>
        </w:rPr>
        <w:t>de Puerto Rico</w:t>
      </w:r>
      <w:r w:rsidRPr="001E2588">
        <w:rPr>
          <w:rFonts w:ascii="Book Antiqua" w:hAnsi="Book Antiqua"/>
        </w:rPr>
        <w:t xml:space="preserve"> (</w:t>
      </w:r>
      <w:r w:rsidR="001A2997" w:rsidRPr="001E2588">
        <w:rPr>
          <w:rFonts w:ascii="Book Antiqua" w:hAnsi="Book Antiqua"/>
        </w:rPr>
        <w:t>ABPR)</w:t>
      </w:r>
      <w:r w:rsidRPr="001E2588">
        <w:rPr>
          <w:rFonts w:ascii="Book Antiqua" w:hAnsi="Book Antiqua"/>
        </w:rPr>
        <w:t xml:space="preserve"> </w:t>
      </w:r>
      <w:r w:rsidR="0041310F" w:rsidRPr="001E2588">
        <w:rPr>
          <w:rFonts w:ascii="Book Antiqua" w:hAnsi="Book Antiqua"/>
        </w:rPr>
        <w:t>expres</w:t>
      </w:r>
      <w:r w:rsidR="00C71D6C">
        <w:rPr>
          <w:rFonts w:ascii="Book Antiqua" w:hAnsi="Book Antiqua"/>
        </w:rPr>
        <w:t>ó</w:t>
      </w:r>
      <w:r w:rsidR="0041310F" w:rsidRPr="001E2588">
        <w:rPr>
          <w:rFonts w:ascii="Book Antiqua" w:hAnsi="Book Antiqua"/>
        </w:rPr>
        <w:t xml:space="preserve"> las razones por las cuales, a su juicio, </w:t>
      </w:r>
      <w:r w:rsidR="0037215D" w:rsidRPr="001E2588">
        <w:rPr>
          <w:rFonts w:ascii="Book Antiqua" w:hAnsi="Book Antiqua"/>
        </w:rPr>
        <w:t>no</w:t>
      </w:r>
      <w:r w:rsidR="00C71D6C">
        <w:rPr>
          <w:rFonts w:ascii="Book Antiqua" w:hAnsi="Book Antiqua"/>
        </w:rPr>
        <w:t xml:space="preserve"> se</w:t>
      </w:r>
      <w:r w:rsidR="0037215D" w:rsidRPr="001E2588">
        <w:rPr>
          <w:rFonts w:ascii="Book Antiqua" w:hAnsi="Book Antiqua"/>
        </w:rPr>
        <w:t xml:space="preserve"> </w:t>
      </w:r>
      <w:r w:rsidR="0041310F" w:rsidRPr="001E2588">
        <w:rPr>
          <w:rFonts w:ascii="Book Antiqua" w:hAnsi="Book Antiqua"/>
        </w:rPr>
        <w:t>debería aprobar el P. de</w:t>
      </w:r>
      <w:r w:rsidR="0037215D" w:rsidRPr="001E2588">
        <w:rPr>
          <w:rFonts w:ascii="Book Antiqua" w:hAnsi="Book Antiqua"/>
        </w:rPr>
        <w:t xml:space="preserve"> </w:t>
      </w:r>
      <w:r w:rsidR="0041310F" w:rsidRPr="001E2588">
        <w:rPr>
          <w:rFonts w:ascii="Book Antiqua" w:hAnsi="Book Antiqua"/>
        </w:rPr>
        <w:t>l</w:t>
      </w:r>
      <w:r w:rsidR="0037215D" w:rsidRPr="001E2588">
        <w:rPr>
          <w:rFonts w:ascii="Book Antiqua" w:hAnsi="Book Antiqua"/>
        </w:rPr>
        <w:t>a</w:t>
      </w:r>
      <w:r w:rsidR="0041310F" w:rsidRPr="001E2588">
        <w:rPr>
          <w:rFonts w:ascii="Book Antiqua" w:hAnsi="Book Antiqua"/>
        </w:rPr>
        <w:t xml:space="preserve"> </w:t>
      </w:r>
      <w:r w:rsidR="0037215D" w:rsidRPr="001E2588">
        <w:rPr>
          <w:rFonts w:ascii="Book Antiqua" w:hAnsi="Book Antiqua"/>
        </w:rPr>
        <w:t>C. 92</w:t>
      </w:r>
      <w:r w:rsidR="000A7D17" w:rsidRPr="001E2588">
        <w:rPr>
          <w:rFonts w:ascii="Book Antiqua" w:hAnsi="Book Antiqua"/>
        </w:rPr>
        <w:t>:</w:t>
      </w:r>
      <w:r w:rsidR="00855E37" w:rsidRPr="001E2588">
        <w:rPr>
          <w:rFonts w:ascii="Book Antiqua" w:hAnsi="Book Antiqua"/>
        </w:rPr>
        <w:t xml:space="preserve"> </w:t>
      </w:r>
    </w:p>
    <w:p w14:paraId="60D3555D" w14:textId="77777777" w:rsidR="00A86D30" w:rsidRDefault="00A86D30" w:rsidP="001E2588">
      <w:pPr>
        <w:spacing w:line="288" w:lineRule="auto"/>
        <w:ind w:firstLine="720"/>
        <w:jc w:val="both"/>
        <w:rPr>
          <w:rFonts w:ascii="Book Antiqua" w:hAnsi="Book Antiqua"/>
        </w:rPr>
      </w:pPr>
    </w:p>
    <w:p w14:paraId="640891EF" w14:textId="77777777" w:rsidR="00A86D30" w:rsidRDefault="00A86D30" w:rsidP="001E2588">
      <w:pPr>
        <w:spacing w:line="288" w:lineRule="auto"/>
        <w:ind w:firstLine="720"/>
        <w:jc w:val="both"/>
        <w:rPr>
          <w:rFonts w:ascii="Book Antiqua" w:hAnsi="Book Antiqua"/>
        </w:rPr>
      </w:pPr>
    </w:p>
    <w:p w14:paraId="44498A3D" w14:textId="77777777" w:rsidR="00A86D30" w:rsidRDefault="00A86D30" w:rsidP="001E2588">
      <w:pPr>
        <w:spacing w:line="288" w:lineRule="auto"/>
        <w:ind w:firstLine="720"/>
        <w:jc w:val="both"/>
        <w:rPr>
          <w:rFonts w:ascii="Book Antiqua" w:hAnsi="Book Antiqua"/>
        </w:rPr>
      </w:pPr>
    </w:p>
    <w:p w14:paraId="11E50E20" w14:textId="77777777" w:rsidR="00A86D30" w:rsidRDefault="00A86D30" w:rsidP="001E2588">
      <w:pPr>
        <w:spacing w:line="288" w:lineRule="auto"/>
        <w:ind w:firstLine="720"/>
        <w:jc w:val="both"/>
        <w:rPr>
          <w:rFonts w:ascii="Book Antiqua" w:hAnsi="Book Antiqua"/>
        </w:rPr>
      </w:pPr>
    </w:p>
    <w:p w14:paraId="2705EEFE" w14:textId="77777777" w:rsidR="00A86D30" w:rsidRPr="001E2588" w:rsidRDefault="00A86D30" w:rsidP="001E2588">
      <w:pPr>
        <w:spacing w:line="288" w:lineRule="auto"/>
        <w:ind w:firstLine="720"/>
        <w:jc w:val="both"/>
        <w:rPr>
          <w:rFonts w:ascii="Book Antiqua" w:hAnsi="Book Antiqua"/>
        </w:rPr>
      </w:pPr>
    </w:p>
    <w:p w14:paraId="5363F469" w14:textId="20B2720D" w:rsidR="00C404DA" w:rsidRDefault="00C404DA" w:rsidP="001E2588">
      <w:pPr>
        <w:spacing w:line="240" w:lineRule="auto"/>
        <w:ind w:left="720" w:right="360"/>
        <w:jc w:val="both"/>
        <w:rPr>
          <w:rFonts w:ascii="Book Antiqua" w:hAnsi="Book Antiqua"/>
        </w:rPr>
      </w:pPr>
      <w:r w:rsidRPr="001E2588">
        <w:rPr>
          <w:rFonts w:ascii="Book Antiqua" w:hAnsi="Book Antiqua"/>
        </w:rPr>
        <w:lastRenderedPageBreak/>
        <w:t>Durante el análisis de esta medida, nos surgen varias interrogantes que nos llevan a concluir que el Proyecto debe ser analizado con detenimiento ya que, según redactado, no lograría sus objetivos. Entre otras, surgen las siguientes interrogantes: Basado en nuestra experiencia, será difícil que las partes en un pleito de cobro de dinero lleguen a un consenso en cuanto al valor de la propiedad hipotecada, por lo que el tribunal tendría que ordenar una tasación. ¿Entonces, quien escoge al tasador? ¿Quién paga al tasador? ¿De no lograrse un acuerdo en cuanto al tasador, cual es el proceso si una de las partes objeta el valor que surge de la tasación? En casos en que se anote la rebeldía al deudor y se vende la propiedad, si aparece el deudor al pleito éste ¿podría lograr impugnar la valorización? ¿Si la tasación la paga el demandante, puede recuperar este costo en el proceso de ejecución? Es evidente que la medida requiere un análisis profundo en cuanto a las implicaciones jurídicas de lo propuesto.</w:t>
      </w:r>
      <w:r w:rsidR="00C71D6C" w:rsidRPr="001E2588">
        <w:rPr>
          <w:rStyle w:val="FootnoteReference"/>
          <w:rFonts w:ascii="Book Antiqua" w:hAnsi="Book Antiqua"/>
        </w:rPr>
        <w:footnoteReference w:id="10"/>
      </w:r>
    </w:p>
    <w:p w14:paraId="34B610B5" w14:textId="787E81A7" w:rsidR="005600B5" w:rsidRPr="0047321C" w:rsidRDefault="005600B5" w:rsidP="006B2F7F">
      <w:pPr>
        <w:spacing w:line="288" w:lineRule="auto"/>
        <w:jc w:val="center"/>
        <w:rPr>
          <w:rFonts w:ascii="Book Antiqua" w:eastAsia="Times New Roman" w:hAnsi="Book Antiqua" w:cs="Times New Roman"/>
          <w:spacing w:val="12"/>
          <w:kern w:val="0"/>
          <w14:ligatures w14:val="none"/>
        </w:rPr>
      </w:pPr>
      <w:r w:rsidRPr="0047321C">
        <w:rPr>
          <w:rFonts w:ascii="Book Antiqua" w:eastAsia="Times New Roman" w:hAnsi="Book Antiqua" w:cs="Times New Roman"/>
          <w:spacing w:val="12"/>
          <w:kern w:val="0"/>
          <w14:ligatures w14:val="none"/>
        </w:rPr>
        <w:t>CONCLUSIÓN</w:t>
      </w:r>
    </w:p>
    <w:p w14:paraId="3BFF53E1" w14:textId="482411A0" w:rsidR="007579EF" w:rsidRDefault="005600B5" w:rsidP="0047321C">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La aprobación del </w:t>
      </w:r>
      <w:r w:rsidRPr="0066292D">
        <w:rPr>
          <w:rFonts w:ascii="Book Antiqua" w:eastAsia="Times New Roman" w:hAnsi="Book Antiqua" w:cs="Times New Roman"/>
          <w:kern w:val="0"/>
          <w14:ligatures w14:val="none"/>
        </w:rPr>
        <w:t>P. de</w:t>
      </w:r>
      <w:r w:rsidR="00051BB6" w:rsidRPr="0066292D">
        <w:rPr>
          <w:rFonts w:ascii="Book Antiqua" w:eastAsia="Times New Roman" w:hAnsi="Book Antiqua" w:cs="Times New Roman"/>
          <w:kern w:val="0"/>
          <w14:ligatures w14:val="none"/>
        </w:rPr>
        <w:t xml:space="preserve"> </w:t>
      </w:r>
      <w:r w:rsidRPr="0066292D">
        <w:rPr>
          <w:rFonts w:ascii="Book Antiqua" w:eastAsia="Times New Roman" w:hAnsi="Book Antiqua" w:cs="Times New Roman"/>
          <w:kern w:val="0"/>
          <w14:ligatures w14:val="none"/>
        </w:rPr>
        <w:t>l</w:t>
      </w:r>
      <w:r w:rsidR="00051BB6" w:rsidRPr="0066292D">
        <w:rPr>
          <w:rFonts w:ascii="Book Antiqua" w:eastAsia="Times New Roman" w:hAnsi="Book Antiqua" w:cs="Times New Roman"/>
          <w:kern w:val="0"/>
          <w14:ligatures w14:val="none"/>
        </w:rPr>
        <w:t>a</w:t>
      </w:r>
      <w:r w:rsidRPr="0066292D">
        <w:rPr>
          <w:rFonts w:ascii="Book Antiqua" w:eastAsia="Times New Roman" w:hAnsi="Book Antiqua" w:cs="Times New Roman"/>
          <w:kern w:val="0"/>
          <w14:ligatures w14:val="none"/>
        </w:rPr>
        <w:t xml:space="preserve"> </w:t>
      </w:r>
      <w:r w:rsidR="00051BB6" w:rsidRPr="0066292D">
        <w:rPr>
          <w:rFonts w:ascii="Book Antiqua" w:eastAsia="Times New Roman" w:hAnsi="Book Antiqua" w:cs="Times New Roman"/>
          <w:kern w:val="0"/>
          <w14:ligatures w14:val="none"/>
        </w:rPr>
        <w:t>C</w:t>
      </w:r>
      <w:r w:rsidRPr="0066292D">
        <w:rPr>
          <w:rFonts w:ascii="Book Antiqua" w:eastAsia="Times New Roman" w:hAnsi="Book Antiqua" w:cs="Times New Roman"/>
          <w:kern w:val="0"/>
          <w14:ligatures w14:val="none"/>
        </w:rPr>
        <w:t xml:space="preserve">. </w:t>
      </w:r>
      <w:r w:rsidR="00051BB6" w:rsidRPr="0066292D">
        <w:rPr>
          <w:rFonts w:ascii="Book Antiqua" w:eastAsia="Times New Roman" w:hAnsi="Book Antiqua" w:cs="Times New Roman"/>
          <w:kern w:val="0"/>
          <w14:ligatures w14:val="none"/>
        </w:rPr>
        <w:t>92</w:t>
      </w:r>
      <w:r w:rsidR="00051BB6">
        <w:rPr>
          <w:rFonts w:ascii="Book Antiqua" w:eastAsia="Times New Roman" w:hAnsi="Book Antiqua" w:cs="Times New Roman"/>
          <w:b/>
          <w:bCs/>
          <w:kern w:val="0"/>
          <w14:ligatures w14:val="none"/>
        </w:rPr>
        <w:t xml:space="preserve"> </w:t>
      </w:r>
      <w:r w:rsidRPr="002C7622">
        <w:rPr>
          <w:rFonts w:ascii="Book Antiqua" w:eastAsia="Times New Roman" w:hAnsi="Book Antiqua" w:cs="Times New Roman"/>
          <w:kern w:val="0"/>
          <w14:ligatures w14:val="none"/>
        </w:rPr>
        <w:t xml:space="preserve">responde a </w:t>
      </w:r>
      <w:r w:rsidR="007579EF">
        <w:rPr>
          <w:rFonts w:ascii="Book Antiqua" w:eastAsia="Times New Roman" w:hAnsi="Book Antiqua" w:cs="Times New Roman"/>
          <w:kern w:val="0"/>
          <w14:ligatures w14:val="none"/>
        </w:rPr>
        <w:t xml:space="preserve">nuestro compromiso con la Justicia como un valor social a proteger. </w:t>
      </w:r>
      <w:r w:rsidR="006E1D40">
        <w:rPr>
          <w:rFonts w:ascii="Book Antiqua" w:eastAsia="Times New Roman" w:hAnsi="Book Antiqua" w:cs="Times New Roman"/>
          <w:kern w:val="0"/>
          <w14:ligatures w14:val="none"/>
        </w:rPr>
        <w:t>No podemos olvidar que según el Código Civil de Puerto Ric</w:t>
      </w:r>
      <w:r w:rsidR="00986AF0">
        <w:rPr>
          <w:rFonts w:ascii="Book Antiqua" w:eastAsia="Times New Roman" w:hAnsi="Book Antiqua" w:cs="Times New Roman"/>
          <w:kern w:val="0"/>
          <w14:ligatures w14:val="none"/>
        </w:rPr>
        <w:t xml:space="preserve">o </w:t>
      </w:r>
      <w:r w:rsidR="0027307E">
        <w:rPr>
          <w:rFonts w:ascii="Book Antiqua" w:eastAsia="Times New Roman" w:hAnsi="Book Antiqua" w:cs="Times New Roman"/>
          <w:kern w:val="0"/>
          <w14:ligatures w14:val="none"/>
        </w:rPr>
        <w:t>el enriquecimiento sin causa</w:t>
      </w:r>
      <w:r w:rsidR="00AD38AD">
        <w:rPr>
          <w:rFonts w:ascii="Book Antiqua" w:eastAsia="Times New Roman" w:hAnsi="Book Antiqua" w:cs="Times New Roman"/>
          <w:kern w:val="0"/>
          <w14:ligatures w14:val="none"/>
        </w:rPr>
        <w:t>—</w:t>
      </w:r>
      <w:r w:rsidR="0027307E">
        <w:rPr>
          <w:rFonts w:ascii="Book Antiqua" w:eastAsia="Times New Roman" w:hAnsi="Book Antiqua" w:cs="Times New Roman"/>
          <w:kern w:val="0"/>
          <w14:ligatures w14:val="none"/>
        </w:rPr>
        <w:t xml:space="preserve">concepto equivalente, al que la jurisprudencia antes citada se refiere como </w:t>
      </w:r>
      <w:r w:rsidR="008B1974">
        <w:rPr>
          <w:rFonts w:ascii="Book Antiqua" w:eastAsia="Times New Roman" w:hAnsi="Book Antiqua" w:cs="Times New Roman"/>
          <w:kern w:val="0"/>
          <w14:ligatures w14:val="none"/>
        </w:rPr>
        <w:t>enriquecimiento injusto</w:t>
      </w:r>
      <w:r w:rsidR="00AD38AD">
        <w:rPr>
          <w:rFonts w:ascii="Book Antiqua" w:eastAsia="Times New Roman" w:hAnsi="Book Antiqua" w:cs="Times New Roman"/>
          <w:kern w:val="0"/>
          <w14:ligatures w14:val="none"/>
        </w:rPr>
        <w:t>—</w:t>
      </w:r>
      <w:r w:rsidR="0081354A">
        <w:rPr>
          <w:rFonts w:ascii="Book Antiqua" w:eastAsia="Times New Roman" w:hAnsi="Book Antiqua" w:cs="Times New Roman"/>
          <w:kern w:val="0"/>
          <w14:ligatures w14:val="none"/>
        </w:rPr>
        <w:t>ocurre cuanto</w:t>
      </w:r>
      <w:r w:rsidR="008B1974">
        <w:rPr>
          <w:rFonts w:ascii="Book Antiqua" w:eastAsia="Times New Roman" w:hAnsi="Book Antiqua" w:cs="Times New Roman"/>
          <w:kern w:val="0"/>
          <w14:ligatures w14:val="none"/>
        </w:rPr>
        <w:t xml:space="preserve"> </w:t>
      </w:r>
      <w:r w:rsidR="0081354A">
        <w:rPr>
          <w:rFonts w:ascii="Book Antiqua" w:eastAsia="Times New Roman" w:hAnsi="Book Antiqua" w:cs="Times New Roman"/>
          <w:kern w:val="0"/>
          <w14:ligatures w14:val="none"/>
        </w:rPr>
        <w:t>“…una</w:t>
      </w:r>
      <w:r w:rsidR="0081354A" w:rsidRPr="0081354A">
        <w:rPr>
          <w:rFonts w:ascii="Book Antiqua" w:eastAsia="Times New Roman" w:hAnsi="Book Antiqua" w:cs="Times New Roman"/>
          <w:kern w:val="0"/>
          <w14:ligatures w14:val="none"/>
        </w:rPr>
        <w:t xml:space="preserve"> persona, sin justa causa, se enriquece a expensas de otra, está obligada a indemnizarla de la correlativa disminución patrimonial en la medida de su propio enriquecimiento, ya sea que este </w:t>
      </w:r>
      <w:r w:rsidR="0081354A" w:rsidRPr="00C46CA3">
        <w:rPr>
          <w:rFonts w:ascii="Book Antiqua" w:eastAsia="Times New Roman" w:hAnsi="Book Antiqua" w:cs="Times New Roman"/>
          <w:i/>
          <w:iCs/>
          <w:kern w:val="0"/>
          <w14:ligatures w14:val="none"/>
        </w:rPr>
        <w:t>provenga de la obtención de una ventaja o de la evitación de un perjuicio</w:t>
      </w:r>
      <w:r w:rsidR="0081354A" w:rsidRPr="0081354A">
        <w:rPr>
          <w:rFonts w:ascii="Book Antiqua" w:eastAsia="Times New Roman" w:hAnsi="Book Antiqua" w:cs="Times New Roman"/>
          <w:kern w:val="0"/>
          <w14:ligatures w14:val="none"/>
        </w:rPr>
        <w:t>.</w:t>
      </w:r>
      <w:r w:rsidR="0081354A">
        <w:rPr>
          <w:rFonts w:ascii="Book Antiqua" w:eastAsia="Times New Roman" w:hAnsi="Book Antiqua" w:cs="Times New Roman"/>
          <w:kern w:val="0"/>
          <w14:ligatures w14:val="none"/>
        </w:rPr>
        <w:t>”</w:t>
      </w:r>
      <w:r w:rsidR="0081354A">
        <w:rPr>
          <w:rStyle w:val="FootnoteReference"/>
          <w:rFonts w:ascii="Book Antiqua" w:eastAsia="Times New Roman" w:hAnsi="Book Antiqua" w:cs="Times New Roman"/>
          <w:kern w:val="0"/>
          <w14:ligatures w14:val="none"/>
        </w:rPr>
        <w:footnoteReference w:id="11"/>
      </w:r>
    </w:p>
    <w:p w14:paraId="7F9C012D" w14:textId="05B3FDD0" w:rsidR="00E06CFC" w:rsidRDefault="00876060" w:rsidP="0047321C">
      <w:pPr>
        <w:spacing w:after="0" w:line="288" w:lineRule="auto"/>
        <w:ind w:firstLine="72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 xml:space="preserve">Por lo tanto, es nuestra intención presentar estas enmiendas como una forma de evitar la obtención de ventajas indebidas y el perjuicio que se </w:t>
      </w:r>
      <w:r w:rsidR="00887102">
        <w:rPr>
          <w:rFonts w:ascii="Book Antiqua" w:eastAsia="Calibri" w:hAnsi="Book Antiqua" w:cs="Times New Roman"/>
          <w:bCs/>
          <w:kern w:val="0"/>
          <w14:ligatures w14:val="none"/>
        </w:rPr>
        <w:t>produci</w:t>
      </w:r>
      <w:r>
        <w:rPr>
          <w:rFonts w:ascii="Book Antiqua" w:eastAsia="Calibri" w:hAnsi="Book Antiqua" w:cs="Times New Roman"/>
          <w:bCs/>
          <w:kern w:val="0"/>
          <w14:ligatures w14:val="none"/>
        </w:rPr>
        <w:t xml:space="preserve">ría de no insertarse estas enmiendas a </w:t>
      </w:r>
      <w:r w:rsidR="00FE0E82">
        <w:rPr>
          <w:rFonts w:ascii="Book Antiqua" w:eastAsia="Calibri" w:hAnsi="Book Antiqua" w:cs="Times New Roman"/>
          <w:bCs/>
          <w:kern w:val="0"/>
          <w14:ligatures w14:val="none"/>
        </w:rPr>
        <w:t>las</w:t>
      </w:r>
      <w:r>
        <w:rPr>
          <w:rFonts w:ascii="Book Antiqua" w:eastAsia="Calibri" w:hAnsi="Book Antiqua" w:cs="Times New Roman"/>
          <w:bCs/>
          <w:kern w:val="0"/>
          <w14:ligatures w14:val="none"/>
        </w:rPr>
        <w:t xml:space="preserve"> Reglas de Procedimiento Civil. </w:t>
      </w:r>
    </w:p>
    <w:p w14:paraId="433501A2" w14:textId="77777777" w:rsidR="001631DB" w:rsidRDefault="002F1EBA" w:rsidP="0047321C">
      <w:pPr>
        <w:spacing w:after="0" w:line="288" w:lineRule="auto"/>
        <w:ind w:firstLine="72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Además del propósito antes descrito, entendemos que esta medida busca evitar la injusticia de que un bien</w:t>
      </w:r>
      <w:r w:rsidR="00520467">
        <w:rPr>
          <w:rFonts w:ascii="Book Antiqua" w:eastAsia="Calibri" w:hAnsi="Book Antiqua" w:cs="Times New Roman"/>
          <w:bCs/>
          <w:kern w:val="0"/>
          <w14:ligatures w14:val="none"/>
        </w:rPr>
        <w:t>—</w:t>
      </w:r>
      <w:r>
        <w:rPr>
          <w:rFonts w:ascii="Book Antiqua" w:eastAsia="Calibri" w:hAnsi="Book Antiqua" w:cs="Times New Roman"/>
          <w:bCs/>
          <w:kern w:val="0"/>
          <w14:ligatures w14:val="none"/>
        </w:rPr>
        <w:t>mueble o inmueble</w:t>
      </w:r>
      <w:r w:rsidR="00520467">
        <w:rPr>
          <w:rFonts w:ascii="Book Antiqua" w:eastAsia="Calibri" w:hAnsi="Book Antiqua" w:cs="Times New Roman"/>
          <w:bCs/>
          <w:kern w:val="0"/>
          <w14:ligatures w14:val="none"/>
        </w:rPr>
        <w:t>—</w:t>
      </w:r>
      <w:r>
        <w:rPr>
          <w:rFonts w:ascii="Book Antiqua" w:eastAsia="Calibri" w:hAnsi="Book Antiqua" w:cs="Times New Roman"/>
          <w:bCs/>
          <w:kern w:val="0"/>
          <w14:ligatures w14:val="none"/>
        </w:rPr>
        <w:t>se vend</w:t>
      </w:r>
      <w:r w:rsidR="00520467">
        <w:rPr>
          <w:rFonts w:ascii="Book Antiqua" w:eastAsia="Calibri" w:hAnsi="Book Antiqua" w:cs="Times New Roman"/>
          <w:bCs/>
          <w:kern w:val="0"/>
          <w14:ligatures w14:val="none"/>
        </w:rPr>
        <w:t>a</w:t>
      </w:r>
      <w:r>
        <w:rPr>
          <w:rFonts w:ascii="Book Antiqua" w:eastAsia="Calibri" w:hAnsi="Book Antiqua" w:cs="Times New Roman"/>
          <w:bCs/>
          <w:kern w:val="0"/>
          <w14:ligatures w14:val="none"/>
        </w:rPr>
        <w:t xml:space="preserve"> en pública subasta en un precio tan irrisorio, en comparación con su valor, que deje una gran proporción de la obligación original insatisfecha</w:t>
      </w:r>
      <w:r w:rsidR="00520467">
        <w:rPr>
          <w:rFonts w:ascii="Book Antiqua" w:eastAsia="Calibri" w:hAnsi="Book Antiqua" w:cs="Times New Roman"/>
          <w:bCs/>
          <w:kern w:val="0"/>
          <w14:ligatures w14:val="none"/>
        </w:rPr>
        <w:t>. Esto</w:t>
      </w:r>
      <w:r>
        <w:rPr>
          <w:rFonts w:ascii="Book Antiqua" w:eastAsia="Calibri" w:hAnsi="Book Antiqua" w:cs="Times New Roman"/>
          <w:bCs/>
          <w:kern w:val="0"/>
          <w14:ligatures w14:val="none"/>
        </w:rPr>
        <w:t xml:space="preserve"> sería una obvia injusticia contra el deudor, dueño original del bien o bienes subastados.</w:t>
      </w:r>
    </w:p>
    <w:p w14:paraId="1A562713" w14:textId="360043C7" w:rsidR="002F1EBA" w:rsidRPr="002F1EBA" w:rsidRDefault="002F1EBA" w:rsidP="0047321C">
      <w:pPr>
        <w:spacing w:after="0" w:line="288" w:lineRule="auto"/>
        <w:ind w:firstLine="72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 xml:space="preserve">  </w:t>
      </w:r>
    </w:p>
    <w:p w14:paraId="48803026" w14:textId="4B971404" w:rsidR="00E90136" w:rsidRPr="002C7622" w:rsidRDefault="0066292D" w:rsidP="0047321C">
      <w:pPr>
        <w:spacing w:after="0" w:line="288" w:lineRule="auto"/>
        <w:ind w:firstLine="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lastRenderedPageBreak/>
        <w:t>Así, est</w:t>
      </w:r>
      <w:r w:rsidR="00E90136" w:rsidRPr="002C7622">
        <w:rPr>
          <w:rFonts w:ascii="Book Antiqua" w:eastAsia="Calibri" w:hAnsi="Book Antiqua" w:cs="Times New Roman"/>
          <w:kern w:val="0"/>
          <w14:ligatures w14:val="none"/>
        </w:rPr>
        <w:t xml:space="preserve">a </w:t>
      </w:r>
      <w:r>
        <w:rPr>
          <w:rFonts w:ascii="Book Antiqua" w:eastAsia="Calibri" w:hAnsi="Book Antiqua" w:cs="Times New Roman"/>
          <w:kern w:val="0"/>
          <w14:ligatures w14:val="none"/>
        </w:rPr>
        <w:t>c</w:t>
      </w:r>
      <w:r w:rsidR="00E90136" w:rsidRPr="002C7622">
        <w:rPr>
          <w:rFonts w:ascii="Book Antiqua" w:eastAsia="Calibri" w:hAnsi="Book Antiqua" w:cs="Times New Roman"/>
          <w:kern w:val="0"/>
          <w14:ligatures w14:val="none"/>
        </w:rPr>
        <w:t xml:space="preserve">omisión recomienda </w:t>
      </w:r>
      <w:r w:rsidR="001631DB">
        <w:rPr>
          <w:rFonts w:ascii="Book Antiqua" w:eastAsia="Calibri" w:hAnsi="Book Antiqua" w:cs="Times New Roman"/>
          <w:kern w:val="0"/>
          <w14:ligatures w14:val="none"/>
        </w:rPr>
        <w:t>que se apruebe el P. de la C. 92</w:t>
      </w:r>
      <w:r w:rsidR="00E90136" w:rsidRPr="00E43546">
        <w:rPr>
          <w:rFonts w:ascii="Book Antiqua" w:eastAsia="Calibri" w:hAnsi="Book Antiqua" w:cs="Times New Roman"/>
          <w:bCs/>
          <w:kern w:val="0"/>
          <w14:ligatures w14:val="none"/>
        </w:rPr>
        <w:t xml:space="preserve">, </w:t>
      </w:r>
      <w:r w:rsidR="00DB5A55">
        <w:rPr>
          <w:rFonts w:ascii="Book Antiqua" w:eastAsia="Calibri" w:hAnsi="Book Antiqua" w:cs="Times New Roman"/>
          <w:bCs/>
          <w:kern w:val="0"/>
          <w14:ligatures w14:val="none"/>
        </w:rPr>
        <w:t xml:space="preserve">con las </w:t>
      </w:r>
      <w:r w:rsidR="000B7E5C" w:rsidRPr="00E43546">
        <w:rPr>
          <w:rFonts w:ascii="Book Antiqua" w:eastAsia="Calibri" w:hAnsi="Book Antiqua" w:cs="Times New Roman"/>
          <w:bCs/>
          <w:kern w:val="0"/>
          <w14:ligatures w14:val="none"/>
        </w:rPr>
        <w:t>enmiendas</w:t>
      </w:r>
      <w:r w:rsidR="00DB5A55">
        <w:rPr>
          <w:rFonts w:ascii="Book Antiqua" w:eastAsia="Calibri" w:hAnsi="Book Antiqua" w:cs="Times New Roman"/>
          <w:bCs/>
          <w:kern w:val="0"/>
          <w14:ligatures w14:val="none"/>
        </w:rPr>
        <w:t xml:space="preserve"> en el </w:t>
      </w:r>
      <w:proofErr w:type="spellStart"/>
      <w:r w:rsidR="00DB5A55">
        <w:rPr>
          <w:rFonts w:ascii="Book Antiqua" w:eastAsia="Calibri" w:hAnsi="Book Antiqua" w:cs="Times New Roman"/>
          <w:bCs/>
          <w:kern w:val="0"/>
          <w14:ligatures w14:val="none"/>
        </w:rPr>
        <w:t>entirillado</w:t>
      </w:r>
      <w:proofErr w:type="spellEnd"/>
      <w:r w:rsidR="00DB5A55">
        <w:rPr>
          <w:rFonts w:ascii="Book Antiqua" w:eastAsia="Calibri" w:hAnsi="Book Antiqua" w:cs="Times New Roman"/>
          <w:bCs/>
          <w:kern w:val="0"/>
          <w14:ligatures w14:val="none"/>
        </w:rPr>
        <w:t xml:space="preserve"> electrónico que se acompañ</w:t>
      </w:r>
      <w:r w:rsidR="005B37F4">
        <w:rPr>
          <w:rFonts w:ascii="Book Antiqua" w:eastAsia="Calibri" w:hAnsi="Book Antiqua" w:cs="Times New Roman"/>
          <w:bCs/>
          <w:kern w:val="0"/>
          <w14:ligatures w14:val="none"/>
        </w:rPr>
        <w:t>a</w:t>
      </w:r>
      <w:r w:rsidR="00E90136" w:rsidRPr="00E43546">
        <w:rPr>
          <w:rFonts w:ascii="Book Antiqua" w:eastAsia="Calibri" w:hAnsi="Book Antiqua" w:cs="Times New Roman"/>
          <w:bCs/>
          <w:kern w:val="0"/>
          <w14:ligatures w14:val="none"/>
        </w:rPr>
        <w:t>.</w:t>
      </w:r>
    </w:p>
    <w:p w14:paraId="39ADC598" w14:textId="77777777" w:rsidR="00E90136" w:rsidRPr="002C7622" w:rsidRDefault="00E90136" w:rsidP="00E90136">
      <w:pPr>
        <w:spacing w:after="0" w:line="240" w:lineRule="auto"/>
        <w:jc w:val="both"/>
        <w:rPr>
          <w:rFonts w:ascii="Book Antiqua" w:eastAsia="Calibri" w:hAnsi="Book Antiqua" w:cs="Times New Roman"/>
          <w:kern w:val="0"/>
          <w14:ligatures w14:val="none"/>
        </w:rPr>
      </w:pPr>
    </w:p>
    <w:p w14:paraId="4DCB2A72" w14:textId="2ADE18C4" w:rsidR="00E90136" w:rsidRPr="002C7622" w:rsidRDefault="0047321C" w:rsidP="00E90136">
      <w:pPr>
        <w:spacing w:after="0" w:line="240" w:lineRule="auto"/>
        <w:outlineLvl w:val="0"/>
        <w:rPr>
          <w:rFonts w:ascii="Book Antiqua" w:eastAsia="Calibri" w:hAnsi="Book Antiqua" w:cs="Times New Roman"/>
          <w:kern w:val="0"/>
          <w14:ligatures w14:val="none"/>
        </w:rPr>
      </w:pPr>
      <w:r>
        <w:rPr>
          <w:rFonts w:ascii="Book Antiqua" w:eastAsia="Calibri" w:hAnsi="Book Antiqua" w:cs="Times New Roman"/>
          <w:kern w:val="0"/>
          <w14:ligatures w14:val="none"/>
        </w:rPr>
        <w:t>Respetuosamente presentado.</w:t>
      </w:r>
    </w:p>
    <w:p w14:paraId="06283EF8"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5104649E"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3094E7E7" w14:textId="373AAA05" w:rsidR="00E90136" w:rsidRPr="0024374A" w:rsidRDefault="00E43546" w:rsidP="00E43546">
      <w:pPr>
        <w:spacing w:after="0" w:line="240" w:lineRule="auto"/>
        <w:jc w:val="both"/>
        <w:outlineLvl w:val="0"/>
        <w:rPr>
          <w:rFonts w:ascii="Book Antiqua" w:eastAsia="Calibri" w:hAnsi="Book Antiqua" w:cs="Times New Roman"/>
          <w:b/>
          <w:smallCaps/>
          <w:kern w:val="0"/>
          <w14:ligatures w14:val="none"/>
        </w:rPr>
      </w:pPr>
      <w:r w:rsidRPr="0024374A">
        <w:rPr>
          <w:rFonts w:ascii="Book Antiqua" w:eastAsia="Calibri" w:hAnsi="Book Antiqua" w:cs="Times New Roman"/>
          <w:b/>
          <w:smallCaps/>
          <w:kern w:val="0"/>
          <w14:ligatures w14:val="none"/>
        </w:rPr>
        <w:t>José J. Pérez Cordero</w:t>
      </w:r>
    </w:p>
    <w:p w14:paraId="03FA4187" w14:textId="3AA85B1C" w:rsidR="00221FDC" w:rsidRDefault="00E90136" w:rsidP="00E43546">
      <w:pPr>
        <w:spacing w:after="0" w:line="240" w:lineRule="auto"/>
        <w:jc w:val="both"/>
        <w:outlineLvl w:val="0"/>
        <w:rPr>
          <w:rFonts w:ascii="Book Antiqua" w:eastAsia="Calibri" w:hAnsi="Book Antiqua" w:cs="Times New Roman"/>
          <w:kern w:val="0"/>
          <w14:ligatures w14:val="none"/>
        </w:rPr>
      </w:pPr>
      <w:r w:rsidRPr="002C7622">
        <w:rPr>
          <w:rFonts w:ascii="Book Antiqua" w:eastAsia="Calibri" w:hAnsi="Book Antiqua" w:cs="Times New Roman"/>
          <w:kern w:val="0"/>
          <w14:ligatures w14:val="none"/>
        </w:rPr>
        <w:t xml:space="preserve">Presidente </w:t>
      </w:r>
    </w:p>
    <w:p w14:paraId="61C07BDF" w14:textId="11FAD26C" w:rsidR="001D76BB" w:rsidRPr="009A2FD7" w:rsidRDefault="00E43546" w:rsidP="008C6A66">
      <w:pPr>
        <w:spacing w:after="0" w:line="240" w:lineRule="auto"/>
        <w:jc w:val="both"/>
        <w:outlineLvl w:val="0"/>
        <w:rPr>
          <w:rFonts w:ascii="Book Antiqua" w:eastAsia="Times New Roman" w:hAnsi="Book Antiqua" w:cs="Times New Roman"/>
          <w:kern w:val="0"/>
          <w14:ligatures w14:val="none"/>
        </w:rPr>
      </w:pPr>
      <w:r>
        <w:rPr>
          <w:rFonts w:ascii="Book Antiqua" w:eastAsia="Calibri" w:hAnsi="Book Antiqua" w:cs="Times New Roman"/>
          <w:kern w:val="0"/>
          <w14:ligatures w14:val="none"/>
        </w:rPr>
        <w:t>Comisión de lo Jurídico</w:t>
      </w:r>
    </w:p>
    <w:sectPr w:rsidR="001D76BB" w:rsidRPr="009A2FD7"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60F9E" w14:textId="77777777" w:rsidR="0050212C" w:rsidRPr="002C7622" w:rsidRDefault="0050212C" w:rsidP="00A21EB9">
      <w:pPr>
        <w:spacing w:after="0" w:line="240" w:lineRule="auto"/>
      </w:pPr>
      <w:r w:rsidRPr="002C7622">
        <w:separator/>
      </w:r>
    </w:p>
  </w:endnote>
  <w:endnote w:type="continuationSeparator" w:id="0">
    <w:p w14:paraId="7295C9D8" w14:textId="77777777" w:rsidR="0050212C" w:rsidRPr="002C7622" w:rsidRDefault="0050212C"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BA5BA" w14:textId="77777777" w:rsidR="0050212C" w:rsidRPr="002C7622" w:rsidRDefault="0050212C" w:rsidP="00A21EB9">
      <w:pPr>
        <w:spacing w:after="0" w:line="240" w:lineRule="auto"/>
      </w:pPr>
      <w:r w:rsidRPr="002C7622">
        <w:separator/>
      </w:r>
    </w:p>
  </w:footnote>
  <w:footnote w:type="continuationSeparator" w:id="0">
    <w:p w14:paraId="746054FD" w14:textId="77777777" w:rsidR="0050212C" w:rsidRPr="002C7622" w:rsidRDefault="0050212C" w:rsidP="00A21EB9">
      <w:pPr>
        <w:spacing w:after="0" w:line="240" w:lineRule="auto"/>
      </w:pPr>
      <w:r w:rsidRPr="002C7622">
        <w:continuationSeparator/>
      </w:r>
    </w:p>
  </w:footnote>
  <w:footnote w:id="1">
    <w:p w14:paraId="583EE4CF" w14:textId="4CA02F0A" w:rsidR="00194C6D" w:rsidRPr="001A3F9D" w:rsidRDefault="00194C6D"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Véase </w:t>
      </w:r>
      <w:r w:rsidR="001A3F9D" w:rsidRPr="001A3F9D">
        <w:rPr>
          <w:rFonts w:ascii="Book Antiqua" w:hAnsi="Book Antiqua" w:cs="Times New Roman"/>
        </w:rPr>
        <w:t>título</w:t>
      </w:r>
      <w:r w:rsidRPr="001A3F9D">
        <w:rPr>
          <w:rFonts w:ascii="Book Antiqua" w:hAnsi="Book Antiqua" w:cs="Times New Roman"/>
        </w:rPr>
        <w:t xml:space="preserve"> del P. de</w:t>
      </w:r>
      <w:r w:rsidR="0018497D" w:rsidRPr="001A3F9D">
        <w:rPr>
          <w:rFonts w:ascii="Book Antiqua" w:hAnsi="Book Antiqua" w:cs="Times New Roman"/>
        </w:rPr>
        <w:t xml:space="preserve"> la</w:t>
      </w:r>
      <w:r w:rsidRPr="001A3F9D">
        <w:rPr>
          <w:rFonts w:ascii="Book Antiqua" w:hAnsi="Book Antiqua" w:cs="Times New Roman"/>
        </w:rPr>
        <w:t xml:space="preserve"> </w:t>
      </w:r>
      <w:r w:rsidR="0018497D" w:rsidRPr="001A3F9D">
        <w:rPr>
          <w:rFonts w:ascii="Book Antiqua" w:hAnsi="Book Antiqua" w:cs="Times New Roman"/>
        </w:rPr>
        <w:t>C</w:t>
      </w:r>
      <w:r w:rsidRPr="001A3F9D">
        <w:rPr>
          <w:rFonts w:ascii="Book Antiqua" w:hAnsi="Book Antiqua" w:cs="Times New Roman"/>
        </w:rPr>
        <w:t xml:space="preserve">. </w:t>
      </w:r>
      <w:r w:rsidR="00184557" w:rsidRPr="001A3F9D">
        <w:rPr>
          <w:rFonts w:ascii="Book Antiqua" w:hAnsi="Book Antiqua" w:cs="Times New Roman"/>
        </w:rPr>
        <w:t>9</w:t>
      </w:r>
      <w:r w:rsidR="0018497D" w:rsidRPr="001A3F9D">
        <w:rPr>
          <w:rFonts w:ascii="Book Antiqua" w:hAnsi="Book Antiqua" w:cs="Times New Roman"/>
        </w:rPr>
        <w:t xml:space="preserve">2, según presentado </w:t>
      </w:r>
      <w:r w:rsidR="00D84A1E" w:rsidRPr="001A3F9D">
        <w:rPr>
          <w:rFonts w:ascii="Book Antiqua" w:hAnsi="Book Antiqua" w:cs="Times New Roman"/>
        </w:rPr>
        <w:t xml:space="preserve">el 2 de enero de 2025 por el representante </w:t>
      </w:r>
      <w:r w:rsidR="00D84A1E" w:rsidRPr="00A862AA">
        <w:rPr>
          <w:rFonts w:ascii="Book Antiqua" w:hAnsi="Book Antiqua" w:cs="Times New Roman"/>
        </w:rPr>
        <w:t>Varela Fernández</w:t>
      </w:r>
      <w:r w:rsidR="0018497D" w:rsidRPr="001A3F9D">
        <w:rPr>
          <w:rFonts w:ascii="Book Antiqua" w:hAnsi="Book Antiqua" w:cs="Times New Roman"/>
        </w:rPr>
        <w:t xml:space="preserve">. </w:t>
      </w:r>
    </w:p>
  </w:footnote>
  <w:footnote w:id="2">
    <w:p w14:paraId="41DD1977" w14:textId="75AA5059" w:rsidR="00733F25" w:rsidRPr="001A3F9D" w:rsidRDefault="00733F25">
      <w:pPr>
        <w:pStyle w:val="FootnoteText"/>
        <w:rPr>
          <w:rFonts w:ascii="Book Antiqua" w:hAnsi="Book Antiqua"/>
        </w:rPr>
      </w:pPr>
      <w:r w:rsidRPr="001A3F9D">
        <w:rPr>
          <w:rStyle w:val="FootnoteReference"/>
          <w:rFonts w:ascii="Book Antiqua" w:hAnsi="Book Antiqua"/>
        </w:rPr>
        <w:footnoteRef/>
      </w:r>
      <w:r w:rsidRPr="001A3F9D">
        <w:rPr>
          <w:rFonts w:ascii="Book Antiqua" w:hAnsi="Book Antiqua"/>
        </w:rPr>
        <w:t xml:space="preserve"> 186 DPR 503 (2012).</w:t>
      </w:r>
    </w:p>
  </w:footnote>
  <w:footnote w:id="3">
    <w:p w14:paraId="2143BB34" w14:textId="47FE8A69" w:rsidR="00CA6538" w:rsidRPr="001A3F9D" w:rsidRDefault="00CA6538" w:rsidP="003507A8">
      <w:pPr>
        <w:pStyle w:val="NormalWeb"/>
        <w:spacing w:before="0" w:beforeAutospacing="0" w:after="60" w:afterAutospacing="0"/>
        <w:jc w:val="both"/>
        <w:rPr>
          <w:rFonts w:ascii="Book Antiqua" w:hAnsi="Book Antiqua"/>
          <w:sz w:val="20"/>
          <w:szCs w:val="20"/>
          <w:lang w:val="es-PR"/>
        </w:rPr>
      </w:pPr>
      <w:r w:rsidRPr="001A3F9D">
        <w:rPr>
          <w:rStyle w:val="FootnoteReference"/>
          <w:rFonts w:ascii="Book Antiqua" w:hAnsi="Book Antiqua"/>
          <w:sz w:val="20"/>
          <w:szCs w:val="20"/>
          <w:lang w:val="es-PR"/>
        </w:rPr>
        <w:footnoteRef/>
      </w:r>
      <w:r w:rsidRPr="001A3F9D">
        <w:rPr>
          <w:rFonts w:ascii="Book Antiqua" w:hAnsi="Book Antiqua"/>
          <w:sz w:val="20"/>
          <w:szCs w:val="20"/>
          <w:lang w:val="es-PR"/>
        </w:rPr>
        <w:t xml:space="preserve"> En </w:t>
      </w:r>
      <w:r w:rsidR="00D24E27" w:rsidRPr="001A3F9D">
        <w:rPr>
          <w:rFonts w:ascii="Book Antiqua" w:hAnsi="Book Antiqua"/>
          <w:sz w:val="20"/>
          <w:szCs w:val="20"/>
          <w:lang w:val="es-PR"/>
        </w:rPr>
        <w:t>la decisión de aquel caso la ley vigente era la Ley Hipotecaria de 1979</w:t>
      </w:r>
      <w:r w:rsidR="00DC15F6" w:rsidRPr="001A3F9D">
        <w:rPr>
          <w:rFonts w:ascii="Book Antiqua" w:hAnsi="Book Antiqua"/>
          <w:sz w:val="20"/>
          <w:szCs w:val="20"/>
          <w:lang w:val="es-PR"/>
        </w:rPr>
        <w:t xml:space="preserve">. </w:t>
      </w:r>
      <w:r w:rsidR="00CD13FF" w:rsidRPr="001A3F9D">
        <w:rPr>
          <w:rFonts w:ascii="Book Antiqua" w:hAnsi="Book Antiqua"/>
          <w:sz w:val="20"/>
          <w:szCs w:val="20"/>
          <w:lang w:val="es-PR"/>
        </w:rPr>
        <w:t xml:space="preserve">Tal </w:t>
      </w:r>
      <w:r w:rsidR="00DC15F6" w:rsidRPr="001A3F9D">
        <w:rPr>
          <w:rFonts w:ascii="Book Antiqua" w:hAnsi="Book Antiqua"/>
          <w:sz w:val="20"/>
          <w:szCs w:val="20"/>
          <w:lang w:val="es-PR"/>
        </w:rPr>
        <w:t>estatuto como la ley vigente</w:t>
      </w:r>
      <w:r w:rsidR="00CD13FF" w:rsidRPr="001A3F9D">
        <w:rPr>
          <w:rFonts w:ascii="Book Antiqua" w:hAnsi="Book Antiqua"/>
          <w:sz w:val="20"/>
          <w:szCs w:val="20"/>
          <w:lang w:val="es-PR"/>
        </w:rPr>
        <w:t>—</w:t>
      </w:r>
      <w:r w:rsidR="00D24E27" w:rsidRPr="001A3F9D">
        <w:rPr>
          <w:rFonts w:ascii="Book Antiqua" w:hAnsi="Book Antiqua"/>
          <w:sz w:val="20"/>
          <w:szCs w:val="20"/>
          <w:lang w:val="es-PR"/>
        </w:rPr>
        <w:t xml:space="preserve">Ley </w:t>
      </w:r>
      <w:r w:rsidR="00CD13FF" w:rsidRPr="001A3F9D">
        <w:rPr>
          <w:rFonts w:ascii="Book Antiqua" w:hAnsi="Book Antiqua"/>
          <w:sz w:val="20"/>
          <w:szCs w:val="20"/>
          <w:lang w:val="es-PR"/>
        </w:rPr>
        <w:t xml:space="preserve">Núm. </w:t>
      </w:r>
      <w:r w:rsidR="00D24E27" w:rsidRPr="001A3F9D">
        <w:rPr>
          <w:rFonts w:ascii="Book Antiqua" w:hAnsi="Book Antiqua"/>
          <w:sz w:val="20"/>
          <w:szCs w:val="20"/>
          <w:lang w:val="es-PR"/>
        </w:rPr>
        <w:t>210-2015</w:t>
      </w:r>
      <w:r w:rsidR="00CD13FF" w:rsidRPr="001A3F9D">
        <w:rPr>
          <w:rFonts w:ascii="Book Antiqua" w:hAnsi="Book Antiqua"/>
          <w:sz w:val="20"/>
          <w:szCs w:val="20"/>
          <w:lang w:val="es-PR"/>
        </w:rPr>
        <w:t>—</w:t>
      </w:r>
      <w:r w:rsidR="00DC15F6" w:rsidRPr="001A3F9D">
        <w:rPr>
          <w:rFonts w:ascii="Book Antiqua" w:hAnsi="Book Antiqua"/>
          <w:sz w:val="20"/>
          <w:szCs w:val="20"/>
          <w:lang w:val="es-PR"/>
        </w:rPr>
        <w:t xml:space="preserve">disponen </w:t>
      </w:r>
      <w:r w:rsidR="00EA3110" w:rsidRPr="001A3F9D">
        <w:rPr>
          <w:rFonts w:ascii="Book Antiqua" w:hAnsi="Book Antiqua"/>
          <w:sz w:val="20"/>
          <w:szCs w:val="20"/>
          <w:lang w:val="es-PR"/>
        </w:rPr>
        <w:t>que,</w:t>
      </w:r>
      <w:r w:rsidR="00D24E27" w:rsidRPr="001A3F9D">
        <w:rPr>
          <w:rFonts w:ascii="Book Antiqua" w:hAnsi="Book Antiqua"/>
          <w:sz w:val="20"/>
          <w:szCs w:val="20"/>
          <w:lang w:val="es-PR"/>
        </w:rPr>
        <w:t xml:space="preserve"> en la ejecución y cobro de un crédito hipotecario</w:t>
      </w:r>
      <w:r w:rsidR="000478A1" w:rsidRPr="001A3F9D">
        <w:rPr>
          <w:rFonts w:ascii="Book Antiqua" w:hAnsi="Book Antiqua"/>
          <w:sz w:val="20"/>
          <w:szCs w:val="20"/>
          <w:lang w:val="es-PR"/>
        </w:rPr>
        <w:t>,</w:t>
      </w:r>
      <w:r w:rsidR="00D24E27" w:rsidRPr="001A3F9D">
        <w:rPr>
          <w:rFonts w:ascii="Book Antiqua" w:hAnsi="Book Antiqua"/>
          <w:sz w:val="20"/>
          <w:szCs w:val="20"/>
          <w:lang w:val="es-PR"/>
        </w:rPr>
        <w:t xml:space="preserve"> la escritura de constitución de hipoteca exprese el valor de la finca o derecho real hipotecado acordado entre las partes</w:t>
      </w:r>
      <w:r w:rsidR="000D327F" w:rsidRPr="001A3F9D">
        <w:rPr>
          <w:rFonts w:ascii="Book Antiqua" w:hAnsi="Book Antiqua"/>
          <w:sz w:val="20"/>
          <w:szCs w:val="20"/>
          <w:lang w:val="es-PR"/>
        </w:rPr>
        <w:t>. Este será</w:t>
      </w:r>
      <w:r w:rsidR="00D24E27" w:rsidRPr="001A3F9D">
        <w:rPr>
          <w:rFonts w:ascii="Book Antiqua" w:hAnsi="Book Antiqua"/>
          <w:sz w:val="20"/>
          <w:szCs w:val="20"/>
          <w:lang w:val="es-PR"/>
        </w:rPr>
        <w:t xml:space="preserve"> </w:t>
      </w:r>
      <w:r w:rsidR="000D327F" w:rsidRPr="001A3F9D">
        <w:rPr>
          <w:rFonts w:ascii="Book Antiqua" w:hAnsi="Book Antiqua"/>
          <w:sz w:val="20"/>
          <w:szCs w:val="20"/>
          <w:lang w:val="es-PR"/>
        </w:rPr>
        <w:t xml:space="preserve">el </w:t>
      </w:r>
      <w:r w:rsidR="00D24E27" w:rsidRPr="001A3F9D">
        <w:rPr>
          <w:rFonts w:ascii="Book Antiqua" w:hAnsi="Book Antiqua"/>
          <w:sz w:val="20"/>
          <w:szCs w:val="20"/>
          <w:lang w:val="es-PR"/>
        </w:rPr>
        <w:t>tipo mínimo en la primera subasta a celebrarse. Disponía la ley anterior</w:t>
      </w:r>
      <w:r w:rsidR="000D327F" w:rsidRPr="001A3F9D">
        <w:rPr>
          <w:rFonts w:ascii="Book Antiqua" w:hAnsi="Book Antiqua"/>
          <w:sz w:val="20"/>
          <w:szCs w:val="20"/>
          <w:lang w:val="es-PR"/>
        </w:rPr>
        <w:t>—</w:t>
      </w:r>
      <w:r w:rsidR="00D24E27" w:rsidRPr="001A3F9D">
        <w:rPr>
          <w:rFonts w:ascii="Book Antiqua" w:hAnsi="Book Antiqua"/>
          <w:sz w:val="20"/>
          <w:szCs w:val="20"/>
          <w:lang w:val="es-PR"/>
        </w:rPr>
        <w:t>y lo dispone la vigente</w:t>
      </w:r>
      <w:r w:rsidR="00514065" w:rsidRPr="001A3F9D">
        <w:rPr>
          <w:rFonts w:ascii="Book Antiqua" w:hAnsi="Book Antiqua"/>
          <w:sz w:val="20"/>
          <w:szCs w:val="20"/>
          <w:lang w:val="es-PR"/>
        </w:rPr>
        <w:t xml:space="preserve">—los </w:t>
      </w:r>
      <w:r w:rsidR="00D24E27" w:rsidRPr="001A3F9D">
        <w:rPr>
          <w:rFonts w:ascii="Book Antiqua" w:hAnsi="Book Antiqua"/>
          <w:sz w:val="20"/>
          <w:szCs w:val="20"/>
          <w:lang w:val="es-PR"/>
        </w:rPr>
        <w:t>tipos mínimos para la primera, segunda y tercera subasta del bien inmueble llevado a venta pública para cobrar el crédito hipotecario de que se trate.</w:t>
      </w:r>
    </w:p>
  </w:footnote>
  <w:footnote w:id="4">
    <w:p w14:paraId="5284EF75" w14:textId="4D9B63A5" w:rsidR="00AB28BD" w:rsidRPr="001A3F9D" w:rsidRDefault="00AB28BD"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Como </w:t>
      </w:r>
      <w:r w:rsidR="00AB4D6E" w:rsidRPr="001A3F9D">
        <w:rPr>
          <w:rFonts w:ascii="Book Antiqua" w:hAnsi="Book Antiqua" w:cs="Times New Roman"/>
        </w:rPr>
        <w:t xml:space="preserve">se </w:t>
      </w:r>
      <w:r w:rsidRPr="001A3F9D">
        <w:rPr>
          <w:rFonts w:ascii="Book Antiqua" w:hAnsi="Book Antiqua" w:cs="Times New Roman"/>
        </w:rPr>
        <w:t xml:space="preserve">establece más adelante, </w:t>
      </w:r>
      <w:r w:rsidR="004E1F63" w:rsidRPr="001A3F9D">
        <w:rPr>
          <w:rFonts w:ascii="Book Antiqua" w:hAnsi="Book Antiqua" w:cs="Times New Roman"/>
        </w:rPr>
        <w:t xml:space="preserve">se pretende </w:t>
      </w:r>
      <w:r w:rsidRPr="001A3F9D">
        <w:rPr>
          <w:rFonts w:ascii="Book Antiqua" w:hAnsi="Book Antiqua" w:cs="Times New Roman"/>
        </w:rPr>
        <w:t>aplicar esta norma tanto a bienes inmuebles como a los muebles</w:t>
      </w:r>
      <w:r w:rsidR="004E1F63" w:rsidRPr="001A3F9D">
        <w:rPr>
          <w:rFonts w:ascii="Book Antiqua" w:hAnsi="Book Antiqua" w:cs="Times New Roman"/>
        </w:rPr>
        <w:t>,</w:t>
      </w:r>
      <w:r w:rsidRPr="001A3F9D">
        <w:rPr>
          <w:rFonts w:ascii="Book Antiqua" w:hAnsi="Book Antiqua" w:cs="Times New Roman"/>
        </w:rPr>
        <w:t xml:space="preserve"> con </w:t>
      </w:r>
      <w:r w:rsidR="00675A79" w:rsidRPr="001A3F9D">
        <w:rPr>
          <w:rFonts w:ascii="Book Antiqua" w:hAnsi="Book Antiqua" w:cs="Times New Roman"/>
        </w:rPr>
        <w:t xml:space="preserve">particularidades </w:t>
      </w:r>
      <w:r w:rsidR="00AB4D6E" w:rsidRPr="001A3F9D">
        <w:rPr>
          <w:rFonts w:ascii="Book Antiqua" w:hAnsi="Book Antiqua" w:cs="Times New Roman"/>
        </w:rPr>
        <w:t xml:space="preserve">que dependerán </w:t>
      </w:r>
      <w:r w:rsidR="00675A79" w:rsidRPr="001A3F9D">
        <w:rPr>
          <w:rFonts w:ascii="Book Antiqua" w:hAnsi="Book Antiqua" w:cs="Times New Roman"/>
        </w:rPr>
        <w:t xml:space="preserve">de ciertas circunstancias. </w:t>
      </w:r>
    </w:p>
  </w:footnote>
  <w:footnote w:id="5">
    <w:p w14:paraId="69B058FF" w14:textId="697746AC" w:rsidR="00830B26" w:rsidRPr="001A3F9D" w:rsidRDefault="00830B26"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w:t>
      </w:r>
      <w:r w:rsidR="00F54AD1" w:rsidRPr="001A3F9D">
        <w:rPr>
          <w:rFonts w:ascii="Book Antiqua" w:hAnsi="Book Antiqua" w:cs="Times New Roman"/>
        </w:rPr>
        <w:t>Véase</w:t>
      </w:r>
      <w:r w:rsidRPr="001A3F9D">
        <w:rPr>
          <w:rFonts w:ascii="Book Antiqua" w:hAnsi="Book Antiqua" w:cs="Times New Roman"/>
          <w:i/>
          <w:iCs/>
        </w:rPr>
        <w:t xml:space="preserve"> </w:t>
      </w:r>
      <w:r w:rsidR="001B2E00" w:rsidRPr="001A3F9D">
        <w:rPr>
          <w:rFonts w:ascii="Book Antiqua" w:hAnsi="Book Antiqua" w:cs="Times New Roman"/>
        </w:rPr>
        <w:t xml:space="preserve">Ponencia de la OAT sobre el Proyecto de la Cámara 92, documento de 8 páginas suscrito por el Hon. Sigfrido Steidel </w:t>
      </w:r>
      <w:r w:rsidR="00B9040C" w:rsidRPr="001A3F9D">
        <w:rPr>
          <w:rFonts w:ascii="Book Antiqua" w:hAnsi="Book Antiqua" w:cs="Times New Roman"/>
        </w:rPr>
        <w:t>Figueroa con fecha del 7 de octubre de 2025.</w:t>
      </w:r>
    </w:p>
  </w:footnote>
  <w:footnote w:id="6">
    <w:p w14:paraId="20AE4B99" w14:textId="44FAB618" w:rsidR="005454A4" w:rsidRPr="001A3F9D" w:rsidRDefault="005454A4">
      <w:pPr>
        <w:pStyle w:val="FootnoteText"/>
        <w:rPr>
          <w:rFonts w:ascii="Book Antiqua" w:hAnsi="Book Antiqua"/>
        </w:rPr>
      </w:pPr>
      <w:r w:rsidRPr="001A3F9D">
        <w:rPr>
          <w:rStyle w:val="FootnoteReference"/>
          <w:rFonts w:ascii="Book Antiqua" w:hAnsi="Book Antiqua"/>
        </w:rPr>
        <w:footnoteRef/>
      </w:r>
      <w:r w:rsidRPr="001A3F9D">
        <w:rPr>
          <w:rFonts w:ascii="Book Antiqua" w:hAnsi="Book Antiqua"/>
        </w:rPr>
        <w:t xml:space="preserve"> Énfasis nuestro.</w:t>
      </w:r>
    </w:p>
  </w:footnote>
  <w:footnote w:id="7">
    <w:p w14:paraId="3345DD04" w14:textId="419E44CA" w:rsidR="00CD4E2A" w:rsidRPr="001A3F9D" w:rsidRDefault="00CD4E2A"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Véase</w:t>
      </w:r>
      <w:r w:rsidRPr="001A3F9D">
        <w:rPr>
          <w:rFonts w:ascii="Book Antiqua" w:hAnsi="Book Antiqua" w:cs="Times New Roman"/>
          <w:i/>
          <w:iCs/>
        </w:rPr>
        <w:t xml:space="preserve"> </w:t>
      </w:r>
      <w:r w:rsidR="002E6C03" w:rsidRPr="001A3F9D">
        <w:rPr>
          <w:rFonts w:ascii="Book Antiqua" w:hAnsi="Book Antiqua" w:cs="Times New Roman"/>
        </w:rPr>
        <w:t>Postura de la Comisión de Derecho Civil del Colegio de Abogados y Abogadas de Puerto Rico sobre el Proyecto de la Cámara 92, para “añadir un segundo párrafo al inciso ‘b’ de la Regla 51.7 de Procedimiento Civil, a los fines de fijar un tipo mínimo en las subastas en venta pública de bienes inmuebles cuando la deuda por cobrar no esté garantizada por hipoteca”</w:t>
      </w:r>
      <w:r w:rsidR="006B6EF4" w:rsidRPr="001A3F9D">
        <w:rPr>
          <w:rFonts w:ascii="Book Antiqua" w:hAnsi="Book Antiqua" w:cs="Times New Roman"/>
        </w:rPr>
        <w:t xml:space="preserve">; </w:t>
      </w:r>
      <w:r w:rsidRPr="001A3F9D">
        <w:rPr>
          <w:rFonts w:ascii="Book Antiqua" w:hAnsi="Book Antiqua" w:cs="Times New Roman"/>
        </w:rPr>
        <w:t xml:space="preserve">documento de </w:t>
      </w:r>
      <w:r w:rsidR="002E6C03" w:rsidRPr="001A3F9D">
        <w:rPr>
          <w:rFonts w:ascii="Book Antiqua" w:hAnsi="Book Antiqua" w:cs="Times New Roman"/>
        </w:rPr>
        <w:t>10</w:t>
      </w:r>
      <w:r w:rsidR="006B6EF4" w:rsidRPr="001A3F9D">
        <w:rPr>
          <w:rFonts w:ascii="Book Antiqua" w:hAnsi="Book Antiqua" w:cs="Times New Roman"/>
        </w:rPr>
        <w:t xml:space="preserve"> </w:t>
      </w:r>
      <w:r w:rsidRPr="001A3F9D">
        <w:rPr>
          <w:rFonts w:ascii="Book Antiqua" w:hAnsi="Book Antiqua" w:cs="Times New Roman"/>
        </w:rPr>
        <w:t xml:space="preserve">páginas, suscrito por la </w:t>
      </w:r>
      <w:r w:rsidR="00F438AA" w:rsidRPr="001A3F9D">
        <w:rPr>
          <w:rFonts w:ascii="Book Antiqua" w:hAnsi="Book Antiqua" w:cs="Times New Roman"/>
        </w:rPr>
        <w:t xml:space="preserve">Lcda. Vivian Godineaux Villaronga (Presidenta de dicha institución) y la Lcda. Migdalia Fraticelli Torres (presidenta de la Comisión de Derecho Civil del Colegio) </w:t>
      </w:r>
      <w:r w:rsidR="00E334E1" w:rsidRPr="001A3F9D">
        <w:rPr>
          <w:rFonts w:ascii="Book Antiqua" w:hAnsi="Book Antiqua" w:cs="Times New Roman"/>
        </w:rPr>
        <w:t>con fecha d</w:t>
      </w:r>
      <w:r w:rsidR="008552A4" w:rsidRPr="001A3F9D">
        <w:rPr>
          <w:rFonts w:ascii="Book Antiqua" w:hAnsi="Book Antiqua" w:cs="Times New Roman"/>
        </w:rPr>
        <w:t>el 16</w:t>
      </w:r>
      <w:r w:rsidR="0064047B" w:rsidRPr="001A3F9D">
        <w:rPr>
          <w:rFonts w:ascii="Book Antiqua" w:hAnsi="Book Antiqua" w:cs="Times New Roman"/>
        </w:rPr>
        <w:t xml:space="preserve"> </w:t>
      </w:r>
      <w:r w:rsidRPr="001A3F9D">
        <w:rPr>
          <w:rFonts w:ascii="Book Antiqua" w:hAnsi="Book Antiqua" w:cs="Times New Roman"/>
        </w:rPr>
        <w:t xml:space="preserve">de </w:t>
      </w:r>
      <w:r w:rsidR="008552A4" w:rsidRPr="001A3F9D">
        <w:rPr>
          <w:rFonts w:ascii="Book Antiqua" w:hAnsi="Book Antiqua" w:cs="Times New Roman"/>
        </w:rPr>
        <w:t>octubre</w:t>
      </w:r>
      <w:r w:rsidRPr="001A3F9D">
        <w:rPr>
          <w:rFonts w:ascii="Book Antiqua" w:hAnsi="Book Antiqua" w:cs="Times New Roman"/>
        </w:rPr>
        <w:t xml:space="preserve"> de 2025.</w:t>
      </w:r>
    </w:p>
  </w:footnote>
  <w:footnote w:id="8">
    <w:p w14:paraId="6045D209" w14:textId="4D8B9879" w:rsidR="005F5DD0" w:rsidRPr="001A3F9D" w:rsidRDefault="005F5DD0">
      <w:pPr>
        <w:pStyle w:val="FootnoteText"/>
        <w:rPr>
          <w:rFonts w:ascii="Book Antiqua" w:hAnsi="Book Antiqua"/>
        </w:rPr>
      </w:pPr>
      <w:r w:rsidRPr="001A3F9D">
        <w:rPr>
          <w:rStyle w:val="FootnoteReference"/>
          <w:rFonts w:ascii="Book Antiqua" w:hAnsi="Book Antiqua"/>
        </w:rPr>
        <w:footnoteRef/>
      </w:r>
      <w:r w:rsidR="001C6116" w:rsidRPr="001A3F9D">
        <w:rPr>
          <w:rFonts w:ascii="Book Antiqua" w:hAnsi="Book Antiqua"/>
        </w:rPr>
        <w:t xml:space="preserve"> Id., Pág. 3.</w:t>
      </w:r>
    </w:p>
  </w:footnote>
  <w:footnote w:id="9">
    <w:p w14:paraId="1E70E377" w14:textId="35199F1F" w:rsidR="0060274C" w:rsidRPr="001A3F9D" w:rsidRDefault="0060274C"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Í</w:t>
      </w:r>
      <w:r w:rsidR="00A66530" w:rsidRPr="001A3F9D">
        <w:rPr>
          <w:rFonts w:ascii="Book Antiqua" w:hAnsi="Book Antiqua" w:cs="Times New Roman"/>
        </w:rPr>
        <w:t xml:space="preserve">d., página 8; énfasis en el original, aunque las citas en el original fueron omitidas. </w:t>
      </w:r>
    </w:p>
  </w:footnote>
  <w:footnote w:id="10">
    <w:p w14:paraId="0703C9EF" w14:textId="52A2E41C" w:rsidR="00C71D6C" w:rsidRPr="001A3F9D" w:rsidRDefault="00C71D6C" w:rsidP="00C71D6C">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Véase RE: P. de la C. 92, documento de 2 páginas</w:t>
      </w:r>
      <w:r w:rsidR="00FD7461" w:rsidRPr="001A3F9D">
        <w:rPr>
          <w:rFonts w:ascii="Book Antiqua" w:hAnsi="Book Antiqua" w:cs="Times New Roman"/>
        </w:rPr>
        <w:t xml:space="preserve"> con fecha d</w:t>
      </w:r>
      <w:r w:rsidRPr="001A3F9D">
        <w:rPr>
          <w:rFonts w:ascii="Book Antiqua" w:hAnsi="Book Antiqua" w:cs="Times New Roman"/>
        </w:rPr>
        <w:t xml:space="preserve">el 7 de octubre de 2025 y suscrito por la Lcda. </w:t>
      </w:r>
      <w:proofErr w:type="spellStart"/>
      <w:r w:rsidRPr="001A3F9D">
        <w:rPr>
          <w:rFonts w:ascii="Book Antiqua" w:hAnsi="Book Antiqua" w:cs="Times New Roman"/>
        </w:rPr>
        <w:t>Zoimé</w:t>
      </w:r>
      <w:proofErr w:type="spellEnd"/>
      <w:r w:rsidRPr="001A3F9D">
        <w:rPr>
          <w:rFonts w:ascii="Book Antiqua" w:hAnsi="Book Antiqua" w:cs="Times New Roman"/>
        </w:rPr>
        <w:t xml:space="preserve"> Álvarez Rubio, </w:t>
      </w:r>
      <w:proofErr w:type="gramStart"/>
      <w:r w:rsidRPr="001A3F9D">
        <w:rPr>
          <w:rFonts w:ascii="Book Antiqua" w:hAnsi="Book Antiqua" w:cs="Times New Roman"/>
        </w:rPr>
        <w:t>Presidenta</w:t>
      </w:r>
      <w:proofErr w:type="gramEnd"/>
      <w:r w:rsidRPr="001A3F9D">
        <w:rPr>
          <w:rFonts w:ascii="Book Antiqua" w:hAnsi="Book Antiqua" w:cs="Times New Roman"/>
        </w:rPr>
        <w:t xml:space="preserve"> y Principal Oficial Ejecutiva. </w:t>
      </w:r>
    </w:p>
  </w:footnote>
  <w:footnote w:id="11">
    <w:p w14:paraId="1198CBB8" w14:textId="0B7AF025" w:rsidR="0081354A" w:rsidRPr="001A3F9D" w:rsidRDefault="0081354A" w:rsidP="003507A8">
      <w:pPr>
        <w:pStyle w:val="FootnoteText"/>
        <w:spacing w:after="60"/>
        <w:jc w:val="both"/>
        <w:rPr>
          <w:rFonts w:ascii="Book Antiqua" w:hAnsi="Book Antiqua" w:cs="Times New Roman"/>
        </w:rPr>
      </w:pPr>
      <w:r w:rsidRPr="001A3F9D">
        <w:rPr>
          <w:rStyle w:val="FootnoteReference"/>
          <w:rFonts w:ascii="Book Antiqua" w:hAnsi="Book Antiqua" w:cs="Times New Roman"/>
        </w:rPr>
        <w:footnoteRef/>
      </w:r>
      <w:r w:rsidRPr="001A3F9D">
        <w:rPr>
          <w:rFonts w:ascii="Book Antiqua" w:hAnsi="Book Antiqua" w:cs="Times New Roman"/>
        </w:rPr>
        <w:t xml:space="preserve"> </w:t>
      </w:r>
      <w:r w:rsidRPr="001A3F9D">
        <w:rPr>
          <w:rFonts w:ascii="Book Antiqua" w:hAnsi="Book Antiqua" w:cs="Times New Roman"/>
          <w:i/>
          <w:iCs/>
        </w:rPr>
        <w:t xml:space="preserve">Véase </w:t>
      </w:r>
      <w:r w:rsidRPr="001A3F9D">
        <w:rPr>
          <w:rFonts w:ascii="Book Antiqua" w:hAnsi="Book Antiqua" w:cs="Times New Roman"/>
        </w:rPr>
        <w:t xml:space="preserve">Artículo 1,526 del Código Civil de Puerto Rico, Ley </w:t>
      </w:r>
      <w:r w:rsidR="00674663" w:rsidRPr="001A3F9D">
        <w:rPr>
          <w:rFonts w:ascii="Book Antiqua" w:hAnsi="Book Antiqua" w:cs="Times New Roman"/>
        </w:rPr>
        <w:t>55-2020, según enmendada, 31 L.P.R.A. § 10771; énfasis nuestro.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16B73B1F"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1E3B25B0"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Informe Positivo sobre el P. de</w:t>
    </w:r>
    <w:r w:rsidR="008F6A47">
      <w:rPr>
        <w:rFonts w:ascii="Book Antiqua" w:hAnsi="Book Antiqua"/>
        <w:color w:val="000000" w:themeColor="text1"/>
        <w:sz w:val="20"/>
        <w:szCs w:val="20"/>
      </w:rPr>
      <w:t xml:space="preserve"> </w:t>
    </w:r>
    <w:r w:rsidRPr="00596BE2">
      <w:rPr>
        <w:rFonts w:ascii="Book Antiqua" w:hAnsi="Book Antiqua"/>
        <w:color w:val="000000" w:themeColor="text1"/>
        <w:sz w:val="20"/>
        <w:szCs w:val="20"/>
      </w:rPr>
      <w:t>l</w:t>
    </w:r>
    <w:r w:rsidR="008F6A47">
      <w:rPr>
        <w:rFonts w:ascii="Book Antiqua" w:hAnsi="Book Antiqua"/>
        <w:color w:val="000000" w:themeColor="text1"/>
        <w:sz w:val="20"/>
        <w:szCs w:val="20"/>
      </w:rPr>
      <w:t>a</w:t>
    </w:r>
    <w:r w:rsidRPr="00596BE2">
      <w:rPr>
        <w:rFonts w:ascii="Book Antiqua" w:hAnsi="Book Antiqua"/>
        <w:color w:val="000000" w:themeColor="text1"/>
        <w:sz w:val="20"/>
        <w:szCs w:val="20"/>
      </w:rPr>
      <w:t xml:space="preserve"> </w:t>
    </w:r>
    <w:r w:rsidR="008F6A47">
      <w:rPr>
        <w:rFonts w:ascii="Book Antiqua" w:hAnsi="Book Antiqua"/>
        <w:color w:val="000000" w:themeColor="text1"/>
        <w:sz w:val="20"/>
        <w:szCs w:val="20"/>
      </w:rPr>
      <w:t>C</w:t>
    </w:r>
    <w:r w:rsidRPr="00596BE2">
      <w:rPr>
        <w:rFonts w:ascii="Book Antiqua" w:hAnsi="Book Antiqua"/>
        <w:color w:val="000000" w:themeColor="text1"/>
        <w:sz w:val="20"/>
        <w:szCs w:val="20"/>
      </w:rPr>
      <w:t xml:space="preserve">. </w:t>
    </w:r>
    <w:r w:rsidR="00184557" w:rsidRPr="00596BE2">
      <w:rPr>
        <w:rFonts w:ascii="Book Antiqua" w:hAnsi="Book Antiqua"/>
        <w:color w:val="000000" w:themeColor="text1"/>
        <w:sz w:val="20"/>
        <w:szCs w:val="20"/>
      </w:rPr>
      <w:t>9</w:t>
    </w:r>
    <w:r w:rsidR="008F6A47">
      <w:rPr>
        <w:rFonts w:ascii="Book Antiqua" w:hAnsi="Book Antiqua"/>
        <w:color w:val="000000" w:themeColor="text1"/>
        <w:sz w:val="20"/>
        <w:szCs w:val="20"/>
      </w:rPr>
      <w:t>2</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36AA"/>
    <w:multiLevelType w:val="hybridMultilevel"/>
    <w:tmpl w:val="F8C40806"/>
    <w:lvl w:ilvl="0" w:tplc="F91E7806">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1"/>
  </w:num>
  <w:num w:numId="2" w16cid:durableId="1817839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04FB8"/>
    <w:rsid w:val="000123A7"/>
    <w:rsid w:val="00017AD0"/>
    <w:rsid w:val="00022258"/>
    <w:rsid w:val="00046A95"/>
    <w:rsid w:val="000478A1"/>
    <w:rsid w:val="00051BB6"/>
    <w:rsid w:val="00053FF1"/>
    <w:rsid w:val="00054CAB"/>
    <w:rsid w:val="0007002A"/>
    <w:rsid w:val="00075469"/>
    <w:rsid w:val="00080799"/>
    <w:rsid w:val="00082DF9"/>
    <w:rsid w:val="00086E81"/>
    <w:rsid w:val="00094886"/>
    <w:rsid w:val="00094EB8"/>
    <w:rsid w:val="000950F5"/>
    <w:rsid w:val="000A6658"/>
    <w:rsid w:val="000A7D17"/>
    <w:rsid w:val="000B0190"/>
    <w:rsid w:val="000B793B"/>
    <w:rsid w:val="000B7E5C"/>
    <w:rsid w:val="000C044E"/>
    <w:rsid w:val="000C247D"/>
    <w:rsid w:val="000D21C5"/>
    <w:rsid w:val="000D2767"/>
    <w:rsid w:val="000D327F"/>
    <w:rsid w:val="000E4787"/>
    <w:rsid w:val="000E60DD"/>
    <w:rsid w:val="000F3837"/>
    <w:rsid w:val="001026C5"/>
    <w:rsid w:val="0012168C"/>
    <w:rsid w:val="00122F2A"/>
    <w:rsid w:val="00130D16"/>
    <w:rsid w:val="001329B0"/>
    <w:rsid w:val="00132E2F"/>
    <w:rsid w:val="001438C7"/>
    <w:rsid w:val="001611C6"/>
    <w:rsid w:val="001631DB"/>
    <w:rsid w:val="00166FF4"/>
    <w:rsid w:val="00171D5D"/>
    <w:rsid w:val="0017485E"/>
    <w:rsid w:val="001748C2"/>
    <w:rsid w:val="0017537D"/>
    <w:rsid w:val="00175D76"/>
    <w:rsid w:val="001816B5"/>
    <w:rsid w:val="00184557"/>
    <w:rsid w:val="0018497D"/>
    <w:rsid w:val="00194C6D"/>
    <w:rsid w:val="00194EC7"/>
    <w:rsid w:val="001964A3"/>
    <w:rsid w:val="001A2997"/>
    <w:rsid w:val="001A3F9D"/>
    <w:rsid w:val="001A5D51"/>
    <w:rsid w:val="001B2E00"/>
    <w:rsid w:val="001B4FE0"/>
    <w:rsid w:val="001C4AC0"/>
    <w:rsid w:val="001C6116"/>
    <w:rsid w:val="001C7784"/>
    <w:rsid w:val="001C7CEB"/>
    <w:rsid w:val="001D31C2"/>
    <w:rsid w:val="001D3FD3"/>
    <w:rsid w:val="001D4AF8"/>
    <w:rsid w:val="001D6BC3"/>
    <w:rsid w:val="001D76BB"/>
    <w:rsid w:val="001E2588"/>
    <w:rsid w:val="001E708B"/>
    <w:rsid w:val="001E7A99"/>
    <w:rsid w:val="001F006D"/>
    <w:rsid w:val="002066EB"/>
    <w:rsid w:val="00213C1F"/>
    <w:rsid w:val="00216FBD"/>
    <w:rsid w:val="00220C5A"/>
    <w:rsid w:val="00221FDC"/>
    <w:rsid w:val="00223530"/>
    <w:rsid w:val="0022774A"/>
    <w:rsid w:val="0023252C"/>
    <w:rsid w:val="002370C3"/>
    <w:rsid w:val="0024374A"/>
    <w:rsid w:val="0024457E"/>
    <w:rsid w:val="00256E2B"/>
    <w:rsid w:val="002602E9"/>
    <w:rsid w:val="0026515A"/>
    <w:rsid w:val="00271959"/>
    <w:rsid w:val="0027307E"/>
    <w:rsid w:val="00275EDA"/>
    <w:rsid w:val="00280ED5"/>
    <w:rsid w:val="00284CFA"/>
    <w:rsid w:val="00290FF0"/>
    <w:rsid w:val="002C0E5E"/>
    <w:rsid w:val="002C7622"/>
    <w:rsid w:val="002D29FE"/>
    <w:rsid w:val="002D2C02"/>
    <w:rsid w:val="002D2CD2"/>
    <w:rsid w:val="002E0629"/>
    <w:rsid w:val="002E251E"/>
    <w:rsid w:val="002E39A4"/>
    <w:rsid w:val="002E4C8F"/>
    <w:rsid w:val="002E6C03"/>
    <w:rsid w:val="002F1EBA"/>
    <w:rsid w:val="002F2C24"/>
    <w:rsid w:val="002F4512"/>
    <w:rsid w:val="002F6ABB"/>
    <w:rsid w:val="002F6C59"/>
    <w:rsid w:val="0030106C"/>
    <w:rsid w:val="00312D59"/>
    <w:rsid w:val="0032132D"/>
    <w:rsid w:val="00323C97"/>
    <w:rsid w:val="00325DB0"/>
    <w:rsid w:val="003263A0"/>
    <w:rsid w:val="0033510C"/>
    <w:rsid w:val="00337B2D"/>
    <w:rsid w:val="00346EB0"/>
    <w:rsid w:val="003507A8"/>
    <w:rsid w:val="00352CB7"/>
    <w:rsid w:val="00354E0A"/>
    <w:rsid w:val="00361B08"/>
    <w:rsid w:val="00363CE5"/>
    <w:rsid w:val="003700EA"/>
    <w:rsid w:val="0037215D"/>
    <w:rsid w:val="00374367"/>
    <w:rsid w:val="00381831"/>
    <w:rsid w:val="00387E0F"/>
    <w:rsid w:val="003A31BA"/>
    <w:rsid w:val="003A3E51"/>
    <w:rsid w:val="003B60FC"/>
    <w:rsid w:val="003B686A"/>
    <w:rsid w:val="003C58BC"/>
    <w:rsid w:val="003D1FB7"/>
    <w:rsid w:val="003D3C6C"/>
    <w:rsid w:val="003D53C5"/>
    <w:rsid w:val="003E382E"/>
    <w:rsid w:val="003E67EB"/>
    <w:rsid w:val="003F0737"/>
    <w:rsid w:val="004060F2"/>
    <w:rsid w:val="0041310F"/>
    <w:rsid w:val="00413D5D"/>
    <w:rsid w:val="00415027"/>
    <w:rsid w:val="0041671E"/>
    <w:rsid w:val="004200F5"/>
    <w:rsid w:val="00423DC5"/>
    <w:rsid w:val="0042462A"/>
    <w:rsid w:val="00430435"/>
    <w:rsid w:val="00431ABA"/>
    <w:rsid w:val="00432F45"/>
    <w:rsid w:val="00440179"/>
    <w:rsid w:val="00454C34"/>
    <w:rsid w:val="00462E85"/>
    <w:rsid w:val="00470D01"/>
    <w:rsid w:val="00472D17"/>
    <w:rsid w:val="0047321C"/>
    <w:rsid w:val="00473356"/>
    <w:rsid w:val="00474CED"/>
    <w:rsid w:val="00485B68"/>
    <w:rsid w:val="004875A6"/>
    <w:rsid w:val="00494824"/>
    <w:rsid w:val="0049497C"/>
    <w:rsid w:val="004A4966"/>
    <w:rsid w:val="004B3612"/>
    <w:rsid w:val="004B7BC5"/>
    <w:rsid w:val="004B7F02"/>
    <w:rsid w:val="004C7DF0"/>
    <w:rsid w:val="004D1F54"/>
    <w:rsid w:val="004D490B"/>
    <w:rsid w:val="004E19DF"/>
    <w:rsid w:val="004E1F63"/>
    <w:rsid w:val="004E5DD5"/>
    <w:rsid w:val="004E7C04"/>
    <w:rsid w:val="004F0106"/>
    <w:rsid w:val="004F6B62"/>
    <w:rsid w:val="0050212C"/>
    <w:rsid w:val="0050459A"/>
    <w:rsid w:val="0050497D"/>
    <w:rsid w:val="005068C7"/>
    <w:rsid w:val="00514065"/>
    <w:rsid w:val="00520467"/>
    <w:rsid w:val="00520983"/>
    <w:rsid w:val="00521CF4"/>
    <w:rsid w:val="0052276F"/>
    <w:rsid w:val="00523CD4"/>
    <w:rsid w:val="005370D4"/>
    <w:rsid w:val="005421C7"/>
    <w:rsid w:val="0054260A"/>
    <w:rsid w:val="00543B62"/>
    <w:rsid w:val="0054426C"/>
    <w:rsid w:val="0054495D"/>
    <w:rsid w:val="005454A4"/>
    <w:rsid w:val="00553550"/>
    <w:rsid w:val="00554419"/>
    <w:rsid w:val="00555619"/>
    <w:rsid w:val="005600B5"/>
    <w:rsid w:val="005642D7"/>
    <w:rsid w:val="00576B49"/>
    <w:rsid w:val="00596BE2"/>
    <w:rsid w:val="005A0B54"/>
    <w:rsid w:val="005A7759"/>
    <w:rsid w:val="005B37F4"/>
    <w:rsid w:val="005B45A3"/>
    <w:rsid w:val="005B777C"/>
    <w:rsid w:val="005C229C"/>
    <w:rsid w:val="005C5E7E"/>
    <w:rsid w:val="005C751E"/>
    <w:rsid w:val="005D1528"/>
    <w:rsid w:val="005D1A8C"/>
    <w:rsid w:val="005D1AEB"/>
    <w:rsid w:val="005D2330"/>
    <w:rsid w:val="005D3761"/>
    <w:rsid w:val="005D476C"/>
    <w:rsid w:val="005D624F"/>
    <w:rsid w:val="005D6D77"/>
    <w:rsid w:val="005E301A"/>
    <w:rsid w:val="005E522F"/>
    <w:rsid w:val="005F5DD0"/>
    <w:rsid w:val="0060083D"/>
    <w:rsid w:val="0060274C"/>
    <w:rsid w:val="006124BA"/>
    <w:rsid w:val="00614D56"/>
    <w:rsid w:val="00616F9E"/>
    <w:rsid w:val="00622536"/>
    <w:rsid w:val="00626B12"/>
    <w:rsid w:val="00627A5F"/>
    <w:rsid w:val="00634425"/>
    <w:rsid w:val="0064047B"/>
    <w:rsid w:val="00642036"/>
    <w:rsid w:val="0064393B"/>
    <w:rsid w:val="00646A27"/>
    <w:rsid w:val="00660387"/>
    <w:rsid w:val="0066218A"/>
    <w:rsid w:val="006627B0"/>
    <w:rsid w:val="0066292D"/>
    <w:rsid w:val="00674663"/>
    <w:rsid w:val="00675A79"/>
    <w:rsid w:val="006929BA"/>
    <w:rsid w:val="006A1B89"/>
    <w:rsid w:val="006B0738"/>
    <w:rsid w:val="006B2F7F"/>
    <w:rsid w:val="006B6EF4"/>
    <w:rsid w:val="006C7193"/>
    <w:rsid w:val="006D2817"/>
    <w:rsid w:val="006D41A9"/>
    <w:rsid w:val="006E1D40"/>
    <w:rsid w:val="006E4E32"/>
    <w:rsid w:val="006E661F"/>
    <w:rsid w:val="0070240A"/>
    <w:rsid w:val="00702C2F"/>
    <w:rsid w:val="00722157"/>
    <w:rsid w:val="007222D4"/>
    <w:rsid w:val="0073195E"/>
    <w:rsid w:val="00733520"/>
    <w:rsid w:val="00733762"/>
    <w:rsid w:val="00733F25"/>
    <w:rsid w:val="007344AE"/>
    <w:rsid w:val="00735F93"/>
    <w:rsid w:val="00752AF3"/>
    <w:rsid w:val="007579EF"/>
    <w:rsid w:val="007619AC"/>
    <w:rsid w:val="007710DB"/>
    <w:rsid w:val="007764EE"/>
    <w:rsid w:val="00780C15"/>
    <w:rsid w:val="00780C3D"/>
    <w:rsid w:val="00782E3E"/>
    <w:rsid w:val="00783C07"/>
    <w:rsid w:val="007868EB"/>
    <w:rsid w:val="00787242"/>
    <w:rsid w:val="007903E4"/>
    <w:rsid w:val="007906FD"/>
    <w:rsid w:val="0079308C"/>
    <w:rsid w:val="00795487"/>
    <w:rsid w:val="00797DCA"/>
    <w:rsid w:val="007A0B50"/>
    <w:rsid w:val="007A638F"/>
    <w:rsid w:val="007A795F"/>
    <w:rsid w:val="007B10CC"/>
    <w:rsid w:val="007B459B"/>
    <w:rsid w:val="007C09AB"/>
    <w:rsid w:val="007C345E"/>
    <w:rsid w:val="007C47B6"/>
    <w:rsid w:val="007C7333"/>
    <w:rsid w:val="007D1EE1"/>
    <w:rsid w:val="007D235D"/>
    <w:rsid w:val="007D4A76"/>
    <w:rsid w:val="007F0030"/>
    <w:rsid w:val="007F2DE8"/>
    <w:rsid w:val="007F6E0F"/>
    <w:rsid w:val="008018DC"/>
    <w:rsid w:val="00806AF5"/>
    <w:rsid w:val="00807506"/>
    <w:rsid w:val="0081089E"/>
    <w:rsid w:val="0081354A"/>
    <w:rsid w:val="00814E8F"/>
    <w:rsid w:val="008212EF"/>
    <w:rsid w:val="00827518"/>
    <w:rsid w:val="00830B26"/>
    <w:rsid w:val="00836A47"/>
    <w:rsid w:val="008375B9"/>
    <w:rsid w:val="00841AAB"/>
    <w:rsid w:val="00842711"/>
    <w:rsid w:val="00844BDC"/>
    <w:rsid w:val="00847B58"/>
    <w:rsid w:val="00850F76"/>
    <w:rsid w:val="008552A4"/>
    <w:rsid w:val="00855E37"/>
    <w:rsid w:val="00864B96"/>
    <w:rsid w:val="00865869"/>
    <w:rsid w:val="00870A6E"/>
    <w:rsid w:val="008718F1"/>
    <w:rsid w:val="00876060"/>
    <w:rsid w:val="00885228"/>
    <w:rsid w:val="00887102"/>
    <w:rsid w:val="00890E16"/>
    <w:rsid w:val="008926C6"/>
    <w:rsid w:val="00892FFE"/>
    <w:rsid w:val="008944CA"/>
    <w:rsid w:val="008A4A80"/>
    <w:rsid w:val="008B1974"/>
    <w:rsid w:val="008B1CD0"/>
    <w:rsid w:val="008C08E7"/>
    <w:rsid w:val="008C1CAB"/>
    <w:rsid w:val="008C2397"/>
    <w:rsid w:val="008C4BB3"/>
    <w:rsid w:val="008C6A66"/>
    <w:rsid w:val="008D0970"/>
    <w:rsid w:val="008D1B75"/>
    <w:rsid w:val="008D564F"/>
    <w:rsid w:val="008D6DB1"/>
    <w:rsid w:val="008F4472"/>
    <w:rsid w:val="008F6934"/>
    <w:rsid w:val="008F6A47"/>
    <w:rsid w:val="00906D3C"/>
    <w:rsid w:val="00915AE3"/>
    <w:rsid w:val="00917900"/>
    <w:rsid w:val="009215F3"/>
    <w:rsid w:val="00921F97"/>
    <w:rsid w:val="00925A42"/>
    <w:rsid w:val="00930E1C"/>
    <w:rsid w:val="00932991"/>
    <w:rsid w:val="0094140E"/>
    <w:rsid w:val="00942F6F"/>
    <w:rsid w:val="0094560B"/>
    <w:rsid w:val="00952CE4"/>
    <w:rsid w:val="009538CD"/>
    <w:rsid w:val="0096677D"/>
    <w:rsid w:val="0097159A"/>
    <w:rsid w:val="00972BED"/>
    <w:rsid w:val="00976CBD"/>
    <w:rsid w:val="009813DE"/>
    <w:rsid w:val="0098305E"/>
    <w:rsid w:val="00986210"/>
    <w:rsid w:val="00986AF0"/>
    <w:rsid w:val="009972FC"/>
    <w:rsid w:val="00997612"/>
    <w:rsid w:val="00997BD4"/>
    <w:rsid w:val="009A1AFC"/>
    <w:rsid w:val="009A2FD7"/>
    <w:rsid w:val="009A4B69"/>
    <w:rsid w:val="009B1761"/>
    <w:rsid w:val="009B68E0"/>
    <w:rsid w:val="009C277E"/>
    <w:rsid w:val="009C2BB0"/>
    <w:rsid w:val="009E0317"/>
    <w:rsid w:val="009E30C9"/>
    <w:rsid w:val="009F1235"/>
    <w:rsid w:val="009F248A"/>
    <w:rsid w:val="009F6819"/>
    <w:rsid w:val="00A00AAC"/>
    <w:rsid w:val="00A1366A"/>
    <w:rsid w:val="00A15255"/>
    <w:rsid w:val="00A174F1"/>
    <w:rsid w:val="00A21B9B"/>
    <w:rsid w:val="00A21EB9"/>
    <w:rsid w:val="00A3295F"/>
    <w:rsid w:val="00A41239"/>
    <w:rsid w:val="00A43A92"/>
    <w:rsid w:val="00A47675"/>
    <w:rsid w:val="00A566F2"/>
    <w:rsid w:val="00A66530"/>
    <w:rsid w:val="00A674E2"/>
    <w:rsid w:val="00A70362"/>
    <w:rsid w:val="00A73B2D"/>
    <w:rsid w:val="00A862AA"/>
    <w:rsid w:val="00A86D30"/>
    <w:rsid w:val="00A91360"/>
    <w:rsid w:val="00A91737"/>
    <w:rsid w:val="00AB014D"/>
    <w:rsid w:val="00AB28BD"/>
    <w:rsid w:val="00AB4D6E"/>
    <w:rsid w:val="00AB646A"/>
    <w:rsid w:val="00AB7391"/>
    <w:rsid w:val="00AC142C"/>
    <w:rsid w:val="00AC1652"/>
    <w:rsid w:val="00AC33BA"/>
    <w:rsid w:val="00AD38AD"/>
    <w:rsid w:val="00AE0796"/>
    <w:rsid w:val="00AE37B8"/>
    <w:rsid w:val="00AF0518"/>
    <w:rsid w:val="00AF197E"/>
    <w:rsid w:val="00AF1BCE"/>
    <w:rsid w:val="00AF5535"/>
    <w:rsid w:val="00AF5CCA"/>
    <w:rsid w:val="00B00D90"/>
    <w:rsid w:val="00B02888"/>
    <w:rsid w:val="00B05E6E"/>
    <w:rsid w:val="00B076E4"/>
    <w:rsid w:val="00B11575"/>
    <w:rsid w:val="00B24582"/>
    <w:rsid w:val="00B255AE"/>
    <w:rsid w:val="00B304BF"/>
    <w:rsid w:val="00B30804"/>
    <w:rsid w:val="00B40133"/>
    <w:rsid w:val="00B4014A"/>
    <w:rsid w:val="00B45017"/>
    <w:rsid w:val="00B54769"/>
    <w:rsid w:val="00B570AD"/>
    <w:rsid w:val="00B637AA"/>
    <w:rsid w:val="00B66CC0"/>
    <w:rsid w:val="00B86123"/>
    <w:rsid w:val="00B9040C"/>
    <w:rsid w:val="00B90F2F"/>
    <w:rsid w:val="00B91F7D"/>
    <w:rsid w:val="00B930B4"/>
    <w:rsid w:val="00B94484"/>
    <w:rsid w:val="00B94BE4"/>
    <w:rsid w:val="00B952BB"/>
    <w:rsid w:val="00BA73C4"/>
    <w:rsid w:val="00BA7431"/>
    <w:rsid w:val="00BB1B86"/>
    <w:rsid w:val="00BD08B2"/>
    <w:rsid w:val="00BD2FA5"/>
    <w:rsid w:val="00BE7EF3"/>
    <w:rsid w:val="00BF49D3"/>
    <w:rsid w:val="00C026B1"/>
    <w:rsid w:val="00C045AD"/>
    <w:rsid w:val="00C04CC8"/>
    <w:rsid w:val="00C12C92"/>
    <w:rsid w:val="00C13A0F"/>
    <w:rsid w:val="00C174F2"/>
    <w:rsid w:val="00C25BD3"/>
    <w:rsid w:val="00C25EC3"/>
    <w:rsid w:val="00C32489"/>
    <w:rsid w:val="00C33B71"/>
    <w:rsid w:val="00C35E26"/>
    <w:rsid w:val="00C404DA"/>
    <w:rsid w:val="00C43639"/>
    <w:rsid w:val="00C46CA3"/>
    <w:rsid w:val="00C511CA"/>
    <w:rsid w:val="00C51648"/>
    <w:rsid w:val="00C56CCC"/>
    <w:rsid w:val="00C672C4"/>
    <w:rsid w:val="00C71D6C"/>
    <w:rsid w:val="00C80B87"/>
    <w:rsid w:val="00C84BA1"/>
    <w:rsid w:val="00C90319"/>
    <w:rsid w:val="00C96E42"/>
    <w:rsid w:val="00CA1477"/>
    <w:rsid w:val="00CA6538"/>
    <w:rsid w:val="00CA6C7F"/>
    <w:rsid w:val="00CB04C8"/>
    <w:rsid w:val="00CC04BA"/>
    <w:rsid w:val="00CC3182"/>
    <w:rsid w:val="00CC63CC"/>
    <w:rsid w:val="00CD13FF"/>
    <w:rsid w:val="00CD26ED"/>
    <w:rsid w:val="00CD2A67"/>
    <w:rsid w:val="00CD45E8"/>
    <w:rsid w:val="00CD4E2A"/>
    <w:rsid w:val="00CD7B7D"/>
    <w:rsid w:val="00CE60EA"/>
    <w:rsid w:val="00CE70C8"/>
    <w:rsid w:val="00CE71B0"/>
    <w:rsid w:val="00CF2CCE"/>
    <w:rsid w:val="00D0622F"/>
    <w:rsid w:val="00D12EC0"/>
    <w:rsid w:val="00D13460"/>
    <w:rsid w:val="00D14364"/>
    <w:rsid w:val="00D207AE"/>
    <w:rsid w:val="00D22FE5"/>
    <w:rsid w:val="00D24E27"/>
    <w:rsid w:val="00D34DF4"/>
    <w:rsid w:val="00D376B8"/>
    <w:rsid w:val="00D53AD5"/>
    <w:rsid w:val="00D551E3"/>
    <w:rsid w:val="00D61C11"/>
    <w:rsid w:val="00D656A4"/>
    <w:rsid w:val="00D67D2D"/>
    <w:rsid w:val="00D72988"/>
    <w:rsid w:val="00D84A1E"/>
    <w:rsid w:val="00DB5A55"/>
    <w:rsid w:val="00DC0300"/>
    <w:rsid w:val="00DC1042"/>
    <w:rsid w:val="00DC15F6"/>
    <w:rsid w:val="00DD7CAC"/>
    <w:rsid w:val="00DE497F"/>
    <w:rsid w:val="00DF43E5"/>
    <w:rsid w:val="00DF5E46"/>
    <w:rsid w:val="00E05BCB"/>
    <w:rsid w:val="00E06CFC"/>
    <w:rsid w:val="00E16686"/>
    <w:rsid w:val="00E27056"/>
    <w:rsid w:val="00E31BC7"/>
    <w:rsid w:val="00E32293"/>
    <w:rsid w:val="00E32F39"/>
    <w:rsid w:val="00E334E1"/>
    <w:rsid w:val="00E43546"/>
    <w:rsid w:val="00E45F83"/>
    <w:rsid w:val="00E46137"/>
    <w:rsid w:val="00E470EF"/>
    <w:rsid w:val="00E477C5"/>
    <w:rsid w:val="00E47DCA"/>
    <w:rsid w:val="00E5558C"/>
    <w:rsid w:val="00E64325"/>
    <w:rsid w:val="00E7554A"/>
    <w:rsid w:val="00E86449"/>
    <w:rsid w:val="00E869F5"/>
    <w:rsid w:val="00E87890"/>
    <w:rsid w:val="00E90136"/>
    <w:rsid w:val="00E9683D"/>
    <w:rsid w:val="00EA3110"/>
    <w:rsid w:val="00EA38F2"/>
    <w:rsid w:val="00EA468B"/>
    <w:rsid w:val="00EA54BA"/>
    <w:rsid w:val="00EB2FF5"/>
    <w:rsid w:val="00EB3FF1"/>
    <w:rsid w:val="00EB6104"/>
    <w:rsid w:val="00EC13D2"/>
    <w:rsid w:val="00EC6553"/>
    <w:rsid w:val="00ED21C4"/>
    <w:rsid w:val="00ED63F6"/>
    <w:rsid w:val="00EE6BCE"/>
    <w:rsid w:val="00EF373F"/>
    <w:rsid w:val="00EF729A"/>
    <w:rsid w:val="00F0085A"/>
    <w:rsid w:val="00F137D7"/>
    <w:rsid w:val="00F13DD0"/>
    <w:rsid w:val="00F323F0"/>
    <w:rsid w:val="00F34398"/>
    <w:rsid w:val="00F34CEB"/>
    <w:rsid w:val="00F34E86"/>
    <w:rsid w:val="00F36195"/>
    <w:rsid w:val="00F403D7"/>
    <w:rsid w:val="00F438AA"/>
    <w:rsid w:val="00F54838"/>
    <w:rsid w:val="00F54AD1"/>
    <w:rsid w:val="00F55EFB"/>
    <w:rsid w:val="00F72BE9"/>
    <w:rsid w:val="00F73649"/>
    <w:rsid w:val="00F75AF1"/>
    <w:rsid w:val="00F82BDE"/>
    <w:rsid w:val="00F8456C"/>
    <w:rsid w:val="00F86F54"/>
    <w:rsid w:val="00F956D9"/>
    <w:rsid w:val="00FA18AC"/>
    <w:rsid w:val="00FA25D1"/>
    <w:rsid w:val="00FA2F84"/>
    <w:rsid w:val="00FA7206"/>
    <w:rsid w:val="00FB2E53"/>
    <w:rsid w:val="00FB7D24"/>
    <w:rsid w:val="00FC3809"/>
    <w:rsid w:val="00FC4B78"/>
    <w:rsid w:val="00FC7C98"/>
    <w:rsid w:val="00FD15C6"/>
    <w:rsid w:val="00FD1A4E"/>
    <w:rsid w:val="00FD2128"/>
    <w:rsid w:val="00FD7461"/>
    <w:rsid w:val="00FE0E82"/>
    <w:rsid w:val="00FE6119"/>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2.xml><?xml version="1.0" encoding="utf-8"?>
<ds:datastoreItem xmlns:ds="http://schemas.openxmlformats.org/officeDocument/2006/customXml" ds:itemID="{587E1E57-8575-4562-B8D3-EF13E6648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customXml/itemProps4.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1912</Words>
  <Characters>9776</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2026-01-13T16:10:00Z</cp:lastPrinted>
  <dcterms:created xsi:type="dcterms:W3CDTF">2026-01-13T19:22:00Z</dcterms:created>
  <dcterms:modified xsi:type="dcterms:W3CDTF">2026-01-13T19:22:00Z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ies>
</file>