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7CD3" w14:textId="30AED09B" w:rsidR="00F2719B" w:rsidRPr="00432F13" w:rsidRDefault="005D25A6" w:rsidP="0035645A">
      <w:pPr>
        <w:suppressLineNumbers/>
        <w:jc w:val="center"/>
        <w:rPr>
          <w:rFonts w:ascii="Book Antiqua" w:hAnsi="Book Antiqua" w:cs="Book Antiqua"/>
          <w:sz w:val="28"/>
          <w:szCs w:val="28"/>
          <w:lang w:val="es-ES_tradnl"/>
        </w:rPr>
      </w:pPr>
      <w:r>
        <w:rPr>
          <w:rFonts w:ascii="Book Antiqua" w:hAnsi="Book Antiqua" w:cs="Book Antiqua"/>
          <w:sz w:val="28"/>
          <w:szCs w:val="28"/>
          <w:lang w:val="es-ES_tradnl"/>
        </w:rPr>
        <w:t>GOBIERNO DE PUERTO RICO</w:t>
      </w:r>
    </w:p>
    <w:p w14:paraId="7B826A0A" w14:textId="77777777" w:rsidR="00F2719B" w:rsidRPr="00432F13" w:rsidRDefault="00F2719B" w:rsidP="0035645A">
      <w:pPr>
        <w:suppressLineNumbers/>
        <w:jc w:val="center"/>
        <w:rPr>
          <w:rFonts w:ascii="Book Antiqua" w:hAnsi="Book Antiqua" w:cs="Book Antiqua"/>
          <w:lang w:val="es-ES_tradnl"/>
        </w:rPr>
      </w:pPr>
    </w:p>
    <w:p w14:paraId="552AF519" w14:textId="2035D0E6" w:rsidR="00F2719B" w:rsidRPr="00432F13" w:rsidRDefault="006D7419" w:rsidP="0035645A">
      <w:pPr>
        <w:pStyle w:val="Title2"/>
        <w:suppressLineNumbers/>
        <w:tabs>
          <w:tab w:val="clear" w:pos="648"/>
          <w:tab w:val="clear" w:pos="7776"/>
          <w:tab w:val="clear" w:pos="7848"/>
        </w:tabs>
        <w:jc w:val="both"/>
        <w:rPr>
          <w:rFonts w:ascii="Book Antiqua" w:hAnsi="Book Antiqua" w:cs="Book Antiqua"/>
          <w:lang w:val="es-ES_tradnl"/>
        </w:rPr>
      </w:pPr>
      <w:r w:rsidRPr="00432F13">
        <w:rPr>
          <w:rFonts w:ascii="Book Antiqua" w:hAnsi="Book Antiqua" w:cs="Book Antiqua"/>
          <w:lang w:val="es-ES_tradnl"/>
        </w:rPr>
        <w:t>20m</w:t>
      </w:r>
      <w:r w:rsidR="001B02FC" w:rsidRPr="00432F13">
        <w:rPr>
          <w:rFonts w:ascii="Book Antiqua" w:hAnsi="Book Antiqua" w:cs="Book Antiqua"/>
          <w:lang w:val="es-ES_tradnl"/>
        </w:rPr>
        <w:t>a.</w:t>
      </w:r>
      <w:r w:rsidR="00F2719B" w:rsidRPr="00432F13">
        <w:rPr>
          <w:rFonts w:ascii="Book Antiqua" w:hAnsi="Book Antiqua" w:cs="Book Antiqua"/>
          <w:lang w:val="es-ES_tradnl"/>
        </w:rPr>
        <w:t xml:space="preserve"> Asamblea</w:t>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r>
      <w:r w:rsidR="00F2719B" w:rsidRPr="00432F13">
        <w:rPr>
          <w:rFonts w:ascii="Book Antiqua" w:hAnsi="Book Antiqua" w:cs="Book Antiqua"/>
          <w:lang w:val="es-ES_tradnl"/>
        </w:rPr>
        <w:tab/>
        <w:t xml:space="preserve">          </w:t>
      </w:r>
      <w:r w:rsidR="001B02FC" w:rsidRPr="00432F13">
        <w:rPr>
          <w:rFonts w:ascii="Book Antiqua" w:hAnsi="Book Antiqua" w:cs="Book Antiqua"/>
          <w:lang w:val="es-ES_tradnl"/>
        </w:rPr>
        <w:t xml:space="preserve"> </w:t>
      </w:r>
      <w:r w:rsidR="002E4C70" w:rsidRPr="00432F13">
        <w:rPr>
          <w:rFonts w:ascii="Book Antiqua" w:hAnsi="Book Antiqua" w:cs="Book Antiqua"/>
          <w:lang w:val="es-ES_tradnl"/>
        </w:rPr>
        <w:t>1</w:t>
      </w:r>
      <w:r w:rsidR="001B02FC" w:rsidRPr="00432F13">
        <w:rPr>
          <w:rFonts w:ascii="Book Antiqua" w:hAnsi="Book Antiqua" w:cs="Book Antiqua"/>
          <w:lang w:val="es-ES_tradnl"/>
        </w:rPr>
        <w:t xml:space="preserve">ra. </w:t>
      </w:r>
      <w:r w:rsidR="00F2719B" w:rsidRPr="00432F13">
        <w:rPr>
          <w:rFonts w:ascii="Book Antiqua" w:hAnsi="Book Antiqua" w:cs="Book Antiqua"/>
          <w:lang w:val="es-ES_tradnl"/>
        </w:rPr>
        <w:t>Sesión</w:t>
      </w:r>
    </w:p>
    <w:p w14:paraId="6C099679" w14:textId="77777777" w:rsidR="00F2719B" w:rsidRPr="00432F13" w:rsidRDefault="00F2719B" w:rsidP="0035645A">
      <w:pPr>
        <w:pStyle w:val="Title2"/>
        <w:suppressLineNumbers/>
        <w:tabs>
          <w:tab w:val="clear" w:pos="648"/>
          <w:tab w:val="clear" w:pos="7776"/>
          <w:tab w:val="clear" w:pos="7848"/>
        </w:tabs>
        <w:jc w:val="both"/>
        <w:rPr>
          <w:rFonts w:ascii="Book Antiqua" w:hAnsi="Book Antiqua" w:cs="Book Antiqua"/>
          <w:lang w:val="es-ES_tradnl"/>
        </w:rPr>
      </w:pPr>
      <w:r w:rsidRPr="00432F13">
        <w:rPr>
          <w:rFonts w:ascii="Book Antiqua" w:hAnsi="Book Antiqua" w:cs="Book Antiqua"/>
          <w:lang w:val="es-ES_tradnl"/>
        </w:rPr>
        <w:t xml:space="preserve">          Legislativa</w:t>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r>
      <w:r w:rsidRPr="00432F13">
        <w:rPr>
          <w:rFonts w:ascii="Book Antiqua" w:hAnsi="Book Antiqua" w:cs="Book Antiqua"/>
          <w:lang w:val="es-ES_tradnl"/>
        </w:rPr>
        <w:tab/>
        <w:t xml:space="preserve">    </w:t>
      </w:r>
      <w:r w:rsidR="001B02FC" w:rsidRPr="00432F13">
        <w:rPr>
          <w:rFonts w:ascii="Book Antiqua" w:hAnsi="Book Antiqua" w:cs="Book Antiqua"/>
          <w:lang w:val="es-ES_tradnl"/>
        </w:rPr>
        <w:t xml:space="preserve">  </w:t>
      </w:r>
      <w:r w:rsidRPr="00432F13">
        <w:rPr>
          <w:rFonts w:ascii="Book Antiqua" w:hAnsi="Book Antiqua" w:cs="Book Antiqua"/>
          <w:lang w:val="es-ES_tradnl"/>
        </w:rPr>
        <w:t>Ordinaria</w:t>
      </w:r>
    </w:p>
    <w:p w14:paraId="46DE8A5B" w14:textId="77777777" w:rsidR="00F2719B" w:rsidRPr="00432F13" w:rsidRDefault="00F2719B" w:rsidP="0035645A">
      <w:pPr>
        <w:suppressLineNumbers/>
        <w:jc w:val="both"/>
        <w:rPr>
          <w:rFonts w:ascii="Book Antiqua" w:hAnsi="Book Antiqua" w:cs="Book Antiqua"/>
          <w:lang w:val="es-ES_tradnl"/>
        </w:rPr>
      </w:pPr>
    </w:p>
    <w:p w14:paraId="626E9C33" w14:textId="77777777" w:rsidR="00F2719B" w:rsidRPr="00432F13" w:rsidRDefault="00F2719B" w:rsidP="0035645A">
      <w:pPr>
        <w:suppressLineNumbers/>
        <w:jc w:val="center"/>
        <w:rPr>
          <w:rFonts w:ascii="Book Antiqua" w:hAnsi="Book Antiqua" w:cs="Book Antiqua"/>
          <w:b/>
          <w:bCs/>
          <w:sz w:val="36"/>
          <w:szCs w:val="36"/>
          <w:lang w:val="es-ES_tradnl"/>
        </w:rPr>
      </w:pPr>
      <w:r w:rsidRPr="00432F13">
        <w:rPr>
          <w:rFonts w:ascii="Book Antiqua" w:hAnsi="Book Antiqua" w:cs="Book Antiqua"/>
          <w:b/>
          <w:bCs/>
          <w:sz w:val="36"/>
          <w:szCs w:val="36"/>
          <w:lang w:val="es-ES_tradnl"/>
        </w:rPr>
        <w:t>CÁMARA DE REPRESENTANTES</w:t>
      </w:r>
    </w:p>
    <w:p w14:paraId="486B33E2" w14:textId="77777777" w:rsidR="00F2719B" w:rsidRPr="00432F13" w:rsidRDefault="00F2719B" w:rsidP="0035645A">
      <w:pPr>
        <w:suppressLineNumbers/>
        <w:jc w:val="center"/>
        <w:rPr>
          <w:rFonts w:ascii="Book Antiqua" w:hAnsi="Book Antiqua" w:cs="Book Antiqua"/>
          <w:b/>
          <w:bCs/>
          <w:lang w:val="es-ES_tradnl"/>
        </w:rPr>
      </w:pPr>
    </w:p>
    <w:p w14:paraId="53B23965" w14:textId="06C3E711" w:rsidR="00F2719B" w:rsidRDefault="00F2719B" w:rsidP="0035645A">
      <w:pPr>
        <w:suppressLineNumbers/>
        <w:jc w:val="center"/>
        <w:rPr>
          <w:rFonts w:ascii="Book Antiqua" w:hAnsi="Book Antiqua" w:cs="Book Antiqua"/>
          <w:b/>
          <w:bCs/>
          <w:sz w:val="52"/>
          <w:szCs w:val="52"/>
          <w:lang w:val="es-ES_tradnl"/>
        </w:rPr>
      </w:pPr>
      <w:r w:rsidRPr="00432F13">
        <w:rPr>
          <w:rFonts w:ascii="Book Antiqua" w:hAnsi="Book Antiqua" w:cs="Book Antiqua"/>
          <w:b/>
          <w:bCs/>
          <w:sz w:val="52"/>
          <w:szCs w:val="52"/>
          <w:lang w:val="es-ES_tradnl"/>
        </w:rPr>
        <w:t>P. de la C.</w:t>
      </w:r>
      <w:r w:rsidR="00461150" w:rsidRPr="00432F13">
        <w:rPr>
          <w:rFonts w:ascii="Book Antiqua" w:hAnsi="Book Antiqua" w:cs="Book Antiqua"/>
          <w:b/>
          <w:bCs/>
          <w:sz w:val="52"/>
          <w:szCs w:val="52"/>
          <w:lang w:val="es-ES_tradnl"/>
        </w:rPr>
        <w:t xml:space="preserve"> </w:t>
      </w:r>
      <w:r w:rsidR="00195313">
        <w:rPr>
          <w:rFonts w:ascii="Book Antiqua" w:hAnsi="Book Antiqua" w:cs="Book Antiqua"/>
          <w:b/>
          <w:bCs/>
          <w:sz w:val="52"/>
          <w:szCs w:val="52"/>
          <w:lang w:val="es-ES_tradnl"/>
        </w:rPr>
        <w:t>94</w:t>
      </w:r>
    </w:p>
    <w:p w14:paraId="0769D6A4" w14:textId="77777777" w:rsidR="00730BEF" w:rsidRDefault="00730BEF" w:rsidP="0035645A">
      <w:pPr>
        <w:suppressLineNumbers/>
        <w:jc w:val="center"/>
        <w:rPr>
          <w:rFonts w:ascii="Book Antiqua" w:hAnsi="Book Antiqua" w:cs="Book Antiqua"/>
          <w:b/>
          <w:bCs/>
          <w:lang w:val="es-ES_tradnl"/>
        </w:rPr>
      </w:pPr>
    </w:p>
    <w:p w14:paraId="6FB4492F" w14:textId="0955B5DA" w:rsidR="00F2719B" w:rsidRPr="00432F13" w:rsidRDefault="00A05267" w:rsidP="0035645A">
      <w:pPr>
        <w:suppressLineNumbers/>
        <w:jc w:val="center"/>
        <w:rPr>
          <w:rFonts w:ascii="Book Antiqua" w:hAnsi="Book Antiqua" w:cs="Book Antiqua"/>
          <w:lang w:val="es-ES_tradnl"/>
        </w:rPr>
      </w:pPr>
      <w:r w:rsidRPr="00432F13">
        <w:rPr>
          <w:rFonts w:ascii="Book Antiqua" w:hAnsi="Book Antiqua" w:cs="Book Antiqua"/>
          <w:lang w:val="es-ES_tradnl"/>
        </w:rPr>
        <w:t>2</w:t>
      </w:r>
      <w:r w:rsidR="00F2719B" w:rsidRPr="00432F13">
        <w:rPr>
          <w:rFonts w:ascii="Book Antiqua" w:hAnsi="Book Antiqua" w:cs="Book Antiqua"/>
          <w:lang w:val="es-ES_tradnl"/>
        </w:rPr>
        <w:t xml:space="preserve"> DE </w:t>
      </w:r>
      <w:r w:rsidR="002E4C70" w:rsidRPr="00432F13">
        <w:rPr>
          <w:rFonts w:ascii="Book Antiqua" w:hAnsi="Book Antiqua" w:cs="Book Antiqua"/>
          <w:lang w:val="es-ES_tradnl"/>
        </w:rPr>
        <w:t>ENERO DE 202</w:t>
      </w:r>
      <w:r w:rsidR="006D7419" w:rsidRPr="00432F13">
        <w:rPr>
          <w:rFonts w:ascii="Book Antiqua" w:hAnsi="Book Antiqua" w:cs="Book Antiqua"/>
          <w:lang w:val="es-ES_tradnl"/>
        </w:rPr>
        <w:t>5</w:t>
      </w:r>
    </w:p>
    <w:p w14:paraId="72688F60" w14:textId="77777777" w:rsidR="00F2719B" w:rsidRPr="00432F13" w:rsidRDefault="00F2719B" w:rsidP="0035645A">
      <w:pPr>
        <w:suppressLineNumbers/>
        <w:jc w:val="center"/>
        <w:rPr>
          <w:rFonts w:ascii="Book Antiqua" w:hAnsi="Book Antiqua" w:cs="Book Antiqua"/>
          <w:lang w:val="es-ES_tradnl"/>
        </w:rPr>
      </w:pPr>
    </w:p>
    <w:p w14:paraId="392128E1" w14:textId="754F5B42" w:rsidR="00F2719B" w:rsidRPr="00432F13" w:rsidRDefault="006D7419" w:rsidP="00A05267">
      <w:pPr>
        <w:suppressLineNumbers/>
        <w:ind w:left="709" w:hanging="709"/>
        <w:jc w:val="both"/>
        <w:rPr>
          <w:rFonts w:ascii="Book Antiqua" w:hAnsi="Book Antiqua" w:cs="Book Antiqua"/>
          <w:lang w:val="es-ES_tradnl"/>
        </w:rPr>
      </w:pPr>
      <w:r w:rsidRPr="00432F13">
        <w:rPr>
          <w:rFonts w:ascii="Book Antiqua" w:hAnsi="Book Antiqua" w:cs="Book Antiqua"/>
          <w:lang w:val="es-ES_tradnl"/>
        </w:rPr>
        <w:t xml:space="preserve">Presentado por </w:t>
      </w:r>
      <w:proofErr w:type="gramStart"/>
      <w:r w:rsidRPr="00432F13">
        <w:rPr>
          <w:rFonts w:ascii="Book Antiqua" w:hAnsi="Book Antiqua" w:cs="Book Antiqua"/>
          <w:lang w:val="es-ES_tradnl"/>
        </w:rPr>
        <w:t>los representantes y las representantes</w:t>
      </w:r>
      <w:proofErr w:type="gramEnd"/>
      <w:r w:rsidRPr="00432F13">
        <w:rPr>
          <w:rFonts w:ascii="Book Antiqua" w:hAnsi="Book Antiqua" w:cs="Book Antiqua"/>
          <w:lang w:val="es-ES_tradnl"/>
        </w:rPr>
        <w:t xml:space="preserve"> </w:t>
      </w:r>
      <w:r w:rsidRPr="00432F13">
        <w:rPr>
          <w:rFonts w:ascii="Book Antiqua" w:hAnsi="Book Antiqua" w:cs="Book Antiqua"/>
          <w:i/>
          <w:lang w:val="es-ES_tradnl"/>
        </w:rPr>
        <w:t>Ferrer Santiago, Torres García, Feliciano Sánchez, Figueroa</w:t>
      </w:r>
      <w:r w:rsidR="00A05267" w:rsidRPr="00432F13">
        <w:rPr>
          <w:rFonts w:ascii="Book Antiqua" w:hAnsi="Book Antiqua" w:cs="Book Antiqua"/>
          <w:i/>
          <w:lang w:val="es-ES_tradnl"/>
        </w:rPr>
        <w:t xml:space="preserve"> Acevedo</w:t>
      </w:r>
      <w:r w:rsidRPr="00432F13">
        <w:rPr>
          <w:rFonts w:ascii="Book Antiqua" w:hAnsi="Book Antiqua" w:cs="Book Antiqua"/>
          <w:i/>
          <w:lang w:val="es-ES_tradnl"/>
        </w:rPr>
        <w:t xml:space="preserve">, </w:t>
      </w:r>
      <w:proofErr w:type="spellStart"/>
      <w:r w:rsidRPr="00432F13">
        <w:rPr>
          <w:rFonts w:ascii="Book Antiqua" w:hAnsi="Book Antiqua" w:cs="Book Antiqua"/>
          <w:i/>
          <w:lang w:val="es-ES_tradnl"/>
        </w:rPr>
        <w:t>Fourquet</w:t>
      </w:r>
      <w:proofErr w:type="spellEnd"/>
      <w:r w:rsidRPr="00432F13">
        <w:rPr>
          <w:rFonts w:ascii="Book Antiqua" w:hAnsi="Book Antiqua" w:cs="Book Antiqua"/>
          <w:i/>
          <w:lang w:val="es-ES_tradnl"/>
        </w:rPr>
        <w:t xml:space="preserve"> Cordero, </w:t>
      </w:r>
      <w:proofErr w:type="spellStart"/>
      <w:r w:rsidRPr="00432F13">
        <w:rPr>
          <w:rFonts w:ascii="Book Antiqua" w:hAnsi="Book Antiqua" w:cs="Book Antiqua"/>
          <w:i/>
          <w:lang w:val="es-ES_tradnl"/>
        </w:rPr>
        <w:t>Hau</w:t>
      </w:r>
      <w:proofErr w:type="spellEnd"/>
      <w:r w:rsidRPr="00432F13">
        <w:rPr>
          <w:rFonts w:ascii="Book Antiqua" w:hAnsi="Book Antiqua" w:cs="Book Antiqua"/>
          <w:i/>
          <w:lang w:val="es-ES_tradnl"/>
        </w:rPr>
        <w:t>, Higgins Cuadrado, Martínez Soto, Rivera Ruiz de Porras, Rosas</w:t>
      </w:r>
      <w:r w:rsidR="00A05267" w:rsidRPr="00432F13">
        <w:rPr>
          <w:rFonts w:ascii="Book Antiqua" w:hAnsi="Book Antiqua" w:cs="Book Antiqua"/>
          <w:i/>
          <w:lang w:val="es-ES_tradnl"/>
        </w:rPr>
        <w:t xml:space="preserve"> Vargas</w:t>
      </w:r>
      <w:r w:rsidRPr="00432F13">
        <w:rPr>
          <w:rFonts w:ascii="Book Antiqua" w:hAnsi="Book Antiqua" w:cs="Book Antiqua"/>
          <w:i/>
          <w:lang w:val="es-ES_tradnl"/>
        </w:rPr>
        <w:t xml:space="preserve">, </w:t>
      </w:r>
      <w:r w:rsidR="0077192E">
        <w:rPr>
          <w:rFonts w:ascii="Book Antiqua" w:hAnsi="Book Antiqua" w:cs="Book Antiqua"/>
          <w:i/>
          <w:lang w:val="es-ES_tradnl"/>
        </w:rPr>
        <w:t xml:space="preserve">Torres Cruz, </w:t>
      </w:r>
      <w:r w:rsidRPr="00432F13">
        <w:rPr>
          <w:rFonts w:ascii="Book Antiqua" w:hAnsi="Book Antiqua" w:cs="Book Antiqua"/>
          <w:i/>
          <w:lang w:val="es-ES_tradnl"/>
        </w:rPr>
        <w:t>Varela Fernández</w:t>
      </w:r>
      <w:r w:rsidR="00A05267" w:rsidRPr="00432F13">
        <w:rPr>
          <w:rFonts w:ascii="Book Antiqua" w:hAnsi="Book Antiqua" w:cs="Book Antiqua"/>
          <w:i/>
          <w:lang w:val="es-ES_tradnl"/>
        </w:rPr>
        <w:t xml:space="preserve"> y</w:t>
      </w:r>
      <w:r w:rsidRPr="00432F13">
        <w:rPr>
          <w:rFonts w:ascii="Book Antiqua" w:hAnsi="Book Antiqua" w:cs="Book Antiqua"/>
          <w:i/>
          <w:lang w:val="es-ES_tradnl"/>
        </w:rPr>
        <w:t xml:space="preserve"> Vargas Laureano</w:t>
      </w:r>
    </w:p>
    <w:p w14:paraId="5D6B26EB" w14:textId="77777777" w:rsidR="006D7419" w:rsidRPr="00432F13" w:rsidRDefault="006D7419" w:rsidP="0035645A">
      <w:pPr>
        <w:suppressLineNumbers/>
        <w:jc w:val="center"/>
        <w:rPr>
          <w:rFonts w:ascii="Book Antiqua" w:hAnsi="Book Antiqua" w:cs="Book Antiqua"/>
          <w:i/>
          <w:iCs/>
          <w:lang w:val="es-ES_tradnl"/>
        </w:rPr>
      </w:pPr>
    </w:p>
    <w:p w14:paraId="482A0C51" w14:textId="14B5660C" w:rsidR="00F2719B" w:rsidRPr="00432F13" w:rsidRDefault="00F2719B" w:rsidP="0035645A">
      <w:pPr>
        <w:suppressLineNumbers/>
        <w:jc w:val="center"/>
        <w:rPr>
          <w:rFonts w:ascii="Book Antiqua" w:hAnsi="Book Antiqua" w:cs="Book Antiqua"/>
          <w:lang w:val="es-ES_tradnl"/>
        </w:rPr>
      </w:pPr>
      <w:r w:rsidRPr="00432F13">
        <w:rPr>
          <w:rFonts w:ascii="Book Antiqua" w:hAnsi="Book Antiqua" w:cs="Book Antiqua"/>
          <w:lang w:val="es-ES_tradnl"/>
        </w:rPr>
        <w:t xml:space="preserve">Referido a </w:t>
      </w:r>
      <w:r w:rsidR="00730BEF">
        <w:rPr>
          <w:rFonts w:ascii="Book Antiqua" w:hAnsi="Book Antiqua" w:cs="Book Antiqua"/>
          <w:lang w:val="es-ES_tradnl"/>
        </w:rPr>
        <w:t>la Comisión de Gobierno</w:t>
      </w:r>
    </w:p>
    <w:p w14:paraId="10274B55" w14:textId="77777777" w:rsidR="00F2719B" w:rsidRPr="00432F13" w:rsidRDefault="00F2719B" w:rsidP="0035645A">
      <w:pPr>
        <w:pStyle w:val="Heading4"/>
        <w:suppressLineNumbers/>
        <w:rPr>
          <w:rFonts w:ascii="Book Antiqua" w:hAnsi="Book Antiqua" w:cs="Book Antiqua"/>
          <w:sz w:val="24"/>
          <w:szCs w:val="24"/>
        </w:rPr>
      </w:pPr>
    </w:p>
    <w:p w14:paraId="4E81AF6E" w14:textId="77777777" w:rsidR="00F2719B" w:rsidRPr="00432F13" w:rsidRDefault="00F2719B" w:rsidP="0035645A">
      <w:pPr>
        <w:pStyle w:val="Heading4"/>
        <w:suppressLineNumbers/>
        <w:rPr>
          <w:rFonts w:ascii="Book Antiqua" w:hAnsi="Book Antiqua" w:cs="Book Antiqua"/>
          <w:sz w:val="28"/>
          <w:szCs w:val="28"/>
        </w:rPr>
      </w:pPr>
      <w:r w:rsidRPr="00432F13">
        <w:rPr>
          <w:rFonts w:ascii="Book Antiqua" w:hAnsi="Book Antiqua" w:cs="Book Antiqua"/>
          <w:sz w:val="28"/>
          <w:szCs w:val="28"/>
        </w:rPr>
        <w:t>LEY</w:t>
      </w:r>
    </w:p>
    <w:p w14:paraId="6033E799" w14:textId="77777777" w:rsidR="00F2719B" w:rsidRPr="00432F13" w:rsidRDefault="00F2719B" w:rsidP="0035645A">
      <w:pPr>
        <w:suppressLineNumbers/>
        <w:jc w:val="both"/>
        <w:rPr>
          <w:rFonts w:ascii="Book Antiqua" w:hAnsi="Book Antiqua" w:cs="Book Antiqua"/>
          <w:lang w:val="es-ES_tradnl"/>
        </w:rPr>
      </w:pPr>
    </w:p>
    <w:p w14:paraId="4248D437" w14:textId="7E25A756" w:rsidR="00F2719B" w:rsidRPr="00432F13" w:rsidRDefault="00F2719B" w:rsidP="00591067">
      <w:pPr>
        <w:suppressLineNumbers/>
        <w:ind w:left="720" w:hanging="720"/>
        <w:jc w:val="both"/>
        <w:rPr>
          <w:rFonts w:ascii="Book Antiqua" w:hAnsi="Book Antiqua" w:cs="Book Antiqua"/>
          <w:lang w:val="es-ES_tradnl"/>
        </w:rPr>
      </w:pPr>
      <w:r w:rsidRPr="00432F13">
        <w:rPr>
          <w:rFonts w:ascii="Book Antiqua" w:hAnsi="Book Antiqua" w:cs="Book Antiqua"/>
          <w:lang w:val="es-ES_tradnl"/>
        </w:rPr>
        <w:t xml:space="preserve">Para </w:t>
      </w:r>
      <w:r w:rsidR="000C4086" w:rsidRPr="00432F13">
        <w:rPr>
          <w:rFonts w:ascii="Book Antiqua" w:hAnsi="Book Antiqua"/>
          <w:lang w:val="es-ES_tradnl"/>
        </w:rPr>
        <w:t xml:space="preserve">añadir unos nuevos incisos (u) y (v) al Artículo 1.2, añadir el </w:t>
      </w:r>
      <w:proofErr w:type="spellStart"/>
      <w:r w:rsidR="000C4086" w:rsidRPr="00432F13">
        <w:rPr>
          <w:rFonts w:ascii="Book Antiqua" w:hAnsi="Book Antiqua"/>
          <w:lang w:val="es-ES_tradnl"/>
        </w:rPr>
        <w:t>sub-inciso</w:t>
      </w:r>
      <w:proofErr w:type="spellEnd"/>
      <w:r w:rsidR="000C4086" w:rsidRPr="00432F13">
        <w:rPr>
          <w:rFonts w:ascii="Book Antiqua" w:hAnsi="Book Antiqua"/>
          <w:lang w:val="es-ES_tradnl"/>
        </w:rPr>
        <w:t xml:space="preserve"> (</w:t>
      </w:r>
      <w:proofErr w:type="spellStart"/>
      <w:r w:rsidR="000C4086" w:rsidRPr="00432F13">
        <w:rPr>
          <w:rFonts w:ascii="Book Antiqua" w:hAnsi="Book Antiqua"/>
          <w:lang w:val="es-ES_tradnl"/>
        </w:rPr>
        <w:t>viii</w:t>
      </w:r>
      <w:proofErr w:type="spellEnd"/>
      <w:r w:rsidR="000C4086" w:rsidRPr="00432F13">
        <w:rPr>
          <w:rFonts w:ascii="Book Antiqua" w:hAnsi="Book Antiqua"/>
          <w:lang w:val="es-ES_tradnl"/>
        </w:rPr>
        <w:t>) al Artículo 1.4 y enmendar el Artículo 1.8  de la Ley 17-2019, según enmendada, conocida como “Ley de Política Pública Energética”</w:t>
      </w:r>
      <w:r w:rsidR="00432F13" w:rsidRPr="00432F13">
        <w:rPr>
          <w:rFonts w:ascii="Book Antiqua" w:hAnsi="Book Antiqua"/>
          <w:lang w:val="es-ES_tradnl"/>
        </w:rPr>
        <w:t xml:space="preserve">; </w:t>
      </w:r>
      <w:r w:rsidR="000C4086" w:rsidRPr="00432F13">
        <w:rPr>
          <w:rFonts w:ascii="Book Antiqua" w:hAnsi="Book Antiqua"/>
          <w:lang w:val="es-ES_tradnl"/>
        </w:rPr>
        <w:t>para enmendar la Secciones 2 (e) de la Ley 120-2018, según enmendada, conocida como la “Ley para Transformar el Sistema Eléctrico de Puerto Rico”; a los fines de reducir el costo de la electricidad mediante un sistema de despacho eficiente que garantice un servicio; para establecer métricas objetivas para un operador futuro; incorporar el principio de justicia ambiental; que el proveedor mantenga en óptimas condiciones la red eléctrica, de modo que esta sea más confiable, resiliente y eficiente; establecer que el Negociado de Energía no participará en procesos de adjudicación o supervisión de contratos de alianzas, para evitar conflictos de intereses o aun la apariencia de conflictos de intereses, entre ambas funciones; y para otros fines relacionados.</w:t>
      </w:r>
    </w:p>
    <w:p w14:paraId="7F021094" w14:textId="77777777" w:rsidR="00F2719B" w:rsidRPr="00432F13" w:rsidRDefault="00F2719B" w:rsidP="00591067">
      <w:pPr>
        <w:suppressLineNumbers/>
        <w:ind w:left="720" w:hanging="720"/>
        <w:jc w:val="both"/>
        <w:rPr>
          <w:rFonts w:ascii="Book Antiqua" w:hAnsi="Book Antiqua" w:cs="Book Antiqua"/>
          <w:lang w:val="es-ES_tradnl"/>
        </w:rPr>
      </w:pPr>
    </w:p>
    <w:p w14:paraId="0D42EC5D" w14:textId="77777777" w:rsidR="00F2719B" w:rsidRPr="00432F13" w:rsidRDefault="00F2719B" w:rsidP="00591067">
      <w:pPr>
        <w:pStyle w:val="Heading5"/>
        <w:suppressLineNumbers/>
        <w:spacing w:before="0" w:after="0"/>
        <w:ind w:firstLine="0"/>
        <w:rPr>
          <w:rFonts w:ascii="Book Antiqua" w:hAnsi="Book Antiqua" w:cs="Book Antiqua"/>
          <w:sz w:val="24"/>
          <w:szCs w:val="24"/>
        </w:rPr>
      </w:pPr>
      <w:r w:rsidRPr="00432F13">
        <w:rPr>
          <w:rFonts w:ascii="Book Antiqua" w:hAnsi="Book Antiqua" w:cs="Book Antiqua"/>
          <w:sz w:val="24"/>
          <w:szCs w:val="24"/>
        </w:rPr>
        <w:t>EXPOSICIÓN DE MOTIVOS</w:t>
      </w:r>
    </w:p>
    <w:p w14:paraId="5B726328" w14:textId="77777777" w:rsidR="00F2719B" w:rsidRPr="00432F13" w:rsidRDefault="00F2719B" w:rsidP="00591067">
      <w:pPr>
        <w:suppressLineNumbers/>
        <w:rPr>
          <w:lang w:val="es-ES_tradnl"/>
        </w:rPr>
      </w:pPr>
    </w:p>
    <w:p w14:paraId="7ECB3A41"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 xml:space="preserve">El sistema energético de Puerto Rico enfrenta retos significativos que afectan profundamente la calidad de vida de sus ciudadanos y el desarrollo socioeconómico del archipiélago. Estos problemas, exacerbados por el paso del huracán María en 2017, incluyen una infraestructura obsoleta, alta dependencia de combustibles fósiles y gestión ineficaz. A pesar de esfuerzos por modernizar el sistema mediante legislaciones y </w:t>
      </w:r>
      <w:r w:rsidRPr="00432F13">
        <w:rPr>
          <w:rFonts w:ascii="Book Antiqua" w:hAnsi="Book Antiqua"/>
          <w:lang w:val="es-ES_tradnl"/>
        </w:rPr>
        <w:lastRenderedPageBreak/>
        <w:t>alianzas público-privadas, los resultados han sido insuficientes, evidenciando la necesidad de una revisión integral y fundamentada en la legislación vigente.</w:t>
      </w:r>
    </w:p>
    <w:p w14:paraId="5586C04E" w14:textId="77777777" w:rsidR="000C4086" w:rsidRPr="00432F13" w:rsidRDefault="000C4086" w:rsidP="000C4086">
      <w:pPr>
        <w:suppressLineNumbers/>
        <w:ind w:firstLine="720"/>
        <w:jc w:val="both"/>
        <w:rPr>
          <w:rFonts w:ascii="Book Antiqua" w:hAnsi="Book Antiqua"/>
          <w:lang w:val="es-ES_tradnl"/>
        </w:rPr>
      </w:pPr>
    </w:p>
    <w:p w14:paraId="2D8C515F"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La Ley 17-2019, conocida como la “Ley de Política Pública Energética”, establece parámetros claros para la creación de un sistema energético resiliente, confiable y eficiente, con tarifas justas y razonables. Esta ley identifica como problemas fundamentales la falta de mantenimiento de infraestructura, insuficiencia en la modernización tecnológica, dependencia excesiva en combustibles fósiles, y ausencia de diversificación de fuentes energéticas, entre otros. Adicionalmente, la exposición de motivos de la ley subraya la importancia de promover una mayor integración de energías renovables y de corregir los defectos estructurales que afectan el sistema.</w:t>
      </w:r>
    </w:p>
    <w:p w14:paraId="7B1A659A" w14:textId="77777777" w:rsidR="000C4086" w:rsidRPr="00432F13" w:rsidRDefault="000C4086" w:rsidP="000C4086">
      <w:pPr>
        <w:suppressLineNumbers/>
        <w:ind w:firstLine="720"/>
        <w:jc w:val="both"/>
        <w:rPr>
          <w:rFonts w:ascii="Book Antiqua" w:hAnsi="Book Antiqua"/>
          <w:lang w:val="es-ES_tradnl"/>
        </w:rPr>
      </w:pPr>
    </w:p>
    <w:p w14:paraId="3EB8B8B6"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Asimismo, la Ley 57-2014, en su Artículo 2.5, incorporó el concepto de operación autónoma del Centro de Control Energético, subrayando la necesidad de que esta entidad sea independiente de las áreas operacionales de generación, transmisión y distribución. Sin embargo, la Ley 17-2017 permitió la transferencia de estas funciones mediante contratos de alianzas público-privadas, sin estipular que dichas operaciones debían mantenerse separadas. Esto genera inconsistencias que deben ser corregidas para garantizar una gestión transparente y eficiente del sistema energético.</w:t>
      </w:r>
    </w:p>
    <w:p w14:paraId="4F92EA05" w14:textId="77777777" w:rsidR="000C4086" w:rsidRPr="00432F13" w:rsidRDefault="000C4086" w:rsidP="000C4086">
      <w:pPr>
        <w:suppressLineNumbers/>
        <w:ind w:firstLine="720"/>
        <w:jc w:val="both"/>
        <w:rPr>
          <w:rFonts w:ascii="Book Antiqua" w:hAnsi="Book Antiqua"/>
          <w:lang w:val="es-ES_tradnl"/>
        </w:rPr>
      </w:pPr>
    </w:p>
    <w:p w14:paraId="52289BBB"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El contrato con LUMA Energy, formalizado bajo la Ley 120-2018, conocida como la "Ley para Transformar el Sistema Eléctrico de Puerto Rico”, se estructuró con el objetivo de abordar estas deficiencias. Sin embargo, su implementación ha demostrado ser contraproducente. Entre los problemas más evidentes se encuentran el incumplimiento de métricas clave de desempeño establecidas por el Negociado de Energía de Puerto Rico (NEPR), gestión cuestionable de fondos públicos y un servicio caracterizado por interrupciones frecuentes y costos elevados. Estas fallas incumplen con las obligaciones contractuales y los principios rectores establecidos por la legislación vigente.</w:t>
      </w:r>
    </w:p>
    <w:p w14:paraId="7AEB2D92" w14:textId="77777777" w:rsidR="000C4086" w:rsidRPr="00432F13" w:rsidRDefault="000C4086" w:rsidP="000C4086">
      <w:pPr>
        <w:suppressLineNumbers/>
        <w:ind w:firstLine="720"/>
        <w:jc w:val="both"/>
        <w:rPr>
          <w:rFonts w:ascii="Book Antiqua" w:hAnsi="Book Antiqua"/>
          <w:lang w:val="es-ES_tradnl"/>
        </w:rPr>
      </w:pPr>
    </w:p>
    <w:p w14:paraId="2B4035AC"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Además, el conflicto de intereses identificado en la operación de LUMA Energy y la falta de transparencia en la administración de recursos federales destinados a la reconstrucción del sistema eléctrico representan serias violaciones a los principios de buena gobernanza. Este panorama resalta la urgencia de revisar los términos del contrato y evaluar alternativas para garantizar el cumplimiento de los objetivos legislativos.</w:t>
      </w:r>
    </w:p>
    <w:p w14:paraId="5957D615" w14:textId="77777777" w:rsidR="000C4086" w:rsidRPr="00432F13" w:rsidRDefault="000C4086" w:rsidP="000C4086">
      <w:pPr>
        <w:suppressLineNumbers/>
        <w:ind w:firstLine="720"/>
        <w:jc w:val="both"/>
        <w:rPr>
          <w:rFonts w:ascii="Book Antiqua" w:hAnsi="Book Antiqua"/>
          <w:lang w:val="es-ES_tradnl"/>
        </w:rPr>
      </w:pPr>
    </w:p>
    <w:p w14:paraId="19BCD23A"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Cónsono con la anterior, esta Asamblea Legislativa considera meritorio enmendar la Ley 17-2019, según enmendada, para que la letra de la ley sea cónsona con la intención legislativa de proteger y salvaguardar los derechos de los empleados de la Autoridad de Energía Eléctrica en cualquier transacción, mediante un contrato de Alianzas Público Privada que se efectúe en ocasión futura.</w:t>
      </w:r>
    </w:p>
    <w:p w14:paraId="7BD9B270" w14:textId="77777777" w:rsidR="000C4086" w:rsidRPr="00432F13" w:rsidRDefault="000C4086" w:rsidP="000C4086">
      <w:pPr>
        <w:suppressLineNumbers/>
        <w:ind w:firstLine="720"/>
        <w:jc w:val="both"/>
        <w:rPr>
          <w:rFonts w:ascii="Book Antiqua" w:hAnsi="Book Antiqua"/>
          <w:lang w:val="es-ES_tradnl"/>
        </w:rPr>
      </w:pPr>
    </w:p>
    <w:p w14:paraId="699F7BCE"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lastRenderedPageBreak/>
        <w:t xml:space="preserve">La cancelación del contrato con LUMA Energy requiere un proceso formal que inicie con un aviso de incumplimiento, conforme a las disposiciones contractuales. Este aviso debería basarse en la incapacidad de LUMA para cumplir con métricas clave como el </w:t>
      </w:r>
      <w:proofErr w:type="spellStart"/>
      <w:r w:rsidRPr="00432F13">
        <w:rPr>
          <w:rFonts w:ascii="Book Antiqua" w:hAnsi="Book Antiqua"/>
          <w:lang w:val="es-ES_tradnl"/>
        </w:rPr>
        <w:t>System</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Average</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Interruption</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Frequency</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Index</w:t>
      </w:r>
      <w:proofErr w:type="spellEnd"/>
      <w:r w:rsidRPr="00432F13">
        <w:rPr>
          <w:rFonts w:ascii="Book Antiqua" w:hAnsi="Book Antiqua"/>
          <w:lang w:val="es-ES_tradnl"/>
        </w:rPr>
        <w:t xml:space="preserve"> (SAIFI) y el </w:t>
      </w:r>
      <w:proofErr w:type="spellStart"/>
      <w:r w:rsidRPr="00432F13">
        <w:rPr>
          <w:rFonts w:ascii="Book Antiqua" w:hAnsi="Book Antiqua"/>
          <w:lang w:val="es-ES_tradnl"/>
        </w:rPr>
        <w:t>System</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Average</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Interruption</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Duration</w:t>
      </w:r>
      <w:proofErr w:type="spellEnd"/>
      <w:r w:rsidRPr="00432F13">
        <w:rPr>
          <w:rFonts w:ascii="Book Antiqua" w:hAnsi="Book Antiqua"/>
          <w:lang w:val="es-ES_tradnl"/>
        </w:rPr>
        <w:t xml:space="preserve"> </w:t>
      </w:r>
      <w:proofErr w:type="spellStart"/>
      <w:r w:rsidRPr="00432F13">
        <w:rPr>
          <w:rFonts w:ascii="Book Antiqua" w:hAnsi="Book Antiqua"/>
          <w:lang w:val="es-ES_tradnl"/>
        </w:rPr>
        <w:t>Index</w:t>
      </w:r>
      <w:proofErr w:type="spellEnd"/>
      <w:r w:rsidRPr="00432F13">
        <w:rPr>
          <w:rFonts w:ascii="Book Antiqua" w:hAnsi="Book Antiqua"/>
          <w:lang w:val="es-ES_tradnl"/>
        </w:rPr>
        <w:t xml:space="preserve"> (SAIDI), que miden la frecuencia y duración de los apagones. Una vez emitido el aviso, la empresa dispondría de 60 días para remediar las deficiencias o solicitar una extensión adicional de 30 días. De persistir el incumplimiento, se podría proceder con la terminación del contrato, previo a un período de transición que garantice la estabilidad del sistema.</w:t>
      </w:r>
    </w:p>
    <w:p w14:paraId="265D771D" w14:textId="77777777" w:rsidR="000C4086" w:rsidRPr="00432F13" w:rsidRDefault="000C4086" w:rsidP="000C4086">
      <w:pPr>
        <w:suppressLineNumbers/>
        <w:ind w:firstLine="720"/>
        <w:jc w:val="both"/>
        <w:rPr>
          <w:rFonts w:ascii="Book Antiqua" w:hAnsi="Book Antiqua"/>
          <w:lang w:val="es-ES_tradnl"/>
        </w:rPr>
      </w:pPr>
    </w:p>
    <w:p w14:paraId="6AAF4EE0"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Es imprescindible que este proceso se lleve a cabo con estricto apego a las disposiciones legales para evitar litigios que puedan perjudicar a Puerto Rico. Asimismo, la Asamblea Legislativa tiene el deber de enmendar la Ley 17-2019 para armonizar sus disposiciones con la intención legislativa original, asegurando que cualquier futura transacción de Alianzas Público-Privadas proteja los derechos de los empleados de la Autoridad de Energía Eléctrica y garantice el cumplimiento de los principios de transparencia, eficiencia y responsabilidad fiscal.</w:t>
      </w:r>
    </w:p>
    <w:p w14:paraId="6271E22E" w14:textId="77777777" w:rsidR="000C4086" w:rsidRPr="00432F13" w:rsidRDefault="000C4086" w:rsidP="000C4086">
      <w:pPr>
        <w:suppressLineNumbers/>
        <w:ind w:firstLine="720"/>
        <w:jc w:val="both"/>
        <w:rPr>
          <w:rFonts w:ascii="Book Antiqua" w:hAnsi="Book Antiqua"/>
          <w:lang w:val="es-ES_tradnl"/>
        </w:rPr>
      </w:pPr>
    </w:p>
    <w:p w14:paraId="45FEF3C0" w14:textId="77777777" w:rsidR="000C4086" w:rsidRPr="00432F13" w:rsidRDefault="000C4086" w:rsidP="000C4086">
      <w:pPr>
        <w:suppressLineNumbers/>
        <w:ind w:firstLine="720"/>
        <w:jc w:val="both"/>
        <w:rPr>
          <w:rFonts w:ascii="Book Antiqua" w:hAnsi="Book Antiqua"/>
          <w:lang w:val="es-ES_tradnl"/>
        </w:rPr>
      </w:pPr>
      <w:r w:rsidRPr="00432F13">
        <w:rPr>
          <w:rFonts w:ascii="Book Antiqua" w:hAnsi="Book Antiqua"/>
          <w:lang w:val="es-ES_tradnl"/>
        </w:rPr>
        <w:t>El sistema energético de Puerto Rico necesita un enfoque renovado que priorice el bienestar ciudadano y el desarrollo sostenible. La cancelación del contrato con LUMA Energy y la implementación de reformas legislativas son pasos fundamentales para garantizar un sistema que responda a las necesidades actuales y futuras del país, promoviendo la estabilidad y el progreso económico de la isla.</w:t>
      </w:r>
    </w:p>
    <w:p w14:paraId="60D9DBF3" w14:textId="77777777" w:rsidR="000C4086" w:rsidRPr="00432F13" w:rsidRDefault="000C4086" w:rsidP="000C4086">
      <w:pPr>
        <w:suppressLineNumbers/>
        <w:ind w:firstLine="720"/>
        <w:jc w:val="both"/>
        <w:rPr>
          <w:rFonts w:ascii="Book Antiqua" w:hAnsi="Book Antiqua"/>
          <w:lang w:val="es-ES_tradnl"/>
        </w:rPr>
      </w:pPr>
    </w:p>
    <w:p w14:paraId="79954219" w14:textId="20D7D2E5" w:rsidR="005B312C" w:rsidRPr="00432F13" w:rsidRDefault="000C4086" w:rsidP="000C4086">
      <w:pPr>
        <w:suppressLineNumbers/>
        <w:spacing w:after="240"/>
        <w:ind w:firstLine="720"/>
        <w:jc w:val="both"/>
        <w:rPr>
          <w:rFonts w:ascii="Book Antiqua" w:hAnsi="Book Antiqua" w:cs="Book Antiqua"/>
          <w:lang w:val="es-ES_tradnl"/>
        </w:rPr>
      </w:pPr>
      <w:r w:rsidRPr="00432F13">
        <w:rPr>
          <w:rFonts w:ascii="Book Antiqua" w:hAnsi="Book Antiqua"/>
          <w:lang w:val="es-ES_tradnl"/>
        </w:rPr>
        <w:t>Cónsono con la anterior, esta Asamblea Legislativa considera meritorio enmendar la Ley 17-2019, según enmendada, para que la letra de la ley sea cónsona con la intención legislativa de proteger y salvaguardar los derechos de los empleados de la Autoridad de Energía Eléctrica en cualquier transacción, mediante un contrato de Alianzas Público Privada que se efectúe en ocasión futura.</w:t>
      </w:r>
    </w:p>
    <w:p w14:paraId="4E9243F5" w14:textId="77777777" w:rsidR="00F2719B" w:rsidRPr="00432F13" w:rsidRDefault="00F2719B" w:rsidP="00591067">
      <w:pPr>
        <w:suppressLineNumbers/>
        <w:spacing w:line="480" w:lineRule="auto"/>
        <w:rPr>
          <w:rFonts w:ascii="Book Antiqua" w:hAnsi="Book Antiqua" w:cs="Book Antiqua"/>
          <w:i/>
          <w:iCs/>
          <w:lang w:val="es-ES_tradnl"/>
        </w:rPr>
      </w:pPr>
      <w:r w:rsidRPr="00432F13">
        <w:rPr>
          <w:rFonts w:ascii="Book Antiqua" w:hAnsi="Book Antiqua" w:cs="Book Antiqua"/>
          <w:i/>
          <w:iCs/>
          <w:lang w:val="es-ES_tradnl"/>
        </w:rPr>
        <w:t>DECRÉTASE POR LA ASAMBLEA LEGISLATIVA DE PUERTO RICO:</w:t>
      </w:r>
    </w:p>
    <w:p w14:paraId="003AD388" w14:textId="77777777" w:rsidR="000C4086" w:rsidRPr="00432F13" w:rsidRDefault="000C4086" w:rsidP="000C4086">
      <w:pPr>
        <w:pStyle w:val="BodyA"/>
        <w:spacing w:line="480" w:lineRule="auto"/>
        <w:ind w:firstLine="720"/>
        <w:jc w:val="both"/>
        <w:rPr>
          <w:rFonts w:ascii="Book Antiqua" w:eastAsia="Book Antiqua" w:hAnsi="Book Antiqua" w:cs="Book Antiqua"/>
        </w:rPr>
      </w:pPr>
      <w:r w:rsidRPr="00432F13">
        <w:rPr>
          <w:rFonts w:ascii="Book Antiqua" w:hAnsi="Book Antiqua"/>
        </w:rPr>
        <w:t xml:space="preserve">Sección 1.- Se añade unos nuevos incisos (u) y (v) al </w:t>
      </w:r>
      <w:bookmarkStart w:id="0" w:name="OLE_LINK4"/>
      <w:r w:rsidRPr="00432F13">
        <w:rPr>
          <w:rFonts w:ascii="Book Antiqua" w:hAnsi="Book Antiqua"/>
        </w:rPr>
        <w:t xml:space="preserve">Artículo 1.2 de la Ley 17-2019 </w:t>
      </w:r>
      <w:bookmarkEnd w:id="0"/>
      <w:r w:rsidRPr="00432F13">
        <w:rPr>
          <w:rFonts w:ascii="Book Antiqua" w:hAnsi="Book Antiqua"/>
        </w:rPr>
        <w:t>para que lean como sigue:</w:t>
      </w:r>
    </w:p>
    <w:p w14:paraId="6BD1ABD8" w14:textId="77777777" w:rsidR="000C4086" w:rsidRPr="00432F13" w:rsidRDefault="000C4086" w:rsidP="000C4086">
      <w:pPr>
        <w:pStyle w:val="BodyA"/>
        <w:spacing w:line="480" w:lineRule="auto"/>
        <w:ind w:firstLine="720"/>
        <w:jc w:val="both"/>
        <w:rPr>
          <w:rFonts w:ascii="Book Antiqua" w:eastAsia="Book Antiqua" w:hAnsi="Book Antiqua" w:cs="Book Antiqua"/>
        </w:rPr>
      </w:pPr>
      <w:r w:rsidRPr="00432F13">
        <w:rPr>
          <w:rFonts w:ascii="Book Antiqua" w:hAnsi="Book Antiqua"/>
        </w:rPr>
        <w:t xml:space="preserve">“Artículo 1.2.- Definiciones </w:t>
      </w:r>
    </w:p>
    <w:p w14:paraId="65BA7A73" w14:textId="77777777" w:rsidR="000C4086" w:rsidRPr="00432F13" w:rsidRDefault="000C4086" w:rsidP="000C4086">
      <w:pPr>
        <w:pStyle w:val="BodyA"/>
        <w:spacing w:line="480" w:lineRule="auto"/>
        <w:ind w:firstLine="720"/>
        <w:jc w:val="both"/>
        <w:rPr>
          <w:rFonts w:ascii="Book Antiqua" w:eastAsia="Book Antiqua" w:hAnsi="Book Antiqua" w:cs="Book Antiqua"/>
        </w:rPr>
      </w:pPr>
      <w:r w:rsidRPr="00432F13">
        <w:rPr>
          <w:rFonts w:ascii="Book Antiqua" w:hAnsi="Book Antiqua"/>
        </w:rPr>
        <w:t>…</w:t>
      </w:r>
    </w:p>
    <w:p w14:paraId="3DF8751B" w14:textId="77777777" w:rsidR="000C4086" w:rsidRPr="00432F13" w:rsidRDefault="000C4086" w:rsidP="000C4086">
      <w:pPr>
        <w:pStyle w:val="BodyA"/>
        <w:spacing w:line="480" w:lineRule="auto"/>
        <w:ind w:firstLine="720"/>
        <w:jc w:val="both"/>
        <w:rPr>
          <w:rFonts w:ascii="Book Antiqua" w:eastAsia="Book Antiqua" w:hAnsi="Book Antiqua" w:cs="Book Antiqua"/>
        </w:rPr>
      </w:pPr>
      <w:r w:rsidRPr="00432F13">
        <w:rPr>
          <w:rFonts w:ascii="Book Antiqua" w:hAnsi="Book Antiqua"/>
        </w:rPr>
        <w:t>(a) …</w:t>
      </w:r>
    </w:p>
    <w:p w14:paraId="7FB152CA" w14:textId="77777777" w:rsidR="000C4086" w:rsidRPr="00432F13" w:rsidRDefault="000C4086" w:rsidP="000C4086">
      <w:pPr>
        <w:pStyle w:val="BodyA"/>
        <w:spacing w:line="480" w:lineRule="auto"/>
        <w:ind w:firstLine="720"/>
        <w:jc w:val="both"/>
        <w:rPr>
          <w:rFonts w:ascii="Book Antiqua" w:eastAsia="Book Antiqua" w:hAnsi="Book Antiqua" w:cs="Book Antiqua"/>
        </w:rPr>
      </w:pPr>
      <w:r w:rsidRPr="00432F13">
        <w:rPr>
          <w:rFonts w:ascii="Book Antiqua" w:hAnsi="Book Antiqua"/>
        </w:rPr>
        <w:t>…</w:t>
      </w:r>
    </w:p>
    <w:p w14:paraId="50C2023F" w14:textId="77777777" w:rsidR="000C4086" w:rsidRPr="00432F13" w:rsidRDefault="000C4086" w:rsidP="000C4086">
      <w:pPr>
        <w:pStyle w:val="BodyA"/>
        <w:spacing w:line="480" w:lineRule="auto"/>
        <w:ind w:firstLine="720"/>
        <w:jc w:val="both"/>
        <w:rPr>
          <w:rFonts w:ascii="Book Antiqua" w:eastAsia="Book Antiqua" w:hAnsi="Book Antiqua" w:cs="Book Antiqua"/>
          <w:i/>
          <w:iCs/>
        </w:rPr>
      </w:pPr>
      <w:r w:rsidRPr="00432F13">
        <w:rPr>
          <w:rFonts w:ascii="Book Antiqua" w:hAnsi="Book Antiqua"/>
          <w:i/>
          <w:iCs/>
        </w:rPr>
        <w:lastRenderedPageBreak/>
        <w:t>(u) “Despacho económico”: Tiene el significado de la distribución de las fuentes de generación disponibles para cumplir con la demanda total de electricidad tomando en cuenta los costos totales, promedio y marginales de generación, la infraestructura disponible de generación y los límites operacionales del sistema de transmisión y distribución con el objetivo de minimizar el costo al consumidor.</w:t>
      </w:r>
    </w:p>
    <w:p w14:paraId="3DDD1642" w14:textId="77777777" w:rsidR="000C4086" w:rsidRPr="00432F13" w:rsidRDefault="000C4086" w:rsidP="000C4086">
      <w:pPr>
        <w:pStyle w:val="BodyA"/>
        <w:spacing w:line="480" w:lineRule="auto"/>
        <w:ind w:firstLine="720"/>
        <w:jc w:val="both"/>
        <w:rPr>
          <w:rFonts w:ascii="Book Antiqua" w:eastAsia="Book Antiqua" w:hAnsi="Book Antiqua" w:cs="Book Antiqua"/>
          <w:i/>
          <w:iCs/>
        </w:rPr>
      </w:pPr>
      <w:r w:rsidRPr="00432F13">
        <w:rPr>
          <w:rFonts w:ascii="Book Antiqua" w:hAnsi="Book Antiqua"/>
          <w:i/>
          <w:iCs/>
        </w:rPr>
        <w:t>(v) “Métricas de cumplimiento”: Tiene el significado de aquellas formas de medir el desempeño de una compañía de servicio eléctrico en cuanto a la satisfacción del cliente y el cumplimiento de metas técnicas, de seguridad, regulatorias y financieras.”</w:t>
      </w:r>
    </w:p>
    <w:p w14:paraId="65ABC6FA" w14:textId="77777777" w:rsidR="000C4086" w:rsidRPr="00432F13" w:rsidRDefault="000C4086"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Sección 2.-Se enmienda el Artículo 1.4 de la Ley 17-2019, según enmendada, conocida como la “Ley de Política Pública Energética”, para que lea como sigue:</w:t>
      </w:r>
    </w:p>
    <w:p w14:paraId="09FD5F55" w14:textId="77777777" w:rsidR="000C4086" w:rsidRPr="00432F13" w:rsidRDefault="000C4086"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“Artículo 1.4. -Principios rectores del Sistema Eléctrico de Puerto Rico.</w:t>
      </w:r>
    </w:p>
    <w:p w14:paraId="01F0DCE6" w14:textId="77777777" w:rsidR="000C4086" w:rsidRPr="00432F13" w:rsidRDefault="000C4086" w:rsidP="000C4086">
      <w:pPr>
        <w:kinsoku w:val="0"/>
        <w:overflowPunct w:val="0"/>
        <w:spacing w:line="480" w:lineRule="auto"/>
        <w:ind w:left="720" w:firstLine="394"/>
        <w:jc w:val="both"/>
        <w:rPr>
          <w:rFonts w:ascii="Book Antiqua" w:eastAsia="Calibri" w:hAnsi="Book Antiqua"/>
          <w:w w:val="105"/>
          <w:lang w:val="es-ES_tradnl"/>
        </w:rPr>
      </w:pPr>
      <w:r w:rsidRPr="00432F13">
        <w:rPr>
          <w:rFonts w:ascii="Book Antiqua" w:hAnsi="Book Antiqua"/>
          <w:lang w:val="es-ES_tradnl"/>
        </w:rPr>
        <w:tab/>
        <w:t xml:space="preserve">Las actividades o funciones relacionadas con el servicio de electricidad se regirán por los principios de eficiencia, calidad, continuidad, adaptabilidad, imparcialidad, solidaridad, </w:t>
      </w:r>
      <w:r w:rsidRPr="00432F13">
        <w:rPr>
          <w:rFonts w:ascii="Book Antiqua" w:hAnsi="Book Antiqua"/>
          <w:iCs/>
          <w:lang w:val="es-ES_tradnl"/>
        </w:rPr>
        <w:t>justicia ambiental</w:t>
      </w:r>
      <w:r w:rsidRPr="00432F13">
        <w:rPr>
          <w:rFonts w:ascii="Book Antiqua" w:hAnsi="Book Antiqua"/>
          <w:lang w:val="es-ES_tradnl"/>
        </w:rPr>
        <w:t xml:space="preserve"> y equidad.</w:t>
      </w:r>
      <w:r w:rsidRPr="00432F13">
        <w:rPr>
          <w:rFonts w:ascii="Book Antiqua" w:eastAsia="Calibri" w:hAnsi="Book Antiqua"/>
          <w:w w:val="105"/>
          <w:lang w:val="es-ES_tradnl"/>
        </w:rPr>
        <w:t xml:space="preserve"> </w:t>
      </w:r>
    </w:p>
    <w:p w14:paraId="77D9428D" w14:textId="77777777" w:rsidR="000C4086" w:rsidRPr="00432F13" w:rsidRDefault="000C4086" w:rsidP="000C4086">
      <w:pPr>
        <w:pStyle w:val="ListParagraph"/>
        <w:numPr>
          <w:ilvl w:val="0"/>
          <w:numId w:val="19"/>
        </w:numPr>
        <w:kinsoku w:val="0"/>
        <w:overflowPunct w:val="0"/>
        <w:spacing w:line="480" w:lineRule="auto"/>
        <w:jc w:val="both"/>
        <w:rPr>
          <w:rFonts w:ascii="Book Antiqua" w:eastAsia="Calibri" w:hAnsi="Book Antiqua"/>
          <w:w w:val="105"/>
          <w:szCs w:val="24"/>
          <w:lang w:val="es-ES_tradnl"/>
        </w:rPr>
      </w:pPr>
      <w:r w:rsidRPr="00432F13">
        <w:rPr>
          <w:rFonts w:ascii="Book Antiqua" w:eastAsia="Calibri" w:hAnsi="Book Antiqua"/>
          <w:w w:val="105"/>
          <w:szCs w:val="24"/>
          <w:lang w:val="es-ES_tradnl"/>
        </w:rPr>
        <w:t>…</w:t>
      </w:r>
    </w:p>
    <w:p w14:paraId="64DB1DAC" w14:textId="77777777" w:rsidR="000C4086" w:rsidRPr="00432F13" w:rsidRDefault="000C4086" w:rsidP="000C4086">
      <w:pPr>
        <w:pStyle w:val="ListParagraph"/>
        <w:numPr>
          <w:ilvl w:val="0"/>
          <w:numId w:val="19"/>
        </w:numPr>
        <w:kinsoku w:val="0"/>
        <w:overflowPunct w:val="0"/>
        <w:spacing w:line="480" w:lineRule="auto"/>
        <w:jc w:val="both"/>
        <w:rPr>
          <w:rFonts w:ascii="Book Antiqua" w:eastAsia="Calibri" w:hAnsi="Book Antiqua"/>
          <w:iCs/>
          <w:w w:val="105"/>
          <w:szCs w:val="24"/>
          <w:lang w:val="es-ES_tradnl"/>
        </w:rPr>
      </w:pPr>
      <w:r w:rsidRPr="00432F13">
        <w:rPr>
          <w:rFonts w:ascii="Book Antiqua" w:eastAsia="Calibri" w:hAnsi="Book Antiqua"/>
          <w:iCs/>
          <w:w w:val="105"/>
          <w:szCs w:val="24"/>
          <w:lang w:val="es-ES_tradnl"/>
        </w:rPr>
        <w:t>…</w:t>
      </w:r>
    </w:p>
    <w:p w14:paraId="450E3277" w14:textId="77777777" w:rsidR="000C4086" w:rsidRPr="00432F13" w:rsidRDefault="000C4086" w:rsidP="000C4086">
      <w:pPr>
        <w:kinsoku w:val="0"/>
        <w:overflowPunct w:val="0"/>
        <w:spacing w:line="480" w:lineRule="auto"/>
        <w:ind w:left="700"/>
        <w:jc w:val="both"/>
        <w:rPr>
          <w:rFonts w:ascii="Book Antiqua" w:eastAsia="Calibri" w:hAnsi="Book Antiqua"/>
          <w:iCs/>
          <w:w w:val="105"/>
          <w:lang w:val="es-ES_tradnl"/>
        </w:rPr>
      </w:pPr>
      <w:r w:rsidRPr="00432F13">
        <w:rPr>
          <w:rFonts w:ascii="Book Antiqua" w:eastAsia="Calibri" w:hAnsi="Book Antiqua"/>
          <w:iCs/>
          <w:w w:val="105"/>
          <w:lang w:val="es-ES_tradnl"/>
        </w:rPr>
        <w:t>…</w:t>
      </w:r>
    </w:p>
    <w:p w14:paraId="03F0BCB5" w14:textId="77777777" w:rsidR="000C4086" w:rsidRPr="00432F13" w:rsidRDefault="000C4086" w:rsidP="005A2A13">
      <w:pPr>
        <w:pStyle w:val="ListParagraph"/>
        <w:widowControl w:val="0"/>
        <w:numPr>
          <w:ilvl w:val="0"/>
          <w:numId w:val="20"/>
        </w:numPr>
        <w:kinsoku w:val="0"/>
        <w:overflowPunct w:val="0"/>
        <w:spacing w:line="480" w:lineRule="auto"/>
        <w:ind w:left="1417"/>
        <w:jc w:val="both"/>
        <w:rPr>
          <w:rFonts w:ascii="Book Antiqua" w:eastAsia="Calibri" w:hAnsi="Book Antiqua"/>
          <w:strike/>
          <w:w w:val="105"/>
          <w:szCs w:val="24"/>
          <w:lang w:val="es-ES_tradnl"/>
        </w:rPr>
      </w:pPr>
      <w:r w:rsidRPr="00432F13">
        <w:rPr>
          <w:rFonts w:ascii="Book Antiqua" w:eastAsia="Calibri" w:hAnsi="Book Antiqua"/>
          <w:i/>
          <w:iCs/>
          <w:szCs w:val="24"/>
          <w:lang w:val="es-ES_tradnl"/>
        </w:rPr>
        <w:t xml:space="preserve">El principio de la justicia ambiental promueve el trato justo y la participación significativa de todas las personas, sin distinción de raza, color, origen nacional o ingresos, con respecto al desarrollo, implementación y cumplimiento de las leyes ambientales, reglamentos y políticas públicas relacionadas con el Sistema Eléctrico.  Esta meta se alcanzará si todas las personas disfrutan del mismo nivel de protección </w:t>
      </w:r>
      <w:r w:rsidRPr="00432F13">
        <w:rPr>
          <w:rFonts w:ascii="Book Antiqua" w:eastAsia="Calibri" w:hAnsi="Book Antiqua"/>
          <w:i/>
          <w:iCs/>
          <w:szCs w:val="24"/>
          <w:lang w:val="es-ES_tradnl"/>
        </w:rPr>
        <w:lastRenderedPageBreak/>
        <w:t>contra los riesgos a la salud y tienen el mismo acceso a los procesos de toma de decisiones en cuanto a obtener un ambiente saludable en el cual vivir, estudiar y trabajar.</w:t>
      </w:r>
      <w:r w:rsidRPr="00432F13">
        <w:rPr>
          <w:rFonts w:ascii="Book Antiqua" w:eastAsia="Calibri" w:hAnsi="Book Antiqua"/>
          <w:szCs w:val="24"/>
          <w:lang w:val="es-ES_tradnl"/>
        </w:rPr>
        <w:t>”</w:t>
      </w:r>
    </w:p>
    <w:p w14:paraId="780B1379" w14:textId="77777777" w:rsidR="000C4086" w:rsidRPr="00432F13" w:rsidRDefault="000C4086"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 xml:space="preserve">Sección 3.-Se enmienda el Artículo 1.8 de la Ley 17-2019, </w:t>
      </w:r>
      <w:bookmarkStart w:id="1" w:name="_Hlk71043664"/>
      <w:r w:rsidRPr="00432F13">
        <w:rPr>
          <w:rFonts w:ascii="Book Antiqua" w:hAnsi="Book Antiqua"/>
          <w:lang w:val="es-ES_tradnl"/>
        </w:rPr>
        <w:t>según enmendada, conocida como la “Ley de Política Pública Energética”, para que lea como sigue:</w:t>
      </w:r>
      <w:bookmarkEnd w:id="1"/>
    </w:p>
    <w:p w14:paraId="2FCB1432" w14:textId="77777777" w:rsidR="000C4086" w:rsidRPr="00432F13" w:rsidRDefault="000C4086" w:rsidP="000C4086">
      <w:pPr>
        <w:widowControl w:val="0"/>
        <w:spacing w:line="480" w:lineRule="auto"/>
        <w:ind w:firstLine="720"/>
        <w:jc w:val="both"/>
        <w:rPr>
          <w:rFonts w:ascii="Book Antiqua" w:hAnsi="Book Antiqua"/>
          <w:lang w:val="es-ES_tradnl"/>
        </w:rPr>
      </w:pPr>
      <w:r w:rsidRPr="00432F13">
        <w:rPr>
          <w:rFonts w:ascii="Book Antiqua" w:hAnsi="Book Antiqua"/>
          <w:lang w:val="es-ES_tradnl"/>
        </w:rPr>
        <w:t>“Artículo 1.8.-Desagregación y Transformación del Sistema Eléctrico.</w:t>
      </w:r>
    </w:p>
    <w:p w14:paraId="55F14CF5" w14:textId="7EDEFA07" w:rsidR="000C4086" w:rsidRPr="00432F13" w:rsidRDefault="000C4086" w:rsidP="000C4086">
      <w:pPr>
        <w:widowControl w:val="0"/>
        <w:spacing w:line="480" w:lineRule="auto"/>
        <w:ind w:left="1440" w:hanging="732"/>
        <w:jc w:val="both"/>
        <w:rPr>
          <w:rFonts w:ascii="Book Antiqua" w:hAnsi="Book Antiqua"/>
          <w:lang w:val="es-ES_tradnl"/>
        </w:rPr>
      </w:pPr>
      <w:r w:rsidRPr="00432F13">
        <w:rPr>
          <w:rFonts w:ascii="Book Antiqua" w:hAnsi="Book Antiqua"/>
          <w:lang w:val="es-ES_tradnl"/>
        </w:rPr>
        <w:t xml:space="preserve">(a) </w:t>
      </w:r>
      <w:r w:rsidRPr="00432F13">
        <w:rPr>
          <w:rFonts w:ascii="Book Antiqua" w:hAnsi="Book Antiqua"/>
          <w:lang w:val="es-ES_tradnl"/>
        </w:rPr>
        <w:tab/>
        <w:t xml:space="preserve">Sistema abierto. El Sistema Eléctrico de Puerto Rico no podrá ser un monopolio verticalmente integrado. Tampoco podrá establecerse un monopolio horizontal en la función de generación. Ninguna compañía de servicio eléctrico, por sí, a través de, o en conjunto con una </w:t>
      </w:r>
      <w:r w:rsidRPr="00432F13">
        <w:rPr>
          <w:rFonts w:ascii="Book Antiqua" w:hAnsi="Book Antiqua"/>
          <w:iCs/>
          <w:lang w:val="es-ES_tradnl"/>
        </w:rPr>
        <w:t>compañía matriz, dueña</w:t>
      </w:r>
      <w:r w:rsidRPr="00432F13">
        <w:rPr>
          <w:rFonts w:ascii="Book Antiqua" w:hAnsi="Book Antiqua"/>
          <w:lang w:val="es-ES_tradnl"/>
        </w:rPr>
        <w:t xml:space="preserve">, subsidiaria o afiliada, podrá controlar el cincuenta por ciento (50%) o más de la capacidad de los activos de generación, con excepción de la Autoridad, y solo cuando se trate de activos de generación legados.  No obstante, la Autoridad </w:t>
      </w:r>
      <w:r w:rsidRPr="00432F13">
        <w:rPr>
          <w:rFonts w:ascii="Book Antiqua" w:hAnsi="Book Antiqua"/>
          <w:b/>
          <w:bCs/>
          <w:lang w:val="es-ES_tradnl"/>
        </w:rPr>
        <w:t xml:space="preserve">[deberá] </w:t>
      </w:r>
      <w:r w:rsidRPr="00432F13">
        <w:rPr>
          <w:rFonts w:ascii="Book Antiqua" w:hAnsi="Book Antiqua"/>
          <w:i/>
          <w:lang w:val="es-ES_tradnl"/>
        </w:rPr>
        <w:t xml:space="preserve">podrá </w:t>
      </w:r>
      <w:r w:rsidRPr="00432F13">
        <w:rPr>
          <w:rFonts w:ascii="Book Antiqua" w:hAnsi="Book Antiqua"/>
          <w:lang w:val="es-ES_tradnl"/>
        </w:rPr>
        <w:t xml:space="preserve">transferir, </w:t>
      </w:r>
      <w:r w:rsidRPr="00432F13">
        <w:rPr>
          <w:rFonts w:ascii="Book Antiqua" w:hAnsi="Book Antiqua"/>
          <w:iCs/>
          <w:lang w:val="es-ES_tradnl"/>
        </w:rPr>
        <w:t xml:space="preserve">mediante un contrato de Alianzas </w:t>
      </w:r>
      <w:proofErr w:type="gramStart"/>
      <w:r w:rsidRPr="00432F13">
        <w:rPr>
          <w:rFonts w:ascii="Book Antiqua" w:hAnsi="Book Antiqua"/>
          <w:iCs/>
          <w:lang w:val="es-ES_tradnl"/>
        </w:rPr>
        <w:t>Público Privadas</w:t>
      </w:r>
      <w:proofErr w:type="gramEnd"/>
      <w:r w:rsidRPr="00432F13">
        <w:rPr>
          <w:rFonts w:ascii="Book Antiqua" w:hAnsi="Book Antiqua"/>
          <w:iCs/>
          <w:lang w:val="es-ES_tradnl"/>
        </w:rPr>
        <w:t>,</w:t>
      </w:r>
      <w:r w:rsidRPr="00432F13">
        <w:rPr>
          <w:rFonts w:ascii="Book Antiqua" w:hAnsi="Book Antiqua"/>
          <w:lang w:val="es-ES_tradnl"/>
        </w:rPr>
        <w:t xml:space="preserve"> su función de operación, administración y mantenimiento de activos de generación legados</w:t>
      </w:r>
      <w:r w:rsidRPr="00432F13">
        <w:rPr>
          <w:rFonts w:ascii="Book Antiqua" w:hAnsi="Book Antiqua"/>
          <w:iCs/>
          <w:lang w:val="es-ES_tradnl"/>
        </w:rPr>
        <w:t>, siempre que la Autoridad demuestre que mediante un contrato de Alianzas Público Privadas se mejorará el servicio de generación de energía eléctrica y que el contrato sea aprobado por el Negociado de Energía de Puerto Rico</w:t>
      </w:r>
      <w:r w:rsidRPr="00432F13">
        <w:rPr>
          <w:rFonts w:ascii="Book Antiqua" w:hAnsi="Book Antiqua"/>
          <w:bCs/>
          <w:lang w:val="es-ES_tradnl"/>
        </w:rPr>
        <w:t>.</w:t>
      </w:r>
      <w:r w:rsidRPr="00432F13">
        <w:rPr>
          <w:rFonts w:ascii="Book Antiqua" w:hAnsi="Book Antiqua"/>
          <w:lang w:val="es-ES_tradnl"/>
        </w:rPr>
        <w:t xml:space="preserve">  El porcentaje máximo que una compañía de servicio eléctrico, su subsidiaria o afiliada podrá controlar de la capacidad de activos de generación podrá ser revisado por el Negociado para impedir el establecimiento de un </w:t>
      </w:r>
      <w:r w:rsidRPr="00432F13">
        <w:rPr>
          <w:rFonts w:ascii="Book Antiqua" w:hAnsi="Book Antiqua"/>
          <w:lang w:val="es-ES_tradnl"/>
        </w:rPr>
        <w:lastRenderedPageBreak/>
        <w:t xml:space="preserve">monopolio en la generación, pero en ningún caso podrá alcanzar el cincuenta por ciento (50%) o más de la capacidad de los activos de generación. Las compañías de servicio eléctrico, los generadores distribuidos y las </w:t>
      </w:r>
      <w:proofErr w:type="spellStart"/>
      <w:r w:rsidRPr="00432F13">
        <w:rPr>
          <w:rFonts w:ascii="Book Antiqua" w:hAnsi="Book Antiqua"/>
          <w:lang w:val="es-ES_tradnl"/>
        </w:rPr>
        <w:t>micro-redes</w:t>
      </w:r>
      <w:proofErr w:type="spellEnd"/>
      <w:r w:rsidRPr="00432F13">
        <w:rPr>
          <w:rFonts w:ascii="Book Antiqua" w:hAnsi="Book Antiqua"/>
          <w:lang w:val="es-ES_tradnl"/>
        </w:rPr>
        <w:t xml:space="preserve"> que así lo soliciten tendrán el derecho de exigir la interconexión a la red de transmisión y de distribución en condiciones no discriminatorias, cuando ello sea técnicamente factible, consistente con el Plan Integrado de Recursos y la reglamentación del Negociado así lo permita.</w:t>
      </w:r>
    </w:p>
    <w:p w14:paraId="2D6C71A1" w14:textId="77777777" w:rsidR="000C4086" w:rsidRPr="00432F13" w:rsidRDefault="000C4086" w:rsidP="000C4086">
      <w:pPr>
        <w:widowControl w:val="0"/>
        <w:spacing w:line="480" w:lineRule="auto"/>
        <w:ind w:left="1440" w:hanging="720"/>
        <w:jc w:val="both"/>
        <w:rPr>
          <w:rFonts w:ascii="Book Antiqua" w:hAnsi="Book Antiqua"/>
          <w:lang w:val="es-ES_tradnl"/>
        </w:rPr>
      </w:pPr>
      <w:r w:rsidRPr="00432F13">
        <w:rPr>
          <w:rFonts w:ascii="Book Antiqua" w:hAnsi="Book Antiqua"/>
          <w:lang w:val="es-ES_tradnl"/>
        </w:rPr>
        <w:t xml:space="preserve">(b) </w:t>
      </w:r>
      <w:r w:rsidRPr="00432F13">
        <w:rPr>
          <w:rFonts w:ascii="Book Antiqua" w:hAnsi="Book Antiqua"/>
          <w:lang w:val="es-ES_tradnl"/>
        </w:rPr>
        <w:tab/>
      </w:r>
      <w:r w:rsidRPr="00432F13">
        <w:rPr>
          <w:rFonts w:ascii="Book Antiqua" w:hAnsi="Book Antiqua"/>
          <w:iCs/>
          <w:lang w:val="es-ES_tradnl"/>
        </w:rPr>
        <w:t xml:space="preserve">Concesión de la transmisión, distribución y venta de energía, así como de la operación del sistema. </w:t>
      </w:r>
      <w:r w:rsidRPr="00432F13">
        <w:rPr>
          <w:rFonts w:ascii="Book Antiqua" w:hAnsi="Book Antiqua"/>
          <w:b/>
          <w:bCs/>
          <w:iCs/>
          <w:lang w:val="es-ES_tradnl"/>
        </w:rPr>
        <w:t>[</w:t>
      </w:r>
      <w:r w:rsidRPr="00432F13">
        <w:rPr>
          <w:rFonts w:ascii="Book Antiqua" w:eastAsiaTheme="minorHAnsi" w:hAnsi="Book Antiqua"/>
          <w:b/>
          <w:bCs/>
          <w:color w:val="000000"/>
          <w:lang w:val="es-ES_tradnl"/>
        </w:rPr>
        <w:t xml:space="preserve">Al 31 de diciembre de 2019 o a la fecha más próxima a esta] </w:t>
      </w:r>
      <w:r w:rsidRPr="00432F13">
        <w:rPr>
          <w:rFonts w:ascii="Book Antiqua" w:hAnsi="Book Antiqua"/>
          <w:i/>
          <w:lang w:val="es-ES_tradnl"/>
        </w:rPr>
        <w:t>A la fecha más próxima posible</w:t>
      </w:r>
      <w:r w:rsidRPr="00432F13">
        <w:rPr>
          <w:rFonts w:ascii="Book Antiqua" w:hAnsi="Book Antiqua"/>
          <w:lang w:val="es-ES_tradnl"/>
        </w:rPr>
        <w:t xml:space="preserve">, la Autoridad </w:t>
      </w:r>
      <w:r w:rsidRPr="00432F13">
        <w:rPr>
          <w:rFonts w:ascii="Book Antiqua" w:hAnsi="Book Antiqua"/>
          <w:b/>
          <w:bCs/>
          <w:lang w:val="es-ES_tradnl"/>
        </w:rPr>
        <w:t>[</w:t>
      </w:r>
      <w:r w:rsidRPr="00432F13">
        <w:rPr>
          <w:rFonts w:ascii="Book Antiqua" w:eastAsiaTheme="minorHAnsi" w:hAnsi="Book Antiqua"/>
          <w:b/>
          <w:bCs/>
          <w:color w:val="000000"/>
          <w:lang w:val="es-ES_tradnl"/>
        </w:rPr>
        <w:t>deberá]</w:t>
      </w:r>
      <w:r w:rsidRPr="00432F13">
        <w:rPr>
          <w:rFonts w:ascii="Book Antiqua" w:eastAsiaTheme="minorHAnsi" w:hAnsi="Book Antiqua"/>
          <w:color w:val="000000"/>
          <w:lang w:val="es-ES_tradnl"/>
        </w:rPr>
        <w:t xml:space="preserve"> </w:t>
      </w:r>
      <w:r w:rsidRPr="00432F13">
        <w:rPr>
          <w:rFonts w:ascii="Book Antiqua" w:hAnsi="Book Antiqua"/>
          <w:i/>
          <w:lang w:val="es-ES_tradnl"/>
        </w:rPr>
        <w:t>podrá</w:t>
      </w:r>
      <w:r w:rsidRPr="00432F13">
        <w:rPr>
          <w:rFonts w:ascii="Book Antiqua" w:hAnsi="Book Antiqua"/>
          <w:lang w:val="es-ES_tradnl"/>
        </w:rPr>
        <w:t>, al amparo de lo dispuesto en esta Ley, la Ley 120-2018, la Ley 29-2009, y los reglamentos correspondientes, perfeccionar uno o varios Contratos de Alianza, mediante los cuales se transfieren las funciones de transmisión, distribución, así como la venta de la energía eléctrica</w:t>
      </w:r>
      <w:r w:rsidRPr="00432F13">
        <w:rPr>
          <w:rFonts w:ascii="Book Antiqua" w:hAnsi="Book Antiqua"/>
          <w:b/>
          <w:bCs/>
          <w:lang w:val="es-ES_tradnl"/>
        </w:rPr>
        <w:t xml:space="preserve"> </w:t>
      </w:r>
      <w:r w:rsidRPr="00432F13">
        <w:rPr>
          <w:rFonts w:ascii="Book Antiqua" w:hAnsi="Book Antiqua"/>
          <w:lang w:val="es-ES_tradnl"/>
        </w:rPr>
        <w:t xml:space="preserve">y todas aquellas actividades relacionadas a estas funciones. Lo aquí dispuesto no impide que las concesiones de las diferentes funciones se lleven a cabo de manera separada y en fechas distintas. La Autoridad retendrá el personal que fuere necesario para cumplir con su responsabilidad como Entidad Gubernamental Participante, según dicho término es definido en la Ley 29-2009 de asistir a la Autoridad para las Alianzas </w:t>
      </w:r>
      <w:proofErr w:type="gramStart"/>
      <w:r w:rsidRPr="00432F13">
        <w:rPr>
          <w:rFonts w:ascii="Book Antiqua" w:hAnsi="Book Antiqua"/>
          <w:lang w:val="es-ES_tradnl"/>
        </w:rPr>
        <w:t>Público Privadas</w:t>
      </w:r>
      <w:proofErr w:type="gramEnd"/>
      <w:r w:rsidRPr="00432F13">
        <w:rPr>
          <w:rFonts w:ascii="Book Antiqua" w:hAnsi="Book Antiqua"/>
          <w:lang w:val="es-ES_tradnl"/>
        </w:rPr>
        <w:t xml:space="preserve"> en la supervisión del cumplimiento por el Contratante con el Contrato de </w:t>
      </w:r>
      <w:r w:rsidRPr="00432F13">
        <w:rPr>
          <w:rFonts w:ascii="Book Antiqua" w:hAnsi="Book Antiqua"/>
          <w:lang w:val="es-ES_tradnl"/>
        </w:rPr>
        <w:lastRenderedPageBreak/>
        <w:t xml:space="preserve">Alianza y las métricas de desempeño que se incluyan en el mismo. </w:t>
      </w:r>
    </w:p>
    <w:p w14:paraId="7D051562" w14:textId="3ECF011A" w:rsidR="000C4086" w:rsidRPr="00432F13" w:rsidRDefault="000C4086" w:rsidP="000C4086">
      <w:pPr>
        <w:widowControl w:val="0"/>
        <w:spacing w:line="480" w:lineRule="auto"/>
        <w:ind w:left="720" w:firstLine="720"/>
        <w:jc w:val="both"/>
        <w:rPr>
          <w:rFonts w:ascii="Book Antiqua" w:hAnsi="Book Antiqua"/>
          <w:b/>
          <w:bCs/>
          <w:lang w:val="es-ES_tradnl"/>
        </w:rPr>
      </w:pPr>
      <w:r w:rsidRPr="00432F13">
        <w:rPr>
          <w:rFonts w:ascii="Book Antiqua" w:hAnsi="Book Antiqua"/>
          <w:lang w:val="es-ES_tradnl"/>
        </w:rPr>
        <w:t>El Comité de Alianza designado para llevar a cabo las Transacciones de la Autoridad deberá asegurar que el Contrato de Alianza permita maximizar el uso de fondos federales para la modernización de la red eléctrica. Además, procurará que el Contratante de la red de transmisión y distribución se obligue en el Contrato de Alianza, independientemente cual fuera la fuente de financiamiento</w:t>
      </w:r>
      <w:r w:rsidRPr="00B76928">
        <w:rPr>
          <w:rFonts w:ascii="Book Antiqua" w:hAnsi="Book Antiqua"/>
          <w:lang w:val="es-ES_tradnl"/>
        </w:rPr>
        <w:t>, a realizar las inversiones de capital que fueren necesarias</w:t>
      </w:r>
      <w:r w:rsidR="00B76928" w:rsidRPr="00711F17">
        <w:rPr>
          <w:rFonts w:ascii="Book Antiqua" w:hAnsi="Book Antiqua"/>
          <w:i/>
          <w:iCs/>
          <w:lang w:val="es-ES_tradnl"/>
        </w:rPr>
        <w:t>,</w:t>
      </w:r>
      <w:r w:rsidRPr="00711F17">
        <w:rPr>
          <w:rFonts w:ascii="Book Antiqua" w:hAnsi="Book Antiqua"/>
          <w:lang w:val="es-ES_tradnl"/>
        </w:rPr>
        <w:t xml:space="preserve"> para modernizar y/o</w:t>
      </w:r>
      <w:r w:rsidRPr="00B76928">
        <w:rPr>
          <w:rFonts w:ascii="Book Antiqua" w:hAnsi="Book Antiqua"/>
          <w:b/>
          <w:bCs/>
          <w:lang w:val="es-ES_tradnl"/>
        </w:rPr>
        <w:t xml:space="preserve"> </w:t>
      </w:r>
      <w:r w:rsidR="00432F13" w:rsidRPr="00B76928">
        <w:rPr>
          <w:rFonts w:ascii="Book Antiqua" w:hAnsi="Book Antiqua"/>
          <w:lang w:val="es-ES_tradnl"/>
        </w:rPr>
        <w:t xml:space="preserve"> </w:t>
      </w:r>
      <w:r w:rsidRPr="00432F13">
        <w:rPr>
          <w:rFonts w:ascii="Book Antiqua" w:hAnsi="Book Antiqua"/>
          <w:lang w:val="es-ES_tradnl"/>
        </w:rPr>
        <w:t xml:space="preserve">mantener en óptimas condiciones la red eléctrica de la isla, de modo que esta sea más confiable, resiliente, eficiente, y permita la integración de energía de fuentes renovables necesaria para cumplir con la cartera de energía renovable dispuesta en la Ley 82-2010. </w:t>
      </w:r>
    </w:p>
    <w:p w14:paraId="23A1ACCC" w14:textId="77777777" w:rsidR="000C4086" w:rsidRPr="00432F13" w:rsidRDefault="000C4086" w:rsidP="000C4086">
      <w:pPr>
        <w:widowControl w:val="0"/>
        <w:spacing w:line="480" w:lineRule="auto"/>
        <w:ind w:left="720" w:firstLine="720"/>
        <w:jc w:val="both"/>
        <w:rPr>
          <w:rFonts w:ascii="Book Antiqua" w:hAnsi="Book Antiqua"/>
          <w:b/>
          <w:bCs/>
          <w:lang w:val="es-ES_tradnl"/>
        </w:rPr>
      </w:pPr>
      <w:r w:rsidRPr="00432F13">
        <w:rPr>
          <w:rFonts w:ascii="Book Antiqua" w:hAnsi="Book Antiqua"/>
          <w:lang w:val="es-ES_tradnl"/>
        </w:rPr>
        <w:t xml:space="preserve">Un año antes de finalizar el Contrato de Alianza perfeccionado en relación a la operación de la red de transmisión y distribución, previa evaluación de los resultados del desempeño del Contratante, la Autoridad de Energía Eléctrica, la Autoridad para las Alianzas Público Privadas, y el Negociado rendirán sendos informes al Gobernador y a la Asamblea Legislativa, los cuales presentarán sus evaluaciones de los resultados de dicho Contrato de Alianza junto a sus recomendaciones </w:t>
      </w:r>
      <w:r w:rsidRPr="00432F13">
        <w:rPr>
          <w:rFonts w:ascii="Book Antiqua" w:hAnsi="Book Antiqua"/>
          <w:b/>
          <w:bCs/>
          <w:lang w:val="es-ES_tradnl"/>
        </w:rPr>
        <w:t>[sobre la conveniencia de establecer una nueva contratación que delegue las mismas o solamente algunas funciones delegadas en el Contrato de Alianza original, o establecer un nuevo modelo para el Sistema Eléctrico]</w:t>
      </w:r>
      <w:r w:rsidRPr="00432F13">
        <w:rPr>
          <w:rFonts w:ascii="Book Antiqua" w:hAnsi="Book Antiqua"/>
          <w:lang w:val="es-ES_tradnl"/>
        </w:rPr>
        <w:t>.</w:t>
      </w:r>
      <w:r w:rsidRPr="00432F13">
        <w:rPr>
          <w:rFonts w:ascii="Book Antiqua" w:hAnsi="Book Antiqua"/>
          <w:b/>
          <w:bCs/>
          <w:lang w:val="es-ES_tradnl"/>
        </w:rPr>
        <w:t xml:space="preserve"> </w:t>
      </w:r>
    </w:p>
    <w:p w14:paraId="1121FC5D" w14:textId="77777777" w:rsidR="000C4086" w:rsidRPr="00432F13" w:rsidRDefault="000C4086" w:rsidP="000C4086">
      <w:pPr>
        <w:pStyle w:val="BodyA"/>
        <w:spacing w:line="480" w:lineRule="auto"/>
        <w:ind w:left="1418" w:hanging="709"/>
        <w:jc w:val="both"/>
        <w:rPr>
          <w:rFonts w:ascii="Book Antiqua" w:eastAsia="Book Antiqua" w:hAnsi="Book Antiqua" w:cs="Book Antiqua"/>
          <w:i/>
          <w:iCs/>
        </w:rPr>
      </w:pPr>
      <w:r w:rsidRPr="00432F13">
        <w:rPr>
          <w:rFonts w:ascii="Book Antiqua" w:hAnsi="Book Antiqua"/>
          <w:i/>
          <w:iCs/>
        </w:rPr>
        <w:t xml:space="preserve">(c) </w:t>
      </w:r>
      <w:r w:rsidRPr="00432F13">
        <w:rPr>
          <w:rFonts w:ascii="Book Antiqua" w:hAnsi="Book Antiqua"/>
          <w:i/>
          <w:iCs/>
        </w:rPr>
        <w:tab/>
        <w:t xml:space="preserve">En el caso de Contratos de Alianza firmados con posterioridad al 1ro de enero de 2025, para garantizar el cumplimiento con el principio de despacho económico, la </w:t>
      </w:r>
      <w:r w:rsidRPr="00432F13">
        <w:rPr>
          <w:rFonts w:ascii="Book Antiqua" w:hAnsi="Book Antiqua"/>
          <w:i/>
          <w:iCs/>
        </w:rPr>
        <w:lastRenderedPageBreak/>
        <w:t xml:space="preserve">responsabilidad de hacer cumplir el principio de despacho económico no puede recaer sobre una compañía de servicio eléctrico que tenga cualquier otra responsabilidad sobre la red o la generación. La recopilación de información sobre las métricas de cumplimiento de una compañía de servicio eléctrico no puede estar a cargo de la misma compañía de servicio eléctrico. </w:t>
      </w:r>
    </w:p>
    <w:p w14:paraId="78B9379A" w14:textId="77777777" w:rsidR="000C4086" w:rsidRPr="00432F13" w:rsidRDefault="000C4086" w:rsidP="000C4086">
      <w:pPr>
        <w:widowControl w:val="0"/>
        <w:spacing w:line="480" w:lineRule="auto"/>
        <w:ind w:left="720" w:firstLine="720"/>
        <w:jc w:val="both"/>
        <w:rPr>
          <w:rFonts w:ascii="Book Antiqua" w:hAnsi="Book Antiqua"/>
          <w:lang w:val="es-ES_tradnl"/>
        </w:rPr>
      </w:pPr>
      <w:r w:rsidRPr="00432F13">
        <w:rPr>
          <w:rFonts w:ascii="Book Antiqua" w:hAnsi="Book Antiqua"/>
          <w:lang w:val="es-ES_tradnl"/>
        </w:rPr>
        <w:t>Nada de lo dispuesto en este Artículo 1.8 será considerado o interpretado como limitación de la autorización para llevar a cabo cualquier Transacción de la AEE al amparo de la Ley 120-2018 o como una expiración de la vigencia de dicha autorización o estatuto.”</w:t>
      </w:r>
    </w:p>
    <w:p w14:paraId="5F8F349C" w14:textId="3B9D91D8" w:rsidR="000C4086" w:rsidRPr="00432F13" w:rsidRDefault="000E722D"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Sección 4</w:t>
      </w:r>
      <w:r w:rsidR="000C4086" w:rsidRPr="00432F13">
        <w:rPr>
          <w:rFonts w:ascii="Book Antiqua" w:hAnsi="Book Antiqua"/>
          <w:lang w:val="es-ES_tradnl"/>
        </w:rPr>
        <w:t>.-Se enmienda la Sección 2. (e) de la Ley 120-2018, según enmendada, conocida como la “Ley de Política Pública Energética”, para que lea como sigue:</w:t>
      </w:r>
    </w:p>
    <w:p w14:paraId="64D617F7" w14:textId="77777777" w:rsidR="000C4086" w:rsidRPr="00432F13" w:rsidRDefault="000C4086"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 xml:space="preserve">“Para propósitos de esta Ley, las palabras o términos aquí utilizados tendrán el significado dispuesto en la Ley 29-2009, excepto cuando una palabra o término sea expresamente definido en esta Ley o donde el contexto claramente indique otra cosa. De igual forma, las palabras o términos definidos en esta Sección, cuando son utilizados en la Ley 29-2009, </w:t>
      </w:r>
      <w:proofErr w:type="gramStart"/>
      <w:r w:rsidRPr="00432F13">
        <w:rPr>
          <w:rFonts w:ascii="Book Antiqua" w:hAnsi="Book Antiqua"/>
          <w:lang w:val="es-ES_tradnl"/>
        </w:rPr>
        <w:t>en relación a</w:t>
      </w:r>
      <w:proofErr w:type="gramEnd"/>
      <w:r w:rsidRPr="00432F13">
        <w:rPr>
          <w:rFonts w:ascii="Book Antiqua" w:hAnsi="Book Antiqua"/>
          <w:lang w:val="es-ES_tradnl"/>
        </w:rPr>
        <w:t xml:space="preserve"> una Transacción de la AEE, se interpretarán con el significado provisto en esta Ley. Las palabras usadas en el singular incluirán el plural y viceversa. No obstante, las siguientes palabras o términos tendrán los significados que se indican a continuación, excepto disposición en contrario o donde el contexto claramente indique otra cosa:</w:t>
      </w:r>
    </w:p>
    <w:p w14:paraId="04625BA4" w14:textId="77777777" w:rsidR="000C4086" w:rsidRPr="00432F13" w:rsidRDefault="000C4086" w:rsidP="000C4086">
      <w:pPr>
        <w:pStyle w:val="ListParagraph"/>
        <w:widowControl w:val="0"/>
        <w:numPr>
          <w:ilvl w:val="0"/>
          <w:numId w:val="21"/>
        </w:numPr>
        <w:spacing w:line="480" w:lineRule="auto"/>
        <w:jc w:val="both"/>
        <w:rPr>
          <w:rFonts w:ascii="Book Antiqua" w:hAnsi="Book Antiqua"/>
          <w:szCs w:val="24"/>
          <w:lang w:val="es-ES_tradnl"/>
        </w:rPr>
      </w:pPr>
      <w:r w:rsidRPr="00432F13">
        <w:rPr>
          <w:rFonts w:ascii="Book Antiqua" w:hAnsi="Book Antiqua"/>
          <w:szCs w:val="24"/>
          <w:lang w:val="es-ES_tradnl"/>
        </w:rPr>
        <w:t>…</w:t>
      </w:r>
    </w:p>
    <w:p w14:paraId="4C624E30" w14:textId="77777777" w:rsidR="000C4086" w:rsidRPr="00432F13" w:rsidRDefault="000C4086" w:rsidP="000C4086">
      <w:pPr>
        <w:pStyle w:val="ListParagraph"/>
        <w:widowControl w:val="0"/>
        <w:numPr>
          <w:ilvl w:val="0"/>
          <w:numId w:val="21"/>
        </w:numPr>
        <w:spacing w:line="480" w:lineRule="auto"/>
        <w:jc w:val="both"/>
        <w:rPr>
          <w:rFonts w:ascii="Book Antiqua" w:hAnsi="Book Antiqua"/>
          <w:szCs w:val="24"/>
          <w:lang w:val="es-ES_tradnl"/>
        </w:rPr>
      </w:pPr>
      <w:r w:rsidRPr="00432F13">
        <w:rPr>
          <w:rFonts w:ascii="Book Antiqua" w:hAnsi="Book Antiqua"/>
          <w:szCs w:val="24"/>
          <w:lang w:val="es-ES_tradnl"/>
        </w:rPr>
        <w:t>…</w:t>
      </w:r>
    </w:p>
    <w:p w14:paraId="725E5656" w14:textId="77777777" w:rsidR="000C4086" w:rsidRPr="00432F13" w:rsidRDefault="000C4086" w:rsidP="000C4086">
      <w:pPr>
        <w:pStyle w:val="ListParagraph"/>
        <w:widowControl w:val="0"/>
        <w:spacing w:line="480" w:lineRule="auto"/>
        <w:ind w:left="1068"/>
        <w:jc w:val="both"/>
        <w:rPr>
          <w:rFonts w:ascii="Book Antiqua" w:hAnsi="Book Antiqua"/>
          <w:szCs w:val="24"/>
          <w:lang w:val="es-ES_tradnl"/>
        </w:rPr>
      </w:pPr>
      <w:r w:rsidRPr="00432F13">
        <w:rPr>
          <w:rFonts w:ascii="Book Antiqua" w:hAnsi="Book Antiqua"/>
          <w:szCs w:val="24"/>
          <w:lang w:val="es-ES_tradnl"/>
        </w:rPr>
        <w:lastRenderedPageBreak/>
        <w:t>…</w:t>
      </w:r>
    </w:p>
    <w:p w14:paraId="28230559" w14:textId="6BDE4573" w:rsidR="000C4086" w:rsidRPr="00432F13" w:rsidRDefault="000C4086" w:rsidP="000C4086">
      <w:pPr>
        <w:widowControl w:val="0"/>
        <w:spacing w:line="480" w:lineRule="auto"/>
        <w:ind w:left="1440" w:hanging="732"/>
        <w:jc w:val="both"/>
        <w:rPr>
          <w:rFonts w:ascii="Book Antiqua" w:hAnsi="Book Antiqua"/>
          <w:i/>
          <w:iCs/>
          <w:lang w:val="es-ES_tradnl"/>
        </w:rPr>
      </w:pPr>
      <w:r w:rsidRPr="00432F13">
        <w:rPr>
          <w:rFonts w:ascii="Book Antiqua" w:hAnsi="Book Antiqua"/>
          <w:lang w:val="es-ES_tradnl"/>
        </w:rPr>
        <w:t xml:space="preserve">(e) </w:t>
      </w:r>
      <w:r w:rsidRPr="00432F13">
        <w:rPr>
          <w:rFonts w:ascii="Book Antiqua" w:hAnsi="Book Antiqua"/>
          <w:lang w:val="es-ES_tradnl"/>
        </w:rPr>
        <w:tab/>
        <w:t>Comisión o Negociado:</w:t>
      </w:r>
      <w:r w:rsidRPr="00432F13">
        <w:rPr>
          <w:rFonts w:ascii="Book Antiqua" w:hAnsi="Book Antiqua"/>
          <w:b/>
          <w:lang w:val="es-ES_tradnl"/>
        </w:rPr>
        <w:t xml:space="preserve"> </w:t>
      </w:r>
      <w:r w:rsidRPr="00432F13">
        <w:rPr>
          <w:rFonts w:ascii="Book Antiqua" w:hAnsi="Book Antiqua"/>
          <w:lang w:val="es-ES_tradnl"/>
        </w:rPr>
        <w:t xml:space="preserve">Significará el Negociado de Energía de Puerto Rico, según establecido en virtud del Plan de Reorganización de la Junta </w:t>
      </w:r>
      <w:proofErr w:type="spellStart"/>
      <w:r w:rsidRPr="00432F13">
        <w:rPr>
          <w:rFonts w:ascii="Book Antiqua" w:hAnsi="Book Antiqua"/>
          <w:lang w:val="es-ES_tradnl"/>
        </w:rPr>
        <w:t>Reglamentadora</w:t>
      </w:r>
      <w:proofErr w:type="spellEnd"/>
      <w:r w:rsidRPr="00432F13">
        <w:rPr>
          <w:rFonts w:ascii="Book Antiqua" w:hAnsi="Book Antiqua"/>
          <w:lang w:val="es-ES_tradnl"/>
        </w:rPr>
        <w:t xml:space="preserve"> de Servicio Público de Puerto Rico y la Ley 211-2018, que es un ente independiente especializado encargado de reglamentar, </w:t>
      </w:r>
      <w:r w:rsidR="000E722D" w:rsidRPr="000E722D">
        <w:rPr>
          <w:rFonts w:ascii="Book Antiqua" w:hAnsi="Book Antiqua"/>
          <w:b/>
          <w:bCs/>
          <w:lang w:val="es-ES_tradnl"/>
        </w:rPr>
        <w:t>[supervisar]</w:t>
      </w:r>
      <w:r w:rsidR="000E722D">
        <w:rPr>
          <w:rFonts w:ascii="Book Antiqua" w:hAnsi="Book Antiqua"/>
          <w:lang w:val="es-ES_tradnl"/>
        </w:rPr>
        <w:t xml:space="preserve"> </w:t>
      </w:r>
      <w:r w:rsidRPr="000E722D">
        <w:rPr>
          <w:rFonts w:ascii="Book Antiqua" w:hAnsi="Book Antiqua"/>
          <w:i/>
          <w:iCs/>
          <w:lang w:val="es-ES_tradnl"/>
        </w:rPr>
        <w:t>fiscalizar</w:t>
      </w:r>
      <w:r w:rsidRPr="00432F13">
        <w:rPr>
          <w:rFonts w:ascii="Book Antiqua" w:hAnsi="Book Antiqua"/>
          <w:lang w:val="es-ES_tradnl"/>
        </w:rPr>
        <w:t xml:space="preserve"> y hacer cumplir la política pública energética del Gobierno [</w:t>
      </w:r>
      <w:r w:rsidRPr="00432F13">
        <w:rPr>
          <w:rFonts w:ascii="Book Antiqua" w:hAnsi="Book Antiqua"/>
          <w:b/>
          <w:bCs/>
          <w:lang w:val="es-ES_tradnl"/>
        </w:rPr>
        <w:t>Puerto Rico</w:t>
      </w:r>
      <w:r w:rsidRPr="00432F13">
        <w:rPr>
          <w:rFonts w:ascii="Book Antiqua" w:hAnsi="Book Antiqua"/>
          <w:lang w:val="es-ES_tradnl"/>
        </w:rPr>
        <w:t xml:space="preserve">. </w:t>
      </w:r>
      <w:r w:rsidRPr="00432F13">
        <w:rPr>
          <w:rFonts w:ascii="Book Antiqua" w:hAnsi="Book Antiqua"/>
          <w:b/>
          <w:bCs/>
          <w:lang w:val="es-ES_tradnl"/>
        </w:rPr>
        <w:t>Toda referencia que esta Ley haga a “la Comisión o Comisión de Energía”, se entenderá que se refiere al Negociado de Energía de Puerto Rico</w:t>
      </w:r>
      <w:r w:rsidR="0027300C">
        <w:rPr>
          <w:rFonts w:ascii="Book Antiqua" w:hAnsi="Book Antiqua"/>
          <w:b/>
          <w:bCs/>
          <w:lang w:val="es-ES_tradnl"/>
        </w:rPr>
        <w:t>]</w:t>
      </w:r>
      <w:r w:rsidR="006024A3">
        <w:rPr>
          <w:rFonts w:ascii="Book Antiqua" w:hAnsi="Book Antiqua"/>
          <w:lang w:val="es-ES_tradnl"/>
        </w:rPr>
        <w:t xml:space="preserve">. </w:t>
      </w:r>
      <w:r w:rsidR="00635CCB">
        <w:rPr>
          <w:rFonts w:ascii="Book Antiqua" w:hAnsi="Book Antiqua"/>
          <w:lang w:val="es-ES_tradnl"/>
        </w:rPr>
        <w:t xml:space="preserve"> </w:t>
      </w:r>
      <w:r w:rsidR="006024A3" w:rsidRPr="006024A3">
        <w:rPr>
          <w:rFonts w:ascii="Book Antiqua" w:hAnsi="Book Antiqua"/>
          <w:i/>
          <w:iCs/>
          <w:lang w:val="es-ES_tradnl"/>
        </w:rPr>
        <w:t>La</w:t>
      </w:r>
      <w:r w:rsidR="006024A3">
        <w:rPr>
          <w:rFonts w:ascii="Book Antiqua" w:hAnsi="Book Antiqua"/>
          <w:lang w:val="es-ES_tradnl"/>
        </w:rPr>
        <w:t xml:space="preserve"> </w:t>
      </w:r>
      <w:r w:rsidRPr="00432F13">
        <w:rPr>
          <w:rFonts w:ascii="Book Antiqua" w:hAnsi="Book Antiqua"/>
          <w:i/>
          <w:iCs/>
          <w:lang w:val="es-ES_tradnl"/>
        </w:rPr>
        <w:t>anterior Comisión de Energía creada por la Ley 57-2014, según enmendada. La participación de la Comisión (ahora Negociado de Energía) se limitará a su función reguladora y no participará en procesos de adjudicación o supervisión de contratos de alianzas, para evitar conflictos de intereses, o aun la apariencia de conflictos de intereses, entre ambas funciones. Toda referencia que esta Ley haga a “la Comisión o Comisión de Energía” se entenderá que se refiere al Negociado de Energía de Puerto Rico.</w:t>
      </w:r>
    </w:p>
    <w:p w14:paraId="6290F495" w14:textId="77777777" w:rsidR="000C4086" w:rsidRPr="00432F13" w:rsidRDefault="000C4086" w:rsidP="000C4086">
      <w:pPr>
        <w:widowControl w:val="0"/>
        <w:spacing w:line="480" w:lineRule="auto"/>
        <w:ind w:firstLine="708"/>
        <w:jc w:val="both"/>
        <w:rPr>
          <w:rFonts w:ascii="Book Antiqua" w:hAnsi="Book Antiqua"/>
          <w:i/>
          <w:iCs/>
          <w:lang w:val="es-ES_tradnl"/>
        </w:rPr>
      </w:pPr>
      <w:r w:rsidRPr="00432F13">
        <w:rPr>
          <w:rFonts w:ascii="Book Antiqua" w:hAnsi="Book Antiqua"/>
          <w:i/>
          <w:iCs/>
          <w:lang w:val="es-ES_tradnl"/>
        </w:rPr>
        <w:t>…</w:t>
      </w:r>
    </w:p>
    <w:p w14:paraId="6E03DC61" w14:textId="77777777" w:rsidR="000C4086" w:rsidRPr="00432F13" w:rsidRDefault="000C4086" w:rsidP="000C4086">
      <w:pPr>
        <w:widowControl w:val="0"/>
        <w:spacing w:line="480" w:lineRule="auto"/>
        <w:ind w:firstLine="708"/>
        <w:jc w:val="both"/>
        <w:rPr>
          <w:rFonts w:ascii="Book Antiqua" w:hAnsi="Book Antiqua"/>
          <w:lang w:val="es-ES_tradnl"/>
        </w:rPr>
      </w:pPr>
      <w:r w:rsidRPr="00432F13">
        <w:rPr>
          <w:rFonts w:ascii="Book Antiqua" w:hAnsi="Book Antiqua"/>
          <w:lang w:val="es-ES_tradnl"/>
        </w:rPr>
        <w:t xml:space="preserve">(m) …” </w:t>
      </w:r>
    </w:p>
    <w:p w14:paraId="691BFF78" w14:textId="77777777" w:rsidR="000C4086" w:rsidRPr="00432F13" w:rsidRDefault="000C4086" w:rsidP="000C4086">
      <w:pPr>
        <w:spacing w:line="480" w:lineRule="auto"/>
        <w:ind w:firstLine="708"/>
        <w:jc w:val="both"/>
        <w:rPr>
          <w:rFonts w:ascii="Book Antiqua" w:hAnsi="Book Antiqua"/>
          <w:color w:val="000000"/>
          <w:lang w:val="es-ES_tradnl"/>
        </w:rPr>
      </w:pPr>
      <w:r w:rsidRPr="00432F13">
        <w:rPr>
          <w:rFonts w:ascii="Book Antiqua" w:hAnsi="Book Antiqua"/>
          <w:color w:val="000000"/>
          <w:lang w:val="es-ES_tradnl"/>
        </w:rPr>
        <w:t>Sección 5.-Separabilidad.</w:t>
      </w:r>
    </w:p>
    <w:p w14:paraId="7D88DC58" w14:textId="77777777" w:rsidR="000C4086" w:rsidRPr="00432F13" w:rsidRDefault="000C4086" w:rsidP="000C4086">
      <w:pPr>
        <w:spacing w:line="480" w:lineRule="auto"/>
        <w:ind w:firstLine="732"/>
        <w:jc w:val="both"/>
        <w:rPr>
          <w:rFonts w:ascii="Book Antiqua" w:eastAsia="Calibri" w:hAnsi="Book Antiqua"/>
          <w:lang w:val="es-ES_tradnl"/>
        </w:rPr>
      </w:pPr>
      <w:r w:rsidRPr="00432F13">
        <w:rPr>
          <w:rFonts w:ascii="Book Antiqua" w:eastAsia="Calibri" w:hAnsi="Book Antiqua"/>
          <w:lang w:val="es-ES_tradnl"/>
        </w:rPr>
        <w:t xml:space="preserve">Si cualquier parte de esta Ley fuera anulada o declarada inconstitucional, la resolución, el dictamen o la sentencia dictada a tal efecto no afectará, perjudicará, ni invalidará el remanente de esta Ley. El efecto de tal sentencia quedará limitado a la o parte de ésta que así hubiera sido anulada o declarada inconstitucional. Si la aplicación a </w:t>
      </w:r>
      <w:r w:rsidRPr="00432F13">
        <w:rPr>
          <w:rFonts w:ascii="Book Antiqua" w:eastAsia="Calibri" w:hAnsi="Book Antiqua"/>
          <w:lang w:val="es-ES_tradnl"/>
        </w:rPr>
        <w:lastRenderedPageBreak/>
        <w:t>una persona o a una circunstancia de cualquier cláusula, párrafo,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158C1640" w14:textId="77777777" w:rsidR="000C4086" w:rsidRPr="00432F13" w:rsidRDefault="000C4086" w:rsidP="000C4086">
      <w:pPr>
        <w:spacing w:line="480" w:lineRule="auto"/>
        <w:ind w:firstLine="720"/>
        <w:jc w:val="both"/>
        <w:rPr>
          <w:rFonts w:ascii="Book Antiqua" w:hAnsi="Book Antiqua"/>
          <w:lang w:val="es-ES_tradnl"/>
        </w:rPr>
      </w:pPr>
      <w:r w:rsidRPr="00432F13">
        <w:rPr>
          <w:rFonts w:ascii="Book Antiqua" w:hAnsi="Book Antiqua"/>
          <w:lang w:val="es-ES_tradnl"/>
        </w:rPr>
        <w:t>Sección 6.-Vigencia.</w:t>
      </w:r>
    </w:p>
    <w:p w14:paraId="45A4D5A1" w14:textId="301A2BD2" w:rsidR="00D24306" w:rsidRPr="00432F13" w:rsidRDefault="000C4086" w:rsidP="000C4086">
      <w:pPr>
        <w:autoSpaceDE w:val="0"/>
        <w:autoSpaceDN w:val="0"/>
        <w:adjustRightInd w:val="0"/>
        <w:spacing w:line="480" w:lineRule="auto"/>
        <w:ind w:firstLine="720"/>
        <w:jc w:val="both"/>
        <w:rPr>
          <w:rFonts w:ascii="Book Antiqua" w:hAnsi="Book Antiqua"/>
          <w:lang w:val="es-ES_tradnl"/>
        </w:rPr>
      </w:pPr>
      <w:r w:rsidRPr="00432F13">
        <w:rPr>
          <w:rFonts w:ascii="Book Antiqua" w:hAnsi="Book Antiqua"/>
          <w:lang w:val="es-ES_tradnl"/>
        </w:rPr>
        <w:t>Esta Ley comenzará a regir inmediatamente después de su aprobación.</w:t>
      </w:r>
    </w:p>
    <w:sectPr w:rsidR="00D24306" w:rsidRPr="00432F13" w:rsidSect="00942D5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1008"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85FB9" w14:textId="77777777" w:rsidR="00584BA1" w:rsidRDefault="00584BA1" w:rsidP="00B9675F">
      <w:r>
        <w:separator/>
      </w:r>
    </w:p>
  </w:endnote>
  <w:endnote w:type="continuationSeparator" w:id="0">
    <w:p w14:paraId="2D85A001" w14:textId="77777777" w:rsidR="00584BA1" w:rsidRDefault="00584BA1" w:rsidP="00B9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76A0" w14:textId="77777777" w:rsidR="000C4086" w:rsidRDefault="000C4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F16E8" w14:textId="77777777" w:rsidR="000C4086" w:rsidRDefault="000C40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2688C" w14:textId="77777777" w:rsidR="000C4086" w:rsidRDefault="000C4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BEAB" w14:textId="77777777" w:rsidR="00584BA1" w:rsidRDefault="00584BA1" w:rsidP="00B9675F">
      <w:r>
        <w:separator/>
      </w:r>
    </w:p>
  </w:footnote>
  <w:footnote w:type="continuationSeparator" w:id="0">
    <w:p w14:paraId="4D753523" w14:textId="77777777" w:rsidR="00584BA1" w:rsidRDefault="00584BA1" w:rsidP="00B96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1C8D2" w14:textId="41FCABF0" w:rsidR="000C4086" w:rsidRDefault="000C4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862C" w14:textId="139F7820" w:rsidR="00F2719B" w:rsidRPr="000C4086" w:rsidRDefault="00D9643B">
    <w:pPr>
      <w:pStyle w:val="Header"/>
      <w:jc w:val="center"/>
      <w:rPr>
        <w:rFonts w:ascii="Book Antiqua" w:hAnsi="Book Antiqua"/>
        <w:sz w:val="24"/>
        <w:szCs w:val="24"/>
      </w:rPr>
    </w:pPr>
    <w:r w:rsidRPr="000C4086">
      <w:rPr>
        <w:rFonts w:ascii="Book Antiqua" w:hAnsi="Book Antiqua"/>
        <w:sz w:val="24"/>
        <w:szCs w:val="24"/>
      </w:rPr>
      <w:fldChar w:fldCharType="begin"/>
    </w:r>
    <w:r w:rsidRPr="000C4086">
      <w:rPr>
        <w:rFonts w:ascii="Book Antiqua" w:hAnsi="Book Antiqua"/>
        <w:sz w:val="24"/>
        <w:szCs w:val="24"/>
      </w:rPr>
      <w:instrText xml:space="preserve"> PAGE   \* MERGEFORMAT </w:instrText>
    </w:r>
    <w:r w:rsidRPr="000C4086">
      <w:rPr>
        <w:rFonts w:ascii="Book Antiqua" w:hAnsi="Book Antiqua"/>
        <w:sz w:val="24"/>
        <w:szCs w:val="24"/>
      </w:rPr>
      <w:fldChar w:fldCharType="separate"/>
    </w:r>
    <w:r w:rsidR="00E04A48" w:rsidRPr="000C4086">
      <w:rPr>
        <w:rFonts w:ascii="Book Antiqua" w:hAnsi="Book Antiqua"/>
        <w:noProof/>
        <w:sz w:val="24"/>
        <w:szCs w:val="24"/>
      </w:rPr>
      <w:t>5</w:t>
    </w:r>
    <w:r w:rsidRPr="000C4086">
      <w:rPr>
        <w:rFonts w:ascii="Book Antiqua" w:hAnsi="Book Antiqua"/>
        <w:noProof/>
        <w:sz w:val="24"/>
        <w:szCs w:val="24"/>
      </w:rPr>
      <w:fldChar w:fldCharType="end"/>
    </w:r>
  </w:p>
  <w:p w14:paraId="0ECE2E96" w14:textId="155CE0AB" w:rsidR="00F2719B" w:rsidRDefault="00F2719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D7B2D" w14:textId="5F224D4F" w:rsidR="000C4086" w:rsidRDefault="000C40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7406"/>
    <w:multiLevelType w:val="hybridMultilevel"/>
    <w:tmpl w:val="A7526FDE"/>
    <w:lvl w:ilvl="0" w:tplc="2E168F02">
      <w:start w:val="1"/>
      <w:numFmt w:val="decimal"/>
      <w:lvlText w:val="%1."/>
      <w:lvlJc w:val="left"/>
      <w:pPr>
        <w:ind w:left="720" w:hanging="360"/>
      </w:pPr>
    </w:lvl>
    <w:lvl w:ilvl="1" w:tplc="EB886AE4">
      <w:start w:val="1"/>
      <w:numFmt w:val="lowerLetter"/>
      <w:lvlText w:val="%2."/>
      <w:lvlJc w:val="left"/>
      <w:pPr>
        <w:ind w:left="1440" w:hanging="360"/>
      </w:pPr>
    </w:lvl>
    <w:lvl w:ilvl="2" w:tplc="3182B382">
      <w:start w:val="1"/>
      <w:numFmt w:val="lowerRoman"/>
      <w:lvlText w:val="%3."/>
      <w:lvlJc w:val="right"/>
      <w:pPr>
        <w:ind w:left="2160" w:hanging="180"/>
      </w:pPr>
    </w:lvl>
    <w:lvl w:ilvl="3" w:tplc="F9F6F4BA">
      <w:start w:val="1"/>
      <w:numFmt w:val="decimal"/>
      <w:lvlText w:val="%4."/>
      <w:lvlJc w:val="left"/>
      <w:pPr>
        <w:ind w:left="2880" w:hanging="360"/>
      </w:pPr>
    </w:lvl>
    <w:lvl w:ilvl="4" w:tplc="20888894">
      <w:start w:val="1"/>
      <w:numFmt w:val="lowerLetter"/>
      <w:lvlText w:val="%5."/>
      <w:lvlJc w:val="left"/>
      <w:pPr>
        <w:ind w:left="3600" w:hanging="360"/>
      </w:pPr>
    </w:lvl>
    <w:lvl w:ilvl="5" w:tplc="324882E8">
      <w:start w:val="1"/>
      <w:numFmt w:val="lowerRoman"/>
      <w:lvlText w:val="%6."/>
      <w:lvlJc w:val="right"/>
      <w:pPr>
        <w:ind w:left="4320" w:hanging="180"/>
      </w:pPr>
    </w:lvl>
    <w:lvl w:ilvl="6" w:tplc="67DCD926">
      <w:start w:val="1"/>
      <w:numFmt w:val="decimal"/>
      <w:lvlText w:val="%7."/>
      <w:lvlJc w:val="left"/>
      <w:pPr>
        <w:ind w:left="5040" w:hanging="360"/>
      </w:pPr>
    </w:lvl>
    <w:lvl w:ilvl="7" w:tplc="2D129790">
      <w:start w:val="1"/>
      <w:numFmt w:val="lowerLetter"/>
      <w:lvlText w:val="%8."/>
      <w:lvlJc w:val="left"/>
      <w:pPr>
        <w:ind w:left="5760" w:hanging="360"/>
      </w:pPr>
    </w:lvl>
    <w:lvl w:ilvl="8" w:tplc="00C4C05C">
      <w:start w:val="1"/>
      <w:numFmt w:val="lowerRoman"/>
      <w:lvlText w:val="%9."/>
      <w:lvlJc w:val="right"/>
      <w:pPr>
        <w:ind w:left="6480" w:hanging="180"/>
      </w:pPr>
    </w:lvl>
  </w:abstractNum>
  <w:abstractNum w:abstractNumId="1" w15:restartNumberingAfterBreak="0">
    <w:nsid w:val="08D3443B"/>
    <w:multiLevelType w:val="hybridMultilevel"/>
    <w:tmpl w:val="59D0F132"/>
    <w:lvl w:ilvl="0" w:tplc="F0B2970E">
      <w:start w:val="1"/>
      <w:numFmt w:val="lowerLetter"/>
      <w:lvlText w:val="%1-"/>
      <w:lvlJc w:val="left"/>
      <w:pPr>
        <w:tabs>
          <w:tab w:val="num" w:pos="3240"/>
        </w:tabs>
        <w:ind w:left="3240" w:hanging="360"/>
      </w:pPr>
      <w:rPr>
        <w:rFonts w:hint="default"/>
      </w:rPr>
    </w:lvl>
    <w:lvl w:ilvl="1" w:tplc="04090019">
      <w:start w:val="1"/>
      <w:numFmt w:val="lowerLetter"/>
      <w:lvlText w:val="%2."/>
      <w:lvlJc w:val="left"/>
      <w:pPr>
        <w:tabs>
          <w:tab w:val="num" w:pos="3960"/>
        </w:tabs>
        <w:ind w:left="3960" w:hanging="360"/>
      </w:pPr>
    </w:lvl>
    <w:lvl w:ilvl="2" w:tplc="0409001B">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start w:val="1"/>
      <w:numFmt w:val="lowerLetter"/>
      <w:lvlText w:val="%5."/>
      <w:lvlJc w:val="left"/>
      <w:pPr>
        <w:tabs>
          <w:tab w:val="num" w:pos="6120"/>
        </w:tabs>
        <w:ind w:left="6120" w:hanging="360"/>
      </w:pPr>
    </w:lvl>
    <w:lvl w:ilvl="5" w:tplc="0409001B">
      <w:start w:val="1"/>
      <w:numFmt w:val="lowerRoman"/>
      <w:lvlText w:val="%6."/>
      <w:lvlJc w:val="right"/>
      <w:pPr>
        <w:tabs>
          <w:tab w:val="num" w:pos="6840"/>
        </w:tabs>
        <w:ind w:left="6840" w:hanging="180"/>
      </w:pPr>
    </w:lvl>
    <w:lvl w:ilvl="6" w:tplc="0409000F">
      <w:start w:val="1"/>
      <w:numFmt w:val="decimal"/>
      <w:lvlText w:val="%7."/>
      <w:lvlJc w:val="left"/>
      <w:pPr>
        <w:tabs>
          <w:tab w:val="num" w:pos="7560"/>
        </w:tabs>
        <w:ind w:left="7560" w:hanging="360"/>
      </w:pPr>
    </w:lvl>
    <w:lvl w:ilvl="7" w:tplc="04090019">
      <w:start w:val="1"/>
      <w:numFmt w:val="lowerLetter"/>
      <w:lvlText w:val="%8."/>
      <w:lvlJc w:val="left"/>
      <w:pPr>
        <w:tabs>
          <w:tab w:val="num" w:pos="8280"/>
        </w:tabs>
        <w:ind w:left="8280" w:hanging="360"/>
      </w:pPr>
    </w:lvl>
    <w:lvl w:ilvl="8" w:tplc="0409001B">
      <w:start w:val="1"/>
      <w:numFmt w:val="lowerRoman"/>
      <w:lvlText w:val="%9."/>
      <w:lvlJc w:val="right"/>
      <w:pPr>
        <w:tabs>
          <w:tab w:val="num" w:pos="9000"/>
        </w:tabs>
        <w:ind w:left="9000" w:hanging="180"/>
      </w:pPr>
    </w:lvl>
  </w:abstractNum>
  <w:abstractNum w:abstractNumId="2" w15:restartNumberingAfterBreak="0">
    <w:nsid w:val="11220722"/>
    <w:multiLevelType w:val="hybridMultilevel"/>
    <w:tmpl w:val="AB5087B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81E62FF"/>
    <w:multiLevelType w:val="hybridMultilevel"/>
    <w:tmpl w:val="212E65AE"/>
    <w:lvl w:ilvl="0" w:tplc="F64C8B18">
      <w:start w:val="1"/>
      <w:numFmt w:val="decimal"/>
      <w:lvlText w:val="%1."/>
      <w:lvlJc w:val="left"/>
      <w:pPr>
        <w:tabs>
          <w:tab w:val="num" w:pos="1440"/>
        </w:tabs>
        <w:ind w:left="1440" w:hanging="720"/>
      </w:pPr>
      <w:rPr>
        <w:rFonts w:hint="default"/>
      </w:rPr>
    </w:lvl>
    <w:lvl w:ilvl="1" w:tplc="A402903C">
      <w:start w:val="2"/>
      <w:numFmt w:val="upperLetter"/>
      <w:lvlText w:val="%2."/>
      <w:lvlJc w:val="left"/>
      <w:pPr>
        <w:tabs>
          <w:tab w:val="num" w:pos="2160"/>
        </w:tabs>
        <w:ind w:left="2160" w:hanging="720"/>
      </w:pPr>
      <w:rPr>
        <w:rFonts w:hint="default"/>
      </w:rPr>
    </w:lvl>
    <w:lvl w:ilvl="2" w:tplc="A458471E">
      <w:start w:val="11"/>
      <w:numFmt w:val="decimal"/>
      <w:lvlText w:val="%3."/>
      <w:lvlJc w:val="left"/>
      <w:pPr>
        <w:tabs>
          <w:tab w:val="num" w:pos="2700"/>
        </w:tabs>
        <w:ind w:left="2700" w:hanging="360"/>
      </w:pPr>
      <w:rPr>
        <w:rFonts w:hint="default"/>
      </w:rPr>
    </w:lvl>
    <w:lvl w:ilvl="3" w:tplc="04090017">
      <w:start w:val="1"/>
      <w:numFmt w:val="lowerLetter"/>
      <w:lvlText w:val="%4)"/>
      <w:lvlJc w:val="left"/>
      <w:pPr>
        <w:tabs>
          <w:tab w:val="num" w:pos="3240"/>
        </w:tabs>
        <w:ind w:left="3240" w:hanging="360"/>
      </w:pPr>
    </w:lvl>
    <w:lvl w:ilvl="4" w:tplc="3628FA9E">
      <w:start w:val="1"/>
      <w:numFmt w:val="lowerLetter"/>
      <w:lvlText w:val="%5-"/>
      <w:lvlJc w:val="left"/>
      <w:pPr>
        <w:tabs>
          <w:tab w:val="num" w:pos="3960"/>
        </w:tabs>
        <w:ind w:left="3960" w:hanging="360"/>
      </w:pPr>
      <w:rPr>
        <w:rFonts w:hint="default"/>
      </w:r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1ED30A3"/>
    <w:multiLevelType w:val="hybridMultilevel"/>
    <w:tmpl w:val="213AFF44"/>
    <w:lvl w:ilvl="0" w:tplc="8AA41FE8">
      <w:start w:val="1"/>
      <w:numFmt w:val="decimal"/>
      <w:lvlText w:val="%1)"/>
      <w:lvlJc w:val="left"/>
      <w:pPr>
        <w:tabs>
          <w:tab w:val="num" w:pos="2520"/>
        </w:tabs>
        <w:ind w:left="2520" w:hanging="360"/>
      </w:pPr>
      <w:rPr>
        <w:rFonts w:hint="default"/>
      </w:rPr>
    </w:lvl>
    <w:lvl w:ilvl="1" w:tplc="95F2D15E">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5" w15:restartNumberingAfterBreak="0">
    <w:nsid w:val="25852B01"/>
    <w:multiLevelType w:val="hybridMultilevel"/>
    <w:tmpl w:val="7F26320A"/>
    <w:lvl w:ilvl="0" w:tplc="2D0ED6B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950254D"/>
    <w:multiLevelType w:val="hybridMultilevel"/>
    <w:tmpl w:val="5106B490"/>
    <w:lvl w:ilvl="0" w:tplc="04090011">
      <w:start w:val="1"/>
      <w:numFmt w:val="decimal"/>
      <w:lvlText w:val="%1)"/>
      <w:lvlJc w:val="left"/>
      <w:pPr>
        <w:tabs>
          <w:tab w:val="num" w:pos="2880"/>
        </w:tabs>
        <w:ind w:left="2880" w:hanging="360"/>
      </w:pPr>
    </w:lvl>
    <w:lvl w:ilvl="1" w:tplc="97E80376">
      <w:start w:val="8"/>
      <w:numFmt w:val="lowerLetter"/>
      <w:lvlText w:val="%2."/>
      <w:lvlJc w:val="left"/>
      <w:pPr>
        <w:tabs>
          <w:tab w:val="num" w:pos="3960"/>
        </w:tabs>
        <w:ind w:left="3960" w:hanging="72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7" w15:restartNumberingAfterBreak="0">
    <w:nsid w:val="47444E2D"/>
    <w:multiLevelType w:val="hybridMultilevel"/>
    <w:tmpl w:val="6ECAABDC"/>
    <w:lvl w:ilvl="0" w:tplc="E920393E">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8" w15:restartNumberingAfterBreak="0">
    <w:nsid w:val="4B0960BB"/>
    <w:multiLevelType w:val="hybridMultilevel"/>
    <w:tmpl w:val="A8E4D234"/>
    <w:lvl w:ilvl="0" w:tplc="DA1AAC9E">
      <w:start w:val="1"/>
      <w:numFmt w:val="decimal"/>
      <w:lvlText w:val="%1)"/>
      <w:lvlJc w:val="left"/>
      <w:pPr>
        <w:tabs>
          <w:tab w:val="num" w:pos="2520"/>
        </w:tabs>
        <w:ind w:left="2520" w:hanging="360"/>
      </w:pPr>
      <w:rPr>
        <w:rFonts w:hint="default"/>
      </w:rPr>
    </w:lvl>
    <w:lvl w:ilvl="1" w:tplc="44722CC2">
      <w:start w:val="1"/>
      <w:numFmt w:val="lowerLetter"/>
      <w:lvlText w:val="%2-"/>
      <w:lvlJc w:val="left"/>
      <w:pPr>
        <w:tabs>
          <w:tab w:val="num" w:pos="3240"/>
        </w:tabs>
        <w:ind w:left="3240" w:hanging="360"/>
      </w:pPr>
      <w:rPr>
        <w:rFonts w:hint="default"/>
      </w:rPr>
    </w:lvl>
    <w:lvl w:ilvl="2" w:tplc="C388CD94">
      <w:start w:val="1"/>
      <w:numFmt w:val="lowerLetter"/>
      <w:lvlText w:val="%3)"/>
      <w:lvlJc w:val="left"/>
      <w:pPr>
        <w:tabs>
          <w:tab w:val="num" w:pos="4140"/>
        </w:tabs>
        <w:ind w:left="4140" w:hanging="360"/>
      </w:pPr>
      <w:rPr>
        <w:rFonts w:hint="default"/>
      </w:r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9" w15:restartNumberingAfterBreak="0">
    <w:nsid w:val="56D204CA"/>
    <w:multiLevelType w:val="hybridMultilevel"/>
    <w:tmpl w:val="6E424868"/>
    <w:lvl w:ilvl="0" w:tplc="29AABA94">
      <w:start w:val="1"/>
      <w:numFmt w:val="decimal"/>
      <w:lvlText w:val="%1)"/>
      <w:lvlJc w:val="left"/>
      <w:pPr>
        <w:tabs>
          <w:tab w:val="num" w:pos="2520"/>
        </w:tabs>
        <w:ind w:left="2520" w:hanging="360"/>
      </w:pPr>
      <w:rPr>
        <w:rFonts w:hint="default"/>
      </w:rPr>
    </w:lvl>
    <w:lvl w:ilvl="1" w:tplc="1DB2A4FE">
      <w:start w:val="2"/>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0" w15:restartNumberingAfterBreak="0">
    <w:nsid w:val="56FD6BC7"/>
    <w:multiLevelType w:val="hybridMultilevel"/>
    <w:tmpl w:val="8B1E6504"/>
    <w:lvl w:ilvl="0" w:tplc="D47E717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1" w15:restartNumberingAfterBreak="0">
    <w:nsid w:val="58C83A4B"/>
    <w:multiLevelType w:val="hybridMultilevel"/>
    <w:tmpl w:val="DC924870"/>
    <w:lvl w:ilvl="0" w:tplc="47969BEE">
      <w:start w:val="8"/>
      <w:numFmt w:val="lowerRoman"/>
      <w:lvlText w:val="%1)"/>
      <w:lvlJc w:val="left"/>
      <w:pPr>
        <w:ind w:left="1420" w:hanging="720"/>
      </w:pPr>
      <w:rPr>
        <w:rFonts w:hint="default"/>
        <w:i/>
        <w:strike w:val="0"/>
        <w:w w:val="10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5DD16A3D"/>
    <w:multiLevelType w:val="hybridMultilevel"/>
    <w:tmpl w:val="016E23DC"/>
    <w:lvl w:ilvl="0" w:tplc="10B42F82">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3" w15:restartNumberingAfterBreak="0">
    <w:nsid w:val="61A25D5E"/>
    <w:multiLevelType w:val="hybridMultilevel"/>
    <w:tmpl w:val="5336D80A"/>
    <w:lvl w:ilvl="0" w:tplc="04090017">
      <w:start w:val="1"/>
      <w:numFmt w:val="lowerLetter"/>
      <w:lvlText w:val="%1)"/>
      <w:lvlJc w:val="left"/>
      <w:pPr>
        <w:tabs>
          <w:tab w:val="num" w:pos="1080"/>
        </w:tabs>
        <w:ind w:left="1080" w:hanging="360"/>
      </w:pPr>
    </w:lvl>
    <w:lvl w:ilvl="1" w:tplc="45787A4C">
      <w:start w:val="1"/>
      <w:numFmt w:val="lowerLetter"/>
      <w:lvlText w:val="%2-"/>
      <w:lvlJc w:val="left"/>
      <w:pPr>
        <w:tabs>
          <w:tab w:val="num" w:pos="1800"/>
        </w:tabs>
        <w:ind w:left="1800" w:hanging="360"/>
      </w:pPr>
      <w:rPr>
        <w:rFonts w:hint="default"/>
      </w:rPr>
    </w:lvl>
    <w:lvl w:ilvl="2" w:tplc="13D4F766">
      <w:start w:val="5"/>
      <w:numFmt w:val="decimal"/>
      <w:lvlText w:val="%3)"/>
      <w:lvlJc w:val="left"/>
      <w:pPr>
        <w:tabs>
          <w:tab w:val="num" w:pos="2700"/>
        </w:tabs>
        <w:ind w:left="2700" w:hanging="360"/>
      </w:pPr>
      <w:rPr>
        <w:rFonts w:hint="default"/>
      </w:rPr>
    </w:lvl>
    <w:lvl w:ilvl="3" w:tplc="9E10758E">
      <w:start w:val="1"/>
      <w:numFmt w:val="low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645A177E"/>
    <w:multiLevelType w:val="hybridMultilevel"/>
    <w:tmpl w:val="5A3E7334"/>
    <w:lvl w:ilvl="0" w:tplc="A984D0E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69B92FE0"/>
    <w:multiLevelType w:val="hybridMultilevel"/>
    <w:tmpl w:val="CD5E226A"/>
    <w:lvl w:ilvl="0" w:tplc="91A297AA">
      <w:start w:val="1"/>
      <w:numFmt w:val="low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C327944"/>
    <w:multiLevelType w:val="hybridMultilevel"/>
    <w:tmpl w:val="25185E90"/>
    <w:lvl w:ilvl="0" w:tplc="4250834A">
      <w:start w:val="1"/>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6E446DD4"/>
    <w:multiLevelType w:val="hybridMultilevel"/>
    <w:tmpl w:val="D7CADD6A"/>
    <w:lvl w:ilvl="0" w:tplc="765071EC">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8" w15:restartNumberingAfterBreak="0">
    <w:nsid w:val="6F4D294A"/>
    <w:multiLevelType w:val="hybridMultilevel"/>
    <w:tmpl w:val="D6A073E0"/>
    <w:lvl w:ilvl="0" w:tplc="E80487EC">
      <w:start w:val="9"/>
      <w:numFmt w:val="lowerLetter"/>
      <w:lvlText w:val="%1)"/>
      <w:lvlJc w:val="left"/>
      <w:pPr>
        <w:tabs>
          <w:tab w:val="num" w:pos="2430"/>
        </w:tabs>
        <w:ind w:left="2430" w:hanging="99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7146693C"/>
    <w:multiLevelType w:val="hybridMultilevel"/>
    <w:tmpl w:val="29760880"/>
    <w:lvl w:ilvl="0" w:tplc="0409000F">
      <w:start w:val="1"/>
      <w:numFmt w:val="decimal"/>
      <w:lvlText w:val="%1."/>
      <w:lvlJc w:val="left"/>
      <w:pPr>
        <w:tabs>
          <w:tab w:val="num" w:pos="1080"/>
        </w:tabs>
        <w:ind w:left="1080" w:hanging="360"/>
      </w:pPr>
    </w:lvl>
    <w:lvl w:ilvl="1" w:tplc="9CD07516">
      <w:start w:val="1"/>
      <w:numFmt w:val="lowerLetter"/>
      <w:lvlText w:val="%2."/>
      <w:lvlJc w:val="left"/>
      <w:pPr>
        <w:tabs>
          <w:tab w:val="num" w:pos="1800"/>
        </w:tabs>
        <w:ind w:left="1800" w:hanging="360"/>
      </w:pPr>
      <w:rPr>
        <w:rFonts w:hint="default"/>
      </w:rPr>
    </w:lvl>
    <w:lvl w:ilvl="2" w:tplc="A71EAE54">
      <w:start w:val="1"/>
      <w:numFmt w:val="decimal"/>
      <w:lvlText w:val="%3)"/>
      <w:lvlJc w:val="left"/>
      <w:pPr>
        <w:tabs>
          <w:tab w:val="num" w:pos="2700"/>
        </w:tabs>
        <w:ind w:left="2700" w:hanging="360"/>
      </w:pPr>
      <w:rPr>
        <w:rFonts w:hint="default"/>
      </w:rPr>
    </w:lvl>
    <w:lvl w:ilvl="3" w:tplc="C27CC0D0">
      <w:start w:val="1"/>
      <w:numFmt w:val="lowerLetter"/>
      <w:lvlText w:val="%4)"/>
      <w:lvlJc w:val="left"/>
      <w:pPr>
        <w:tabs>
          <w:tab w:val="num" w:pos="3240"/>
        </w:tabs>
        <w:ind w:left="3240" w:hanging="360"/>
      </w:pPr>
      <w:rPr>
        <w:rFonts w:hint="default"/>
      </w:rPr>
    </w:lvl>
    <w:lvl w:ilvl="4" w:tplc="04090011">
      <w:start w:val="1"/>
      <w:numFmt w:val="decimal"/>
      <w:lvlText w:val="%5)"/>
      <w:lvlJc w:val="left"/>
      <w:pPr>
        <w:tabs>
          <w:tab w:val="num" w:pos="3960"/>
        </w:tabs>
        <w:ind w:left="3960" w:hanging="360"/>
      </w:pPr>
    </w:lvl>
    <w:lvl w:ilvl="5" w:tplc="5186FBB6">
      <w:start w:val="1"/>
      <w:numFmt w:val="lowerLetter"/>
      <w:lvlText w:val="%6-"/>
      <w:lvlJc w:val="left"/>
      <w:pPr>
        <w:tabs>
          <w:tab w:val="num" w:pos="4860"/>
        </w:tabs>
        <w:ind w:left="4860" w:hanging="360"/>
      </w:pPr>
      <w:rPr>
        <w:rFonts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15:restartNumberingAfterBreak="0">
    <w:nsid w:val="73165A64"/>
    <w:multiLevelType w:val="hybridMultilevel"/>
    <w:tmpl w:val="6B8687B6"/>
    <w:lvl w:ilvl="0" w:tplc="2D90354A">
      <w:start w:val="1"/>
      <w:numFmt w:val="decimal"/>
      <w:lvlText w:val="%1)"/>
      <w:lvlJc w:val="left"/>
      <w:pPr>
        <w:tabs>
          <w:tab w:val="num" w:pos="2520"/>
        </w:tabs>
        <w:ind w:left="2520" w:hanging="360"/>
      </w:pPr>
      <w:rPr>
        <w:rFonts w:hint="default"/>
      </w:rPr>
    </w:lvl>
    <w:lvl w:ilvl="1" w:tplc="F320DBEA">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16cid:durableId="1157500038">
    <w:abstractNumId w:val="3"/>
  </w:num>
  <w:num w:numId="2" w16cid:durableId="1708019790">
    <w:abstractNumId w:val="19"/>
  </w:num>
  <w:num w:numId="3" w16cid:durableId="482282838">
    <w:abstractNumId w:val="14"/>
  </w:num>
  <w:num w:numId="4" w16cid:durableId="637805062">
    <w:abstractNumId w:val="13"/>
  </w:num>
  <w:num w:numId="5" w16cid:durableId="1534611977">
    <w:abstractNumId w:val="8"/>
  </w:num>
  <w:num w:numId="6" w16cid:durableId="1491824096">
    <w:abstractNumId w:val="20"/>
  </w:num>
  <w:num w:numId="7" w16cid:durableId="485049802">
    <w:abstractNumId w:val="1"/>
  </w:num>
  <w:num w:numId="8" w16cid:durableId="1295600132">
    <w:abstractNumId w:val="4"/>
  </w:num>
  <w:num w:numId="9" w16cid:durableId="471866827">
    <w:abstractNumId w:val="10"/>
  </w:num>
  <w:num w:numId="10" w16cid:durableId="910654089">
    <w:abstractNumId w:val="17"/>
  </w:num>
  <w:num w:numId="11" w16cid:durableId="282346292">
    <w:abstractNumId w:val="9"/>
  </w:num>
  <w:num w:numId="12" w16cid:durableId="1727217111">
    <w:abstractNumId w:val="7"/>
  </w:num>
  <w:num w:numId="13" w16cid:durableId="370425580">
    <w:abstractNumId w:val="12"/>
  </w:num>
  <w:num w:numId="14" w16cid:durableId="584804375">
    <w:abstractNumId w:val="6"/>
  </w:num>
  <w:num w:numId="15" w16cid:durableId="290481848">
    <w:abstractNumId w:val="18"/>
  </w:num>
  <w:num w:numId="16" w16cid:durableId="1606186654">
    <w:abstractNumId w:val="2"/>
  </w:num>
  <w:num w:numId="17" w16cid:durableId="323775483">
    <w:abstractNumId w:val="16"/>
  </w:num>
  <w:num w:numId="18" w16cid:durableId="1356465003">
    <w:abstractNumId w:val="0"/>
  </w:num>
  <w:num w:numId="19" w16cid:durableId="969242573">
    <w:abstractNumId w:val="15"/>
  </w:num>
  <w:num w:numId="20" w16cid:durableId="788888914">
    <w:abstractNumId w:val="11"/>
  </w:num>
  <w:num w:numId="21" w16cid:durableId="8838286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55F"/>
    <w:rsid w:val="000003C8"/>
    <w:rsid w:val="000018D0"/>
    <w:rsid w:val="000118F8"/>
    <w:rsid w:val="000141A9"/>
    <w:rsid w:val="00035E9D"/>
    <w:rsid w:val="0003691E"/>
    <w:rsid w:val="000405DD"/>
    <w:rsid w:val="00040B6F"/>
    <w:rsid w:val="00041236"/>
    <w:rsid w:val="000419A6"/>
    <w:rsid w:val="00042AD7"/>
    <w:rsid w:val="0005191B"/>
    <w:rsid w:val="0005551F"/>
    <w:rsid w:val="000655A4"/>
    <w:rsid w:val="000677C6"/>
    <w:rsid w:val="00096B6C"/>
    <w:rsid w:val="000A7A1B"/>
    <w:rsid w:val="000C12C4"/>
    <w:rsid w:val="000C4086"/>
    <w:rsid w:val="000C45A8"/>
    <w:rsid w:val="000E2CED"/>
    <w:rsid w:val="000E722D"/>
    <w:rsid w:val="00100C8B"/>
    <w:rsid w:val="00104390"/>
    <w:rsid w:val="001308FB"/>
    <w:rsid w:val="00132A86"/>
    <w:rsid w:val="00147D54"/>
    <w:rsid w:val="00147EAD"/>
    <w:rsid w:val="001517B7"/>
    <w:rsid w:val="00151884"/>
    <w:rsid w:val="00187ED4"/>
    <w:rsid w:val="001944B0"/>
    <w:rsid w:val="00195313"/>
    <w:rsid w:val="001B02FC"/>
    <w:rsid w:val="001B0467"/>
    <w:rsid w:val="001B046C"/>
    <w:rsid w:val="001B30FC"/>
    <w:rsid w:val="001B6D82"/>
    <w:rsid w:val="001C5AEF"/>
    <w:rsid w:val="001E41C4"/>
    <w:rsid w:val="001E464F"/>
    <w:rsid w:val="001E7984"/>
    <w:rsid w:val="00210085"/>
    <w:rsid w:val="00210ADD"/>
    <w:rsid w:val="0021263F"/>
    <w:rsid w:val="0022254E"/>
    <w:rsid w:val="002228AA"/>
    <w:rsid w:val="00231C4F"/>
    <w:rsid w:val="00253583"/>
    <w:rsid w:val="0027300C"/>
    <w:rsid w:val="0028242B"/>
    <w:rsid w:val="00283869"/>
    <w:rsid w:val="002869DE"/>
    <w:rsid w:val="00290084"/>
    <w:rsid w:val="00290504"/>
    <w:rsid w:val="00296777"/>
    <w:rsid w:val="002A3C77"/>
    <w:rsid w:val="002A4566"/>
    <w:rsid w:val="002A52F1"/>
    <w:rsid w:val="002D6A8C"/>
    <w:rsid w:val="002E4C70"/>
    <w:rsid w:val="002F010B"/>
    <w:rsid w:val="002F65B7"/>
    <w:rsid w:val="00306D59"/>
    <w:rsid w:val="003119EE"/>
    <w:rsid w:val="0035645A"/>
    <w:rsid w:val="00357A33"/>
    <w:rsid w:val="003642A9"/>
    <w:rsid w:val="00370E40"/>
    <w:rsid w:val="00373657"/>
    <w:rsid w:val="0038309C"/>
    <w:rsid w:val="00386493"/>
    <w:rsid w:val="003A5FA1"/>
    <w:rsid w:val="003A720A"/>
    <w:rsid w:val="003B3885"/>
    <w:rsid w:val="003C2E0A"/>
    <w:rsid w:val="003E3282"/>
    <w:rsid w:val="003E4015"/>
    <w:rsid w:val="003F6E8C"/>
    <w:rsid w:val="0041214E"/>
    <w:rsid w:val="00414150"/>
    <w:rsid w:val="00423ABA"/>
    <w:rsid w:val="00431CB2"/>
    <w:rsid w:val="00432F13"/>
    <w:rsid w:val="0043498B"/>
    <w:rsid w:val="00444261"/>
    <w:rsid w:val="0045451F"/>
    <w:rsid w:val="00461150"/>
    <w:rsid w:val="00462E88"/>
    <w:rsid w:val="00471EC6"/>
    <w:rsid w:val="00477269"/>
    <w:rsid w:val="004958F6"/>
    <w:rsid w:val="004A3350"/>
    <w:rsid w:val="004B52BF"/>
    <w:rsid w:val="004C20D1"/>
    <w:rsid w:val="004C25A0"/>
    <w:rsid w:val="004C44DC"/>
    <w:rsid w:val="004D792E"/>
    <w:rsid w:val="004E6D84"/>
    <w:rsid w:val="004F1284"/>
    <w:rsid w:val="004F3BB1"/>
    <w:rsid w:val="004F3E07"/>
    <w:rsid w:val="0050390A"/>
    <w:rsid w:val="005043B7"/>
    <w:rsid w:val="00511C67"/>
    <w:rsid w:val="00522E75"/>
    <w:rsid w:val="00527FCA"/>
    <w:rsid w:val="00533311"/>
    <w:rsid w:val="005434EA"/>
    <w:rsid w:val="00546153"/>
    <w:rsid w:val="005607EC"/>
    <w:rsid w:val="0056695C"/>
    <w:rsid w:val="005671E0"/>
    <w:rsid w:val="00584BA1"/>
    <w:rsid w:val="00591067"/>
    <w:rsid w:val="005A2A13"/>
    <w:rsid w:val="005B312C"/>
    <w:rsid w:val="005C0271"/>
    <w:rsid w:val="005D25A6"/>
    <w:rsid w:val="006024A3"/>
    <w:rsid w:val="00616DEA"/>
    <w:rsid w:val="006208C8"/>
    <w:rsid w:val="00630DFA"/>
    <w:rsid w:val="00635CCB"/>
    <w:rsid w:val="00667E2A"/>
    <w:rsid w:val="00682831"/>
    <w:rsid w:val="00687F48"/>
    <w:rsid w:val="006A0FBC"/>
    <w:rsid w:val="006B7AC6"/>
    <w:rsid w:val="006C5C41"/>
    <w:rsid w:val="006D7419"/>
    <w:rsid w:val="006E6081"/>
    <w:rsid w:val="007043D9"/>
    <w:rsid w:val="00711F17"/>
    <w:rsid w:val="007222CE"/>
    <w:rsid w:val="00726A1F"/>
    <w:rsid w:val="00730BEF"/>
    <w:rsid w:val="007456B7"/>
    <w:rsid w:val="00746684"/>
    <w:rsid w:val="00761E9F"/>
    <w:rsid w:val="00763807"/>
    <w:rsid w:val="0077192E"/>
    <w:rsid w:val="007742D7"/>
    <w:rsid w:val="0079114C"/>
    <w:rsid w:val="007936C7"/>
    <w:rsid w:val="007A45CA"/>
    <w:rsid w:val="007A6D7D"/>
    <w:rsid w:val="007C35EF"/>
    <w:rsid w:val="007C45BE"/>
    <w:rsid w:val="007E5A22"/>
    <w:rsid w:val="007F2D0F"/>
    <w:rsid w:val="00810BE7"/>
    <w:rsid w:val="008139A6"/>
    <w:rsid w:val="00826D62"/>
    <w:rsid w:val="00844B41"/>
    <w:rsid w:val="008615F1"/>
    <w:rsid w:val="008802D3"/>
    <w:rsid w:val="0088062F"/>
    <w:rsid w:val="008A1A10"/>
    <w:rsid w:val="008B4882"/>
    <w:rsid w:val="008B4A0E"/>
    <w:rsid w:val="008C3002"/>
    <w:rsid w:val="008D254A"/>
    <w:rsid w:val="009159D7"/>
    <w:rsid w:val="00936BE3"/>
    <w:rsid w:val="00942D5B"/>
    <w:rsid w:val="00945E3D"/>
    <w:rsid w:val="00947A53"/>
    <w:rsid w:val="00951832"/>
    <w:rsid w:val="009730A0"/>
    <w:rsid w:val="00990562"/>
    <w:rsid w:val="009B4C0C"/>
    <w:rsid w:val="009C6164"/>
    <w:rsid w:val="00A016D6"/>
    <w:rsid w:val="00A03458"/>
    <w:rsid w:val="00A04BCA"/>
    <w:rsid w:val="00A05267"/>
    <w:rsid w:val="00A11F73"/>
    <w:rsid w:val="00A1590B"/>
    <w:rsid w:val="00A35749"/>
    <w:rsid w:val="00A42120"/>
    <w:rsid w:val="00A605CF"/>
    <w:rsid w:val="00A66123"/>
    <w:rsid w:val="00A86F65"/>
    <w:rsid w:val="00A87ECE"/>
    <w:rsid w:val="00B0655F"/>
    <w:rsid w:val="00B450DB"/>
    <w:rsid w:val="00B501BD"/>
    <w:rsid w:val="00B50693"/>
    <w:rsid w:val="00B61AAF"/>
    <w:rsid w:val="00B66442"/>
    <w:rsid w:val="00B76928"/>
    <w:rsid w:val="00B9675F"/>
    <w:rsid w:val="00BA10A5"/>
    <w:rsid w:val="00BA3121"/>
    <w:rsid w:val="00BA410D"/>
    <w:rsid w:val="00BB5273"/>
    <w:rsid w:val="00BC0432"/>
    <w:rsid w:val="00BC549C"/>
    <w:rsid w:val="00BD116F"/>
    <w:rsid w:val="00BD1FBE"/>
    <w:rsid w:val="00BD5BED"/>
    <w:rsid w:val="00C034BC"/>
    <w:rsid w:val="00C531A8"/>
    <w:rsid w:val="00C61D1D"/>
    <w:rsid w:val="00C70E7B"/>
    <w:rsid w:val="00C86BA3"/>
    <w:rsid w:val="00CC37EF"/>
    <w:rsid w:val="00CD1C66"/>
    <w:rsid w:val="00CE7A5A"/>
    <w:rsid w:val="00CF3E3A"/>
    <w:rsid w:val="00D14730"/>
    <w:rsid w:val="00D24306"/>
    <w:rsid w:val="00D343BE"/>
    <w:rsid w:val="00D426A4"/>
    <w:rsid w:val="00D67BEF"/>
    <w:rsid w:val="00D75323"/>
    <w:rsid w:val="00D83E0B"/>
    <w:rsid w:val="00D9643B"/>
    <w:rsid w:val="00DB0C93"/>
    <w:rsid w:val="00DB30B9"/>
    <w:rsid w:val="00DD0EB0"/>
    <w:rsid w:val="00DD58B0"/>
    <w:rsid w:val="00E04A48"/>
    <w:rsid w:val="00E51631"/>
    <w:rsid w:val="00E669CF"/>
    <w:rsid w:val="00E70176"/>
    <w:rsid w:val="00E713A8"/>
    <w:rsid w:val="00E94B0A"/>
    <w:rsid w:val="00EA4C74"/>
    <w:rsid w:val="00EB3DBF"/>
    <w:rsid w:val="00ED7C68"/>
    <w:rsid w:val="00EE7FB1"/>
    <w:rsid w:val="00EF351E"/>
    <w:rsid w:val="00F035EA"/>
    <w:rsid w:val="00F2719B"/>
    <w:rsid w:val="00F30C67"/>
    <w:rsid w:val="00F331A7"/>
    <w:rsid w:val="00F52567"/>
    <w:rsid w:val="00F551C8"/>
    <w:rsid w:val="00F649B2"/>
    <w:rsid w:val="00F677AA"/>
    <w:rsid w:val="00F70824"/>
    <w:rsid w:val="00F73DE8"/>
    <w:rsid w:val="00F930ED"/>
    <w:rsid w:val="00F96602"/>
    <w:rsid w:val="00FA1303"/>
    <w:rsid w:val="00FA574C"/>
    <w:rsid w:val="00FB150C"/>
    <w:rsid w:val="00FC2B39"/>
    <w:rsid w:val="00FC448C"/>
    <w:rsid w:val="00FE68D9"/>
    <w:rsid w:val="00FF6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66725A"/>
  <w15:docId w15:val="{05766756-3EC8-4D0E-B23E-11AB2013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5F"/>
    <w:rPr>
      <w:rFonts w:ascii="Times New Roman" w:hAnsi="Times New Roman"/>
      <w:sz w:val="24"/>
      <w:szCs w:val="24"/>
    </w:rPr>
  </w:style>
  <w:style w:type="paragraph" w:styleId="Heading4">
    <w:name w:val="heading 4"/>
    <w:basedOn w:val="Normal"/>
    <w:next w:val="Normal"/>
    <w:link w:val="Heading4Char"/>
    <w:uiPriority w:val="99"/>
    <w:qFormat/>
    <w:rsid w:val="00B0655F"/>
    <w:pPr>
      <w:keepNext/>
      <w:jc w:val="center"/>
      <w:outlineLvl w:val="3"/>
    </w:pPr>
    <w:rPr>
      <w:b/>
      <w:bCs/>
      <w:sz w:val="20"/>
      <w:szCs w:val="20"/>
      <w:lang w:val="es-ES_tradnl"/>
    </w:rPr>
  </w:style>
  <w:style w:type="paragraph" w:styleId="Heading5">
    <w:name w:val="heading 5"/>
    <w:basedOn w:val="Normal"/>
    <w:next w:val="Normal"/>
    <w:link w:val="Heading5Char"/>
    <w:uiPriority w:val="99"/>
    <w:qFormat/>
    <w:rsid w:val="00B0655F"/>
    <w:pPr>
      <w:keepNext/>
      <w:spacing w:before="120" w:after="120"/>
      <w:ind w:firstLine="360"/>
      <w:jc w:val="center"/>
      <w:outlineLvl w:val="4"/>
    </w:pPr>
    <w:rPr>
      <w:sz w:val="20"/>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B0655F"/>
    <w:rPr>
      <w:rFonts w:ascii="Times New Roman" w:hAnsi="Times New Roman" w:cs="Times New Roman"/>
      <w:b/>
      <w:bCs/>
      <w:sz w:val="20"/>
      <w:szCs w:val="20"/>
      <w:lang w:val="es-ES_tradnl"/>
    </w:rPr>
  </w:style>
  <w:style w:type="character" w:customStyle="1" w:styleId="Heading5Char">
    <w:name w:val="Heading 5 Char"/>
    <w:basedOn w:val="DefaultParagraphFont"/>
    <w:link w:val="Heading5"/>
    <w:uiPriority w:val="99"/>
    <w:rsid w:val="00B0655F"/>
    <w:rPr>
      <w:rFonts w:ascii="Times New Roman" w:hAnsi="Times New Roman" w:cs="Times New Roman"/>
      <w:sz w:val="20"/>
      <w:szCs w:val="20"/>
      <w:lang w:val="es-ES_tradnl"/>
    </w:rPr>
  </w:style>
  <w:style w:type="paragraph" w:styleId="BodyTextIndent">
    <w:name w:val="Body Text Indent"/>
    <w:basedOn w:val="Normal"/>
    <w:link w:val="BodyTextIndentChar"/>
    <w:uiPriority w:val="99"/>
    <w:rsid w:val="00B0655F"/>
    <w:pPr>
      <w:suppressAutoHyphens/>
      <w:jc w:val="both"/>
    </w:pPr>
    <w:rPr>
      <w:spacing w:val="-3"/>
      <w:lang w:val="es-PR"/>
    </w:rPr>
  </w:style>
  <w:style w:type="character" w:customStyle="1" w:styleId="BodyTextIndentChar">
    <w:name w:val="Body Text Indent Char"/>
    <w:basedOn w:val="DefaultParagraphFont"/>
    <w:link w:val="BodyTextIndent"/>
    <w:uiPriority w:val="99"/>
    <w:rsid w:val="00B0655F"/>
    <w:rPr>
      <w:rFonts w:ascii="Times New Roman" w:hAnsi="Times New Roman" w:cs="Times New Roman"/>
      <w:spacing w:val="-3"/>
      <w:sz w:val="24"/>
      <w:szCs w:val="24"/>
      <w:lang w:val="es-PR"/>
    </w:rPr>
  </w:style>
  <w:style w:type="paragraph" w:styleId="PlainText">
    <w:name w:val="Plain Text"/>
    <w:basedOn w:val="Normal"/>
    <w:link w:val="PlainTextChar"/>
    <w:uiPriority w:val="99"/>
    <w:rsid w:val="00B0655F"/>
    <w:pPr>
      <w:widowControl w:val="0"/>
      <w:snapToGrid w:val="0"/>
    </w:pPr>
    <w:rPr>
      <w:rFonts w:ascii="Courier New" w:hAnsi="Courier New" w:cs="Courier New"/>
    </w:rPr>
  </w:style>
  <w:style w:type="character" w:customStyle="1" w:styleId="PlainTextChar">
    <w:name w:val="Plain Text Char"/>
    <w:basedOn w:val="DefaultParagraphFont"/>
    <w:link w:val="PlainText"/>
    <w:uiPriority w:val="99"/>
    <w:rsid w:val="00B0655F"/>
    <w:rPr>
      <w:rFonts w:ascii="Courier New" w:hAnsi="Courier New" w:cs="Courier New"/>
      <w:sz w:val="24"/>
      <w:szCs w:val="24"/>
    </w:rPr>
  </w:style>
  <w:style w:type="paragraph" w:customStyle="1" w:styleId="Title2">
    <w:name w:val="Title2"/>
    <w:basedOn w:val="Normal"/>
    <w:next w:val="Normal"/>
    <w:uiPriority w:val="99"/>
    <w:rsid w:val="00B0655F"/>
    <w:pPr>
      <w:tabs>
        <w:tab w:val="left" w:pos="648"/>
        <w:tab w:val="right" w:pos="7776"/>
        <w:tab w:val="left" w:pos="7848"/>
      </w:tabs>
    </w:pPr>
  </w:style>
  <w:style w:type="paragraph" w:styleId="Header">
    <w:name w:val="header"/>
    <w:basedOn w:val="Normal"/>
    <w:link w:val="HeaderChar"/>
    <w:uiPriority w:val="99"/>
    <w:rsid w:val="0021263F"/>
    <w:pPr>
      <w:tabs>
        <w:tab w:val="center" w:pos="4320"/>
        <w:tab w:val="right" w:pos="8640"/>
      </w:tabs>
    </w:pPr>
    <w:rPr>
      <w:sz w:val="20"/>
      <w:szCs w:val="20"/>
    </w:rPr>
  </w:style>
  <w:style w:type="character" w:customStyle="1" w:styleId="HeaderChar">
    <w:name w:val="Header Char"/>
    <w:basedOn w:val="DefaultParagraphFont"/>
    <w:link w:val="Header"/>
    <w:uiPriority w:val="99"/>
    <w:rsid w:val="0021263F"/>
    <w:rPr>
      <w:rFonts w:ascii="Times New Roman" w:hAnsi="Times New Roman" w:cs="Times New Roman"/>
      <w:sz w:val="20"/>
      <w:szCs w:val="20"/>
    </w:rPr>
  </w:style>
  <w:style w:type="character" w:styleId="PageNumber">
    <w:name w:val="page number"/>
    <w:basedOn w:val="DefaultParagraphFont"/>
    <w:uiPriority w:val="99"/>
    <w:rsid w:val="0021263F"/>
  </w:style>
  <w:style w:type="character" w:styleId="LineNumber">
    <w:name w:val="line number"/>
    <w:basedOn w:val="DefaultParagraphFont"/>
    <w:uiPriority w:val="99"/>
    <w:semiHidden/>
    <w:rsid w:val="0035645A"/>
  </w:style>
  <w:style w:type="paragraph" w:styleId="Footer">
    <w:name w:val="footer"/>
    <w:basedOn w:val="Normal"/>
    <w:link w:val="FooterChar"/>
    <w:uiPriority w:val="99"/>
    <w:rsid w:val="00B9675F"/>
    <w:pPr>
      <w:tabs>
        <w:tab w:val="center" w:pos="4680"/>
        <w:tab w:val="right" w:pos="9360"/>
      </w:tabs>
    </w:pPr>
    <w:rPr>
      <w:sz w:val="20"/>
      <w:szCs w:val="20"/>
    </w:rPr>
  </w:style>
  <w:style w:type="character" w:customStyle="1" w:styleId="FooterChar">
    <w:name w:val="Footer Char"/>
    <w:basedOn w:val="DefaultParagraphFont"/>
    <w:link w:val="Footer"/>
    <w:uiPriority w:val="99"/>
    <w:rsid w:val="00B9675F"/>
    <w:rPr>
      <w:rFonts w:ascii="Times New Roman" w:hAnsi="Times New Roman" w:cs="Times New Roman"/>
      <w:sz w:val="20"/>
      <w:szCs w:val="20"/>
    </w:rPr>
  </w:style>
  <w:style w:type="paragraph" w:styleId="BodyTextIndent3">
    <w:name w:val="Body Text Indent 3"/>
    <w:basedOn w:val="Normal"/>
    <w:link w:val="BodyTextIndent3Char"/>
    <w:uiPriority w:val="99"/>
    <w:semiHidden/>
    <w:rsid w:val="005434E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434EA"/>
    <w:rPr>
      <w:rFonts w:ascii="Times New Roman" w:hAnsi="Times New Roman" w:cs="Times New Roman"/>
      <w:sz w:val="16"/>
      <w:szCs w:val="16"/>
    </w:rPr>
  </w:style>
  <w:style w:type="paragraph" w:customStyle="1" w:styleId="Default">
    <w:name w:val="Default"/>
    <w:uiPriority w:val="99"/>
    <w:rsid w:val="001E464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rsid w:val="0022254E"/>
    <w:rPr>
      <w:rFonts w:ascii="Tahoma" w:hAnsi="Tahoma" w:cs="Tahoma"/>
      <w:sz w:val="16"/>
      <w:szCs w:val="16"/>
    </w:rPr>
  </w:style>
  <w:style w:type="character" w:customStyle="1" w:styleId="BalloonTextChar">
    <w:name w:val="Balloon Text Char"/>
    <w:basedOn w:val="DefaultParagraphFont"/>
    <w:link w:val="BalloonText"/>
    <w:uiPriority w:val="99"/>
    <w:semiHidden/>
    <w:rsid w:val="0022254E"/>
    <w:rPr>
      <w:rFonts w:ascii="Tahoma" w:hAnsi="Tahoma" w:cs="Tahoma"/>
      <w:sz w:val="16"/>
      <w:szCs w:val="16"/>
    </w:rPr>
  </w:style>
  <w:style w:type="character" w:styleId="PlaceholderText">
    <w:name w:val="Placeholder Text"/>
    <w:basedOn w:val="DefaultParagraphFont"/>
    <w:uiPriority w:val="99"/>
    <w:semiHidden/>
    <w:rsid w:val="004D792E"/>
    <w:rPr>
      <w:color w:val="808080"/>
    </w:rPr>
  </w:style>
  <w:style w:type="character" w:styleId="CommentReference">
    <w:name w:val="annotation reference"/>
    <w:basedOn w:val="DefaultParagraphFont"/>
    <w:uiPriority w:val="99"/>
    <w:semiHidden/>
    <w:unhideWhenUsed/>
    <w:rsid w:val="00210ADD"/>
    <w:rPr>
      <w:sz w:val="16"/>
      <w:szCs w:val="16"/>
    </w:rPr>
  </w:style>
  <w:style w:type="paragraph" w:styleId="CommentText">
    <w:name w:val="annotation text"/>
    <w:basedOn w:val="Normal"/>
    <w:link w:val="CommentTextChar"/>
    <w:uiPriority w:val="99"/>
    <w:semiHidden/>
    <w:unhideWhenUsed/>
    <w:rsid w:val="00210ADD"/>
    <w:rPr>
      <w:sz w:val="20"/>
      <w:szCs w:val="20"/>
    </w:rPr>
  </w:style>
  <w:style w:type="character" w:customStyle="1" w:styleId="CommentTextChar">
    <w:name w:val="Comment Text Char"/>
    <w:basedOn w:val="DefaultParagraphFont"/>
    <w:link w:val="CommentText"/>
    <w:uiPriority w:val="99"/>
    <w:semiHidden/>
    <w:rsid w:val="00210AD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0ADD"/>
    <w:rPr>
      <w:b/>
      <w:bCs/>
    </w:rPr>
  </w:style>
  <w:style w:type="character" w:customStyle="1" w:styleId="CommentSubjectChar">
    <w:name w:val="Comment Subject Char"/>
    <w:basedOn w:val="CommentTextChar"/>
    <w:link w:val="CommentSubject"/>
    <w:uiPriority w:val="99"/>
    <w:semiHidden/>
    <w:rsid w:val="00210ADD"/>
    <w:rPr>
      <w:rFonts w:ascii="Times New Roman" w:hAnsi="Times New Roman"/>
      <w:b/>
      <w:bCs/>
      <w:sz w:val="20"/>
      <w:szCs w:val="20"/>
    </w:rPr>
  </w:style>
  <w:style w:type="paragraph" w:styleId="ListParagraph">
    <w:name w:val="List Paragraph"/>
    <w:basedOn w:val="Normal"/>
    <w:uiPriority w:val="34"/>
    <w:qFormat/>
    <w:rsid w:val="000C4086"/>
    <w:pPr>
      <w:ind w:left="720"/>
      <w:contextualSpacing/>
    </w:pPr>
    <w:rPr>
      <w:szCs w:val="20"/>
      <w:lang w:val="es-PR"/>
    </w:rPr>
  </w:style>
  <w:style w:type="paragraph" w:customStyle="1" w:styleId="BodyA">
    <w:name w:val="Body A"/>
    <w:rsid w:val="000C4086"/>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s-ES_tradnl" w:eastAsia="es-PR"/>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043396">
      <w:bodyDiv w:val="1"/>
      <w:marLeft w:val="0"/>
      <w:marRight w:val="0"/>
      <w:marTop w:val="0"/>
      <w:marBottom w:val="0"/>
      <w:divBdr>
        <w:top w:val="none" w:sz="0" w:space="0" w:color="auto"/>
        <w:left w:val="none" w:sz="0" w:space="0" w:color="auto"/>
        <w:bottom w:val="none" w:sz="0" w:space="0" w:color="auto"/>
        <w:right w:val="none" w:sz="0" w:space="0" w:color="auto"/>
      </w:divBdr>
    </w:div>
    <w:div w:id="1536625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2599</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JG</dc:creator>
  <cp:keywords/>
  <dc:description/>
  <cp:lastModifiedBy>Gladys J. Burgos Torres</cp:lastModifiedBy>
  <cp:revision>5</cp:revision>
  <cp:lastPrinted>2025-01-02T15:28:00Z</cp:lastPrinted>
  <dcterms:created xsi:type="dcterms:W3CDTF">2025-01-02T18:30:00Z</dcterms:created>
  <dcterms:modified xsi:type="dcterms:W3CDTF">2025-01-08T21:13:00Z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18d88b822651241d5bf7f287d51e793f2dbc3097c099e7ed6a5867b048d9bbd6</vt:lpwstr>
  </property>
</Properties>
</file>