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66325" w14:textId="413D364D"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684172" w:rsidRDefault="006D12E7" w:rsidP="006D12E7">
      <w:pPr>
        <w:suppressLineNumbers/>
        <w:spacing w:after="0" w:line="240" w:lineRule="auto"/>
        <w:contextualSpacing/>
        <w:jc w:val="center"/>
        <w:rPr>
          <w:rFonts w:ascii="Book Antiqua" w:hAnsi="Book Antiqua"/>
          <w:sz w:val="24"/>
          <w:szCs w:val="20"/>
          <w:lang w:val="es-ES_tradnl"/>
        </w:rPr>
      </w:pPr>
    </w:p>
    <w:p w14:paraId="29D68953" w14:textId="348344BF" w:rsidR="008000CF" w:rsidRPr="00B47B13" w:rsidRDefault="00705982"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705982">
        <w:rPr>
          <w:rFonts w:ascii="Book Antiqua" w:hAnsi="Book Antiqua"/>
          <w:vertAlign w:val="superscript"/>
          <w:lang w:val="es-ES_tradnl"/>
        </w:rPr>
        <w:t>m</w:t>
      </w:r>
      <w:r w:rsidR="008000CF" w:rsidRPr="00705982">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sidRPr="00705982">
        <w:rPr>
          <w:rFonts w:ascii="Book Antiqua" w:hAnsi="Book Antiqua"/>
          <w:vertAlign w:val="superscript"/>
          <w:lang w:val="es-ES_tradnl"/>
        </w:rPr>
        <w:t>r</w:t>
      </w:r>
      <w:r w:rsidR="008000CF" w:rsidRPr="00705982">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65F07BA" w14:textId="6EFD4A90"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26B8247E" w14:textId="77777777" w:rsidR="008000CF" w:rsidRPr="00B47B13" w:rsidRDefault="008000CF" w:rsidP="006D12E7">
      <w:pPr>
        <w:suppressLineNumbers/>
        <w:spacing w:after="0" w:line="240" w:lineRule="auto"/>
        <w:contextualSpacing/>
        <w:rPr>
          <w:rFonts w:ascii="Book Antiqua" w:hAnsi="Book Antiqua"/>
          <w:lang w:val="es-ES_tradnl"/>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5EC62346" w14:textId="73948A9C"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CA57BF">
        <w:rPr>
          <w:rFonts w:ascii="Book Antiqua" w:hAnsi="Book Antiqua"/>
          <w:b/>
          <w:sz w:val="52"/>
          <w:lang w:val="es-ES_tradnl"/>
        </w:rPr>
        <w:t>99</w:t>
      </w:r>
    </w:p>
    <w:p w14:paraId="72440FB1"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381ADC48" w14:textId="3B1F549B" w:rsidR="008000CF" w:rsidRPr="009A6D62" w:rsidRDefault="00CA57BF"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8000CF" w:rsidRPr="009A6D62">
        <w:rPr>
          <w:rFonts w:ascii="Book Antiqua" w:hAnsi="Book Antiqua"/>
          <w:sz w:val="24"/>
          <w:szCs w:val="24"/>
          <w:lang w:val="es-ES_tradnl"/>
        </w:rPr>
        <w:t xml:space="preserve">DE </w:t>
      </w:r>
      <w:r w:rsidR="00F02F57">
        <w:rPr>
          <w:rFonts w:ascii="Book Antiqua" w:hAnsi="Book Antiqua"/>
          <w:sz w:val="24"/>
          <w:szCs w:val="24"/>
          <w:lang w:val="es-ES_tradnl"/>
        </w:rPr>
        <w:t>E</w:t>
      </w:r>
      <w:r w:rsidR="00705982">
        <w:rPr>
          <w:rFonts w:ascii="Book Antiqua" w:hAnsi="Book Antiqua"/>
          <w:sz w:val="24"/>
          <w:szCs w:val="24"/>
          <w:lang w:val="es-ES_tradnl"/>
        </w:rPr>
        <w:t>N</w:t>
      </w:r>
      <w:r w:rsidR="00F02F57">
        <w:rPr>
          <w:rFonts w:ascii="Book Antiqua" w:hAnsi="Book Antiqua"/>
          <w:sz w:val="24"/>
          <w:szCs w:val="24"/>
          <w:lang w:val="es-ES_tradnl"/>
        </w:rPr>
        <w:t>ER</w:t>
      </w:r>
      <w:r w:rsidR="00705982">
        <w:rPr>
          <w:rFonts w:ascii="Book Antiqua" w:hAnsi="Book Antiqua"/>
          <w:sz w:val="24"/>
          <w:szCs w:val="24"/>
          <w:lang w:val="es-ES_tradnl"/>
        </w:rPr>
        <w:t>O</w:t>
      </w:r>
      <w:r w:rsidR="008000CF" w:rsidRPr="009A6D62">
        <w:rPr>
          <w:rFonts w:ascii="Book Antiqua" w:hAnsi="Book Antiqua"/>
          <w:sz w:val="24"/>
          <w:szCs w:val="24"/>
          <w:lang w:val="es-ES_tradnl"/>
        </w:rPr>
        <w:t xml:space="preserve"> DE 202</w:t>
      </w:r>
      <w:r w:rsidR="00705982">
        <w:rPr>
          <w:rFonts w:ascii="Book Antiqua" w:hAnsi="Book Antiqua"/>
          <w:sz w:val="24"/>
          <w:szCs w:val="24"/>
          <w:lang w:val="es-ES_tradnl"/>
        </w:rPr>
        <w:t>5</w:t>
      </w:r>
    </w:p>
    <w:p w14:paraId="79818E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BA11E62" w14:textId="410A24E6"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4728E2" w:rsidRPr="004728E2">
        <w:rPr>
          <w:rFonts w:ascii="Book Antiqua" w:hAnsi="Book Antiqua"/>
          <w:sz w:val="24"/>
          <w:szCs w:val="24"/>
          <w:lang w:val="es-ES_tradnl"/>
        </w:rPr>
        <w:t>la Comisión de lo Jurídico</w:t>
      </w:r>
    </w:p>
    <w:p w14:paraId="2F177729"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875446" w:rsidRDefault="008000CF" w:rsidP="000E6188">
      <w:pPr>
        <w:suppressLineNumbers/>
        <w:spacing w:after="0" w:line="240" w:lineRule="auto"/>
        <w:contextualSpacing/>
        <w:jc w:val="center"/>
        <w:rPr>
          <w:rFonts w:ascii="Book Antiqua" w:hAnsi="Book Antiqua"/>
          <w:b/>
          <w:sz w:val="28"/>
          <w:szCs w:val="28"/>
          <w:lang w:val="es-ES_tradnl"/>
        </w:rPr>
      </w:pPr>
      <w:r w:rsidRPr="00875446">
        <w:rPr>
          <w:rFonts w:ascii="Book Antiqua" w:hAnsi="Book Antiqua"/>
          <w:b/>
          <w:sz w:val="28"/>
          <w:szCs w:val="28"/>
          <w:lang w:val="es-ES_tradnl"/>
        </w:rPr>
        <w:t>LEY</w:t>
      </w:r>
    </w:p>
    <w:p w14:paraId="55251455"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0A89F5B2" w14:textId="77777777" w:rsidR="00BA2D9E" w:rsidRDefault="008000CF" w:rsidP="000E6188">
      <w:pPr>
        <w:suppressLineNumbers/>
        <w:spacing w:after="0" w:line="240" w:lineRule="auto"/>
        <w:ind w:left="720" w:hanging="720"/>
        <w:contextualSpacing/>
        <w:jc w:val="both"/>
        <w:rPr>
          <w:rFonts w:ascii="Book Antiqua" w:hAnsi="Book Antiqua"/>
          <w:sz w:val="24"/>
          <w:szCs w:val="24"/>
          <w:lang w:val="es-PR"/>
        </w:rPr>
      </w:pPr>
      <w:r w:rsidRPr="000B77F1">
        <w:rPr>
          <w:rFonts w:ascii="Book Antiqua" w:hAnsi="Book Antiqua"/>
          <w:sz w:val="24"/>
          <w:szCs w:val="24"/>
          <w:lang w:val="es-ES_tradnl"/>
        </w:rPr>
        <w:t xml:space="preserve">Para </w:t>
      </w:r>
      <w:r w:rsidR="00F34FDA">
        <w:rPr>
          <w:rFonts w:ascii="Book Antiqua" w:hAnsi="Book Antiqua"/>
          <w:sz w:val="24"/>
          <w:szCs w:val="24"/>
          <w:lang w:val="es-ES_tradnl"/>
        </w:rPr>
        <w:t xml:space="preserve">enmendar </w:t>
      </w:r>
      <w:r w:rsidR="00225616" w:rsidRPr="002D3F31">
        <w:rPr>
          <w:rFonts w:ascii="Book Antiqua" w:hAnsi="Book Antiqua"/>
          <w:spacing w:val="1"/>
          <w:szCs w:val="24"/>
          <w:lang w:val="es-ES_tradnl"/>
        </w:rPr>
        <w:t>el Artículo 2.006 de la Ley 201-2003, según enmendada, conocida como “Ley de la Judicatura del Estado Libre Asociado de Puerto Rico de 2003”</w:t>
      </w:r>
      <w:r w:rsidR="00BA2D9E" w:rsidRPr="000B77F1">
        <w:rPr>
          <w:rFonts w:ascii="Book Antiqua" w:hAnsi="Book Antiqua"/>
          <w:sz w:val="24"/>
          <w:szCs w:val="24"/>
          <w:lang w:val="es-ES_tradnl"/>
        </w:rPr>
        <w:t xml:space="preserve">, a los fines </w:t>
      </w:r>
      <w:r w:rsidR="00F02F57">
        <w:rPr>
          <w:rFonts w:ascii="Book Antiqua" w:hAnsi="Book Antiqua"/>
          <w:sz w:val="24"/>
          <w:szCs w:val="24"/>
          <w:lang w:val="es-ES_tradnl"/>
        </w:rPr>
        <w:t xml:space="preserve">de </w:t>
      </w:r>
      <w:r w:rsidR="00E41923">
        <w:rPr>
          <w:rFonts w:ascii="Book Antiqua" w:hAnsi="Book Antiqua"/>
          <w:sz w:val="24"/>
          <w:szCs w:val="24"/>
          <w:lang w:val="es-ES_tradnl"/>
        </w:rPr>
        <w:t xml:space="preserve">establecer </w:t>
      </w:r>
      <w:r w:rsidR="00225616">
        <w:rPr>
          <w:rFonts w:ascii="Book Antiqua" w:hAnsi="Book Antiqua"/>
          <w:sz w:val="24"/>
          <w:szCs w:val="24"/>
          <w:lang w:val="es-ES_tradnl"/>
        </w:rPr>
        <w:t>como parte del</w:t>
      </w:r>
      <w:r w:rsidR="00E41923">
        <w:rPr>
          <w:rFonts w:ascii="Book Antiqua" w:hAnsi="Book Antiqua"/>
          <w:sz w:val="24"/>
          <w:szCs w:val="24"/>
          <w:lang w:val="es-ES_tradnl"/>
        </w:rPr>
        <w:t xml:space="preserve"> sistema de educación judicial,</w:t>
      </w:r>
      <w:r w:rsidR="00225616">
        <w:rPr>
          <w:rFonts w:ascii="Book Antiqua" w:hAnsi="Book Antiqua"/>
          <w:sz w:val="24"/>
          <w:szCs w:val="24"/>
          <w:lang w:val="es-ES_tradnl"/>
        </w:rPr>
        <w:t xml:space="preserve"> </w:t>
      </w:r>
      <w:r w:rsidR="00E41923">
        <w:rPr>
          <w:rFonts w:ascii="Book Antiqua" w:hAnsi="Book Antiqua"/>
          <w:sz w:val="24"/>
          <w:szCs w:val="24"/>
          <w:lang w:val="es-ES_tradnl"/>
        </w:rPr>
        <w:t>adiestramientos sobre la violencia</w:t>
      </w:r>
      <w:r w:rsidR="005C65A0">
        <w:rPr>
          <w:rFonts w:ascii="Book Antiqua" w:hAnsi="Book Antiqua"/>
          <w:sz w:val="24"/>
          <w:szCs w:val="24"/>
          <w:lang w:val="es-ES_tradnl"/>
        </w:rPr>
        <w:t>, en especial la</w:t>
      </w:r>
      <w:r w:rsidR="00E41923">
        <w:rPr>
          <w:rFonts w:ascii="Book Antiqua" w:hAnsi="Book Antiqua"/>
          <w:sz w:val="24"/>
          <w:szCs w:val="24"/>
          <w:lang w:val="es-ES_tradnl"/>
        </w:rPr>
        <w:t xml:space="preserve"> </w:t>
      </w:r>
      <w:r w:rsidR="005C65A0">
        <w:rPr>
          <w:rFonts w:ascii="Book Antiqua" w:hAnsi="Book Antiqua"/>
          <w:sz w:val="24"/>
          <w:szCs w:val="24"/>
          <w:lang w:val="es-ES_tradnl"/>
        </w:rPr>
        <w:t>doméstica</w:t>
      </w:r>
      <w:r w:rsidR="00BA2D9E" w:rsidRPr="000B77F1">
        <w:rPr>
          <w:rFonts w:ascii="Book Antiqua" w:hAnsi="Book Antiqua"/>
          <w:sz w:val="24"/>
          <w:szCs w:val="24"/>
          <w:lang w:val="es-ES_tradnl" w:eastAsia="es-PR"/>
        </w:rPr>
        <w:t xml:space="preserve">; </w:t>
      </w:r>
      <w:r w:rsidR="00BA2D9E" w:rsidRPr="000B77F1">
        <w:rPr>
          <w:rFonts w:ascii="Book Antiqua" w:hAnsi="Book Antiqua"/>
          <w:sz w:val="24"/>
          <w:szCs w:val="24"/>
          <w:lang w:val="es-PR"/>
        </w:rPr>
        <w:t>y para otros fines relacionados.</w:t>
      </w:r>
    </w:p>
    <w:p w14:paraId="69A367F5" w14:textId="77777777" w:rsidR="00225616" w:rsidRDefault="00225616" w:rsidP="000E6188">
      <w:pPr>
        <w:suppressLineNumbers/>
        <w:spacing w:after="0" w:line="240" w:lineRule="auto"/>
        <w:ind w:left="720" w:hanging="720"/>
        <w:contextualSpacing/>
        <w:jc w:val="both"/>
        <w:rPr>
          <w:rFonts w:ascii="Book Antiqua" w:hAnsi="Book Antiqua"/>
          <w:sz w:val="24"/>
          <w:szCs w:val="24"/>
          <w:lang w:val="es-PR"/>
        </w:rPr>
      </w:pPr>
    </w:p>
    <w:p w14:paraId="3CD807FB"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46B70A31" w14:textId="77777777" w:rsidR="00186415" w:rsidRPr="009A6D62" w:rsidRDefault="00186415" w:rsidP="000E6188">
      <w:pPr>
        <w:suppressLineNumbers/>
        <w:spacing w:after="0" w:line="240" w:lineRule="auto"/>
        <w:ind w:firstLine="360"/>
        <w:contextualSpacing/>
        <w:jc w:val="center"/>
        <w:rPr>
          <w:rFonts w:ascii="Book Antiqua" w:hAnsi="Book Antiqua"/>
          <w:sz w:val="24"/>
          <w:szCs w:val="24"/>
          <w:lang w:val="es-ES_tradnl"/>
        </w:rPr>
      </w:pPr>
    </w:p>
    <w:p w14:paraId="770EC3C1" w14:textId="4CE1E1BF" w:rsidR="005C65A0" w:rsidRPr="000B77F1" w:rsidRDefault="005C65A0" w:rsidP="00D23423">
      <w:pPr>
        <w:suppressLineNumbers/>
        <w:spacing w:after="0" w:line="240" w:lineRule="auto"/>
        <w:ind w:firstLine="360"/>
        <w:contextualSpacing/>
        <w:jc w:val="both"/>
        <w:rPr>
          <w:rFonts w:ascii="Book Antiqua" w:hAnsi="Book Antiqua" w:cs="Arial"/>
          <w:sz w:val="24"/>
          <w:szCs w:val="24"/>
          <w:lang w:val="es-ES_tradnl"/>
        </w:rPr>
      </w:pPr>
      <w:r>
        <w:rPr>
          <w:rFonts w:ascii="Book Antiqua" w:hAnsi="Book Antiqua"/>
          <w:sz w:val="24"/>
          <w:szCs w:val="24"/>
          <w:lang w:val="es-ES_tradnl"/>
        </w:rPr>
        <w:t>La violencia doméstica</w:t>
      </w:r>
      <w:r w:rsidRPr="000B77F1">
        <w:rPr>
          <w:rFonts w:ascii="Book Antiqua" w:hAnsi="Book Antiqua" w:cs="Arial"/>
          <w:sz w:val="24"/>
          <w:szCs w:val="24"/>
          <w:lang w:val="es-ES_tradnl"/>
        </w:rPr>
        <w:t xml:space="preserve"> constituye una violación de los derechos humanos, contraria a las disposiciones del Artículo II de nuestra Constitución.</w:t>
      </w:r>
      <w:r>
        <w:rPr>
          <w:rFonts w:ascii="Book Antiqua" w:hAnsi="Book Antiqua" w:cs="Arial"/>
          <w:sz w:val="24"/>
          <w:szCs w:val="24"/>
          <w:lang w:val="es-ES_tradnl"/>
        </w:rPr>
        <w:t xml:space="preserve">  </w:t>
      </w:r>
      <w:r w:rsidRPr="000B77F1">
        <w:rPr>
          <w:rFonts w:ascii="Book Antiqua" w:hAnsi="Book Antiqua"/>
          <w:sz w:val="24"/>
          <w:szCs w:val="24"/>
          <w:lang w:val="es-ES_tradnl"/>
        </w:rPr>
        <w:t xml:space="preserve">La Ley Núm. 54 de 15 de agosto de 1989, según enmendada, conocida como “Ley para la Prevención e Intervención con la Violencia Doméstica”, establece </w:t>
      </w:r>
      <w:r>
        <w:rPr>
          <w:rFonts w:ascii="Book Antiqua" w:hAnsi="Book Antiqua"/>
          <w:sz w:val="24"/>
          <w:szCs w:val="24"/>
          <w:lang w:val="es-ES_tradnl"/>
        </w:rPr>
        <w:t xml:space="preserve">cual es </w:t>
      </w:r>
      <w:r w:rsidRPr="000B77F1">
        <w:rPr>
          <w:rFonts w:ascii="Book Antiqua" w:hAnsi="Book Antiqua"/>
          <w:sz w:val="24"/>
          <w:szCs w:val="24"/>
          <w:lang w:val="es-ES_tradnl"/>
        </w:rPr>
        <w:t xml:space="preserve">la política pública del Gobierno del Estado Libre Asociado de Puerto Rico, </w:t>
      </w:r>
      <w:r>
        <w:rPr>
          <w:rFonts w:ascii="Book Antiqua" w:hAnsi="Book Antiqua"/>
          <w:sz w:val="24"/>
          <w:szCs w:val="24"/>
          <w:lang w:val="es-ES_tradnl"/>
        </w:rPr>
        <w:t>frente a</w:t>
      </w:r>
      <w:r w:rsidRPr="000B77F1">
        <w:rPr>
          <w:rFonts w:ascii="Book Antiqua" w:hAnsi="Book Antiqua"/>
          <w:sz w:val="24"/>
          <w:szCs w:val="24"/>
          <w:lang w:val="es-ES_tradnl"/>
        </w:rPr>
        <w:t xml:space="preserve"> </w:t>
      </w:r>
      <w:r>
        <w:rPr>
          <w:rFonts w:ascii="Book Antiqua" w:hAnsi="Book Antiqua"/>
          <w:sz w:val="24"/>
          <w:szCs w:val="24"/>
          <w:lang w:val="es-ES_tradnl"/>
        </w:rPr>
        <w:t>este mal que aqueja nuestra sociedad.</w:t>
      </w:r>
      <w:r w:rsidRPr="000B77F1">
        <w:rPr>
          <w:rFonts w:ascii="Book Antiqua" w:hAnsi="Book Antiqua" w:cs="Arial"/>
          <w:sz w:val="24"/>
          <w:szCs w:val="24"/>
          <w:lang w:val="es-ES_tradnl"/>
        </w:rPr>
        <w:t xml:space="preserve"> </w:t>
      </w:r>
      <w:r>
        <w:rPr>
          <w:rFonts w:ascii="Book Antiqua" w:hAnsi="Book Antiqua" w:cs="Arial"/>
          <w:sz w:val="24"/>
          <w:szCs w:val="24"/>
          <w:lang w:val="es-ES_tradnl"/>
        </w:rPr>
        <w:t xml:space="preserve"> </w:t>
      </w:r>
      <w:r w:rsidRPr="000B77F1">
        <w:rPr>
          <w:rFonts w:ascii="Book Antiqua" w:hAnsi="Book Antiqua" w:cs="Arial"/>
          <w:sz w:val="24"/>
          <w:szCs w:val="24"/>
          <w:lang w:val="es-ES_tradnl"/>
        </w:rPr>
        <w:t xml:space="preserve">La alta incidencia de situaciones de violencia doméstica que </w:t>
      </w:r>
      <w:r>
        <w:rPr>
          <w:rFonts w:ascii="Book Antiqua" w:hAnsi="Book Antiqua" w:cs="Arial"/>
          <w:sz w:val="24"/>
          <w:szCs w:val="24"/>
          <w:lang w:val="es-ES_tradnl"/>
        </w:rPr>
        <w:t>se han hecho más visibles</w:t>
      </w:r>
      <w:r w:rsidRPr="000B77F1">
        <w:rPr>
          <w:rFonts w:ascii="Book Antiqua" w:hAnsi="Book Antiqua" w:cs="Arial"/>
          <w:sz w:val="24"/>
          <w:szCs w:val="24"/>
          <w:lang w:val="es-ES_tradnl"/>
        </w:rPr>
        <w:t xml:space="preserve"> en los últimos </w:t>
      </w:r>
      <w:r w:rsidR="00455D3A" w:rsidRPr="000B77F1">
        <w:rPr>
          <w:rFonts w:ascii="Book Antiqua" w:hAnsi="Book Antiqua" w:cs="Arial"/>
          <w:sz w:val="24"/>
          <w:szCs w:val="24"/>
          <w:lang w:val="es-ES_tradnl"/>
        </w:rPr>
        <w:t>meses</w:t>
      </w:r>
      <w:r w:rsidRPr="000B77F1">
        <w:rPr>
          <w:rFonts w:ascii="Book Antiqua" w:hAnsi="Book Antiqua" w:cs="Arial"/>
          <w:sz w:val="24"/>
          <w:szCs w:val="24"/>
          <w:lang w:val="es-ES_tradnl"/>
        </w:rPr>
        <w:t xml:space="preserve"> nos </w:t>
      </w:r>
      <w:r w:rsidR="00455D3A" w:rsidRPr="000B77F1">
        <w:rPr>
          <w:rFonts w:ascii="Book Antiqua" w:hAnsi="Book Antiqua" w:cs="Arial"/>
          <w:sz w:val="24"/>
          <w:szCs w:val="24"/>
          <w:lang w:val="es-ES_tradnl"/>
        </w:rPr>
        <w:t>lleva</w:t>
      </w:r>
      <w:r w:rsidRPr="000B77F1">
        <w:rPr>
          <w:rFonts w:ascii="Book Antiqua" w:hAnsi="Book Antiqua" w:cs="Arial"/>
          <w:sz w:val="24"/>
          <w:szCs w:val="24"/>
          <w:lang w:val="es-ES_tradnl"/>
        </w:rPr>
        <w:t xml:space="preserve"> a reflexionar sobre las maneras de reforzar los mecanismos </w:t>
      </w:r>
      <w:r>
        <w:rPr>
          <w:rFonts w:ascii="Book Antiqua" w:hAnsi="Book Antiqua" w:cs="Arial"/>
          <w:sz w:val="24"/>
          <w:szCs w:val="24"/>
          <w:lang w:val="es-ES_tradnl"/>
        </w:rPr>
        <w:t>disponibles para</w:t>
      </w:r>
      <w:r w:rsidRPr="000B77F1">
        <w:rPr>
          <w:rFonts w:ascii="Book Antiqua" w:hAnsi="Book Antiqua" w:cs="Arial"/>
          <w:sz w:val="24"/>
          <w:szCs w:val="24"/>
          <w:lang w:val="es-ES_tradnl"/>
        </w:rPr>
        <w:t xml:space="preserve"> prote</w:t>
      </w:r>
      <w:r>
        <w:rPr>
          <w:rFonts w:ascii="Book Antiqua" w:hAnsi="Book Antiqua" w:cs="Arial"/>
          <w:sz w:val="24"/>
          <w:szCs w:val="24"/>
          <w:lang w:val="es-ES_tradnl"/>
        </w:rPr>
        <w:t>ger a</w:t>
      </w:r>
      <w:r w:rsidRPr="000B77F1">
        <w:rPr>
          <w:rFonts w:ascii="Book Antiqua" w:hAnsi="Book Antiqua" w:cs="Arial"/>
          <w:sz w:val="24"/>
          <w:szCs w:val="24"/>
          <w:lang w:val="es-ES_tradnl"/>
        </w:rPr>
        <w:t xml:space="preserve"> las víctimas.</w:t>
      </w:r>
    </w:p>
    <w:p w14:paraId="0C78A7AC" w14:textId="77777777" w:rsidR="005C65A0" w:rsidRDefault="005C65A0" w:rsidP="005C65A0">
      <w:pPr>
        <w:suppressLineNumbers/>
        <w:spacing w:after="0" w:line="240" w:lineRule="auto"/>
        <w:ind w:firstLine="720"/>
        <w:contextualSpacing/>
        <w:jc w:val="both"/>
        <w:rPr>
          <w:rFonts w:ascii="Book Antiqua" w:hAnsi="Book Antiqua"/>
          <w:sz w:val="24"/>
          <w:szCs w:val="24"/>
          <w:lang w:val="es-ES_tradnl"/>
        </w:rPr>
      </w:pPr>
    </w:p>
    <w:p w14:paraId="0BC51BF9" w14:textId="179A3A12" w:rsidR="00271660" w:rsidRDefault="00271660"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Según la </w:t>
      </w:r>
      <w:proofErr w:type="spellStart"/>
      <w:r w:rsidRPr="00965789">
        <w:rPr>
          <w:rFonts w:ascii="Book Antiqua" w:hAnsi="Book Antiqua"/>
          <w:i/>
          <w:iCs/>
          <w:sz w:val="24"/>
          <w:szCs w:val="24"/>
          <w:lang w:val="es-ES_tradnl"/>
        </w:rPr>
        <w:t>United</w:t>
      </w:r>
      <w:proofErr w:type="spellEnd"/>
      <w:r w:rsidRPr="00965789">
        <w:rPr>
          <w:rFonts w:ascii="Book Antiqua" w:hAnsi="Book Antiqua"/>
          <w:i/>
          <w:iCs/>
          <w:sz w:val="24"/>
          <w:szCs w:val="24"/>
          <w:lang w:val="es-ES_tradnl"/>
        </w:rPr>
        <w:t xml:space="preserve"> </w:t>
      </w:r>
      <w:proofErr w:type="spellStart"/>
      <w:r w:rsidRPr="00965789">
        <w:rPr>
          <w:rFonts w:ascii="Book Antiqua" w:hAnsi="Book Antiqua"/>
          <w:i/>
          <w:iCs/>
          <w:sz w:val="24"/>
          <w:szCs w:val="24"/>
          <w:lang w:val="es-ES_tradnl"/>
        </w:rPr>
        <w:t>Nations</w:t>
      </w:r>
      <w:proofErr w:type="spellEnd"/>
      <w:r w:rsidRPr="00965789">
        <w:rPr>
          <w:rFonts w:ascii="Book Antiqua" w:hAnsi="Book Antiqua"/>
          <w:i/>
          <w:iCs/>
          <w:sz w:val="24"/>
          <w:szCs w:val="24"/>
          <w:lang w:val="es-ES_tradnl"/>
        </w:rPr>
        <w:t xml:space="preserve"> </w:t>
      </w:r>
      <w:proofErr w:type="spellStart"/>
      <w:r w:rsidRPr="00965789">
        <w:rPr>
          <w:rFonts w:ascii="Book Antiqua" w:hAnsi="Book Antiqua"/>
          <w:i/>
          <w:iCs/>
          <w:sz w:val="24"/>
          <w:szCs w:val="24"/>
          <w:lang w:val="es-ES_tradnl"/>
        </w:rPr>
        <w:t>Population</w:t>
      </w:r>
      <w:proofErr w:type="spellEnd"/>
      <w:r w:rsidRPr="00965789">
        <w:rPr>
          <w:rFonts w:ascii="Book Antiqua" w:hAnsi="Book Antiqua"/>
          <w:i/>
          <w:iCs/>
          <w:sz w:val="24"/>
          <w:szCs w:val="24"/>
          <w:lang w:val="es-ES_tradnl"/>
        </w:rPr>
        <w:t xml:space="preserve"> </w:t>
      </w:r>
      <w:proofErr w:type="spellStart"/>
      <w:r w:rsidRPr="00965789">
        <w:rPr>
          <w:rFonts w:ascii="Book Antiqua" w:hAnsi="Book Antiqua"/>
          <w:i/>
          <w:iCs/>
          <w:sz w:val="24"/>
          <w:szCs w:val="24"/>
          <w:lang w:val="es-ES_tradnl"/>
        </w:rPr>
        <w:t>Fund</w:t>
      </w:r>
      <w:proofErr w:type="spellEnd"/>
      <w:r>
        <w:rPr>
          <w:rFonts w:ascii="Book Antiqua" w:hAnsi="Book Antiqua"/>
          <w:sz w:val="24"/>
          <w:szCs w:val="24"/>
          <w:lang w:val="es-ES_tradnl"/>
        </w:rPr>
        <w:t xml:space="preserve">, la violencia contra las mujeres y las </w:t>
      </w:r>
      <w:r w:rsidR="00965789">
        <w:rPr>
          <w:rFonts w:ascii="Book Antiqua" w:hAnsi="Book Antiqua"/>
          <w:sz w:val="24"/>
          <w:szCs w:val="24"/>
          <w:lang w:val="es-ES_tradnl"/>
        </w:rPr>
        <w:t>niñas</w:t>
      </w:r>
      <w:r>
        <w:rPr>
          <w:rFonts w:ascii="Book Antiqua" w:hAnsi="Book Antiqua"/>
          <w:sz w:val="24"/>
          <w:szCs w:val="24"/>
          <w:lang w:val="es-ES_tradnl"/>
        </w:rPr>
        <w:t xml:space="preserve"> es </w:t>
      </w:r>
      <w:r w:rsidR="00455D3A">
        <w:rPr>
          <w:rFonts w:ascii="Book Antiqua" w:hAnsi="Book Antiqua"/>
          <w:sz w:val="24"/>
          <w:szCs w:val="24"/>
          <w:lang w:val="es-ES_tradnl"/>
        </w:rPr>
        <w:t>una</w:t>
      </w:r>
      <w:r>
        <w:rPr>
          <w:rFonts w:ascii="Book Antiqua" w:hAnsi="Book Antiqua"/>
          <w:sz w:val="24"/>
          <w:szCs w:val="24"/>
          <w:lang w:val="es-ES_tradnl"/>
        </w:rPr>
        <w:t xml:space="preserve"> de las violaciones a los derechos humanos que más prevalencia tiene alrededor del mundo.</w:t>
      </w:r>
      <w:r w:rsidR="00965789">
        <w:rPr>
          <w:rFonts w:ascii="Book Antiqua" w:hAnsi="Book Antiqua"/>
          <w:sz w:val="24"/>
          <w:szCs w:val="24"/>
          <w:lang w:val="es-ES_tradnl"/>
        </w:rPr>
        <w:t xml:space="preserve"> </w:t>
      </w:r>
      <w:r w:rsidR="00A602E1">
        <w:rPr>
          <w:rFonts w:ascii="Book Antiqua" w:hAnsi="Book Antiqua"/>
          <w:sz w:val="24"/>
          <w:szCs w:val="24"/>
          <w:lang w:val="es-ES_tradnl"/>
        </w:rPr>
        <w:t xml:space="preserve"> </w:t>
      </w:r>
      <w:r>
        <w:rPr>
          <w:rFonts w:ascii="Book Antiqua" w:hAnsi="Book Antiqua"/>
          <w:sz w:val="24"/>
          <w:szCs w:val="24"/>
          <w:lang w:val="es-ES_tradnl"/>
        </w:rPr>
        <w:t>Se estima que una de cada tres mujeres a nivel mundial, va a experimentar abuso físico o sexual.</w:t>
      </w:r>
    </w:p>
    <w:p w14:paraId="23CED28F" w14:textId="77777777" w:rsidR="00271660" w:rsidRDefault="00271660" w:rsidP="00271660">
      <w:pPr>
        <w:suppressLineNumbers/>
        <w:spacing w:after="0" w:line="240" w:lineRule="auto"/>
        <w:ind w:firstLine="720"/>
        <w:contextualSpacing/>
        <w:jc w:val="both"/>
        <w:rPr>
          <w:rFonts w:ascii="Book Antiqua" w:hAnsi="Book Antiqua"/>
          <w:sz w:val="24"/>
          <w:szCs w:val="24"/>
          <w:lang w:val="es-ES_tradnl"/>
        </w:rPr>
      </w:pPr>
    </w:p>
    <w:p w14:paraId="50708D24" w14:textId="30E31545" w:rsidR="00271660" w:rsidRPr="002F068B" w:rsidRDefault="00271660"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El 25 de enero de 2021, el Gobernador Pedro R. </w:t>
      </w:r>
      <w:proofErr w:type="spellStart"/>
      <w:r>
        <w:rPr>
          <w:rFonts w:ascii="Book Antiqua" w:hAnsi="Book Antiqua"/>
          <w:sz w:val="24"/>
          <w:szCs w:val="24"/>
          <w:lang w:val="es-ES_tradnl"/>
        </w:rPr>
        <w:t>Pierluisi</w:t>
      </w:r>
      <w:proofErr w:type="spellEnd"/>
      <w:r>
        <w:rPr>
          <w:rFonts w:ascii="Book Antiqua" w:hAnsi="Book Antiqua"/>
          <w:sz w:val="24"/>
          <w:szCs w:val="24"/>
          <w:lang w:val="es-ES_tradnl"/>
        </w:rPr>
        <w:t xml:space="preserve">, </w:t>
      </w:r>
      <w:r w:rsidR="0013735C">
        <w:rPr>
          <w:rFonts w:ascii="Book Antiqua" w:hAnsi="Book Antiqua"/>
          <w:sz w:val="24"/>
          <w:szCs w:val="24"/>
          <w:lang w:val="es-ES_tradnl"/>
        </w:rPr>
        <w:t>firm</w:t>
      </w:r>
      <w:r>
        <w:rPr>
          <w:rFonts w:ascii="Book Antiqua" w:hAnsi="Book Antiqua"/>
          <w:sz w:val="24"/>
          <w:szCs w:val="24"/>
          <w:lang w:val="es-ES_tradnl"/>
        </w:rPr>
        <w:t xml:space="preserve">ó la Orden Ejecutiva </w:t>
      </w:r>
      <w:r w:rsidR="0013735C">
        <w:rPr>
          <w:rFonts w:ascii="Book Antiqua" w:hAnsi="Book Antiqua"/>
          <w:sz w:val="24"/>
          <w:szCs w:val="24"/>
          <w:lang w:val="es-ES_tradnl"/>
        </w:rPr>
        <w:t xml:space="preserve">  </w:t>
      </w:r>
      <w:r>
        <w:rPr>
          <w:rFonts w:ascii="Book Antiqua" w:hAnsi="Book Antiqua"/>
          <w:sz w:val="24"/>
          <w:szCs w:val="24"/>
          <w:lang w:val="es-ES_tradnl"/>
        </w:rPr>
        <w:t>OE-2021-013, declarando un estado de emergencia ante el aumento de casos de violencia de género en Puerto Rico</w:t>
      </w:r>
      <w:r w:rsidR="006342AB">
        <w:rPr>
          <w:rFonts w:ascii="Book Antiqua" w:hAnsi="Book Antiqua"/>
          <w:sz w:val="24"/>
          <w:szCs w:val="24"/>
          <w:lang w:val="es-ES_tradnl"/>
        </w:rPr>
        <w:t>, en especial en contra de las mujeres</w:t>
      </w:r>
      <w:r>
        <w:rPr>
          <w:rFonts w:ascii="Book Antiqua" w:hAnsi="Book Antiqua"/>
          <w:sz w:val="24"/>
          <w:szCs w:val="24"/>
          <w:lang w:val="es-ES_tradnl"/>
        </w:rPr>
        <w:t xml:space="preserve">. </w:t>
      </w:r>
      <w:r w:rsidR="00A602E1">
        <w:rPr>
          <w:rFonts w:ascii="Book Antiqua" w:hAnsi="Book Antiqua"/>
          <w:sz w:val="24"/>
          <w:szCs w:val="24"/>
          <w:lang w:val="es-ES_tradnl"/>
        </w:rPr>
        <w:t xml:space="preserve"> </w:t>
      </w:r>
      <w:r>
        <w:rPr>
          <w:rFonts w:ascii="Book Antiqua" w:hAnsi="Book Antiqua"/>
          <w:sz w:val="24"/>
          <w:szCs w:val="24"/>
          <w:lang w:val="es-ES_tradnl"/>
        </w:rPr>
        <w:t xml:space="preserve">Expresa la Orden que: “En los pasados años, los casos de violencia de género, especialmente en contra de la </w:t>
      </w:r>
      <w:r>
        <w:rPr>
          <w:rFonts w:ascii="Book Antiqua" w:hAnsi="Book Antiqua"/>
          <w:sz w:val="24"/>
          <w:szCs w:val="24"/>
          <w:lang w:val="es-ES_tradnl"/>
        </w:rPr>
        <w:lastRenderedPageBreak/>
        <w:t xml:space="preserve">mujer, han aumentado considerablemente y se encuentran en estado de alerta. </w:t>
      </w:r>
      <w:r w:rsidR="00A602E1">
        <w:rPr>
          <w:rFonts w:ascii="Book Antiqua" w:hAnsi="Book Antiqua"/>
          <w:sz w:val="24"/>
          <w:szCs w:val="24"/>
          <w:lang w:val="es-ES_tradnl"/>
        </w:rPr>
        <w:t xml:space="preserve"> </w:t>
      </w:r>
      <w:r>
        <w:rPr>
          <w:rFonts w:ascii="Book Antiqua" w:hAnsi="Book Antiqua"/>
          <w:sz w:val="24"/>
          <w:szCs w:val="24"/>
          <w:lang w:val="es-ES_tradnl"/>
        </w:rPr>
        <w:t>A modo de ejemplo, para el año 2019, se reportaron 7,021 casos de violencia doméstica y de éstos, 5,896 ocurrieron contra mujeres”.</w:t>
      </w:r>
    </w:p>
    <w:p w14:paraId="08E38C14" w14:textId="77777777" w:rsidR="00271660" w:rsidRDefault="00271660" w:rsidP="00271660">
      <w:pPr>
        <w:suppressLineNumbers/>
        <w:spacing w:after="0" w:line="240" w:lineRule="auto"/>
        <w:ind w:firstLine="720"/>
        <w:contextualSpacing/>
        <w:jc w:val="both"/>
        <w:rPr>
          <w:rFonts w:ascii="Book Antiqua" w:hAnsi="Book Antiqua"/>
          <w:sz w:val="24"/>
          <w:szCs w:val="24"/>
          <w:lang w:val="es-ES_tradnl"/>
        </w:rPr>
      </w:pPr>
    </w:p>
    <w:p w14:paraId="1C818142" w14:textId="77777777" w:rsidR="00271660" w:rsidRDefault="00271660"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La Comisión Judicial Especial para Investigar el Discrimen por Género en los Tribunales de Puerto Rico, presentó al pleno del Tribunal Supremo en agosto del              año 1995, su “Informe sobre el Discrimen por Razón de Género en los Tribunales de </w:t>
      </w:r>
      <w:r w:rsidRPr="00402C5C">
        <w:rPr>
          <w:rFonts w:ascii="Book Antiqua" w:hAnsi="Book Antiqua"/>
          <w:sz w:val="24"/>
          <w:szCs w:val="24"/>
          <w:lang w:val="es-ES_tradnl"/>
        </w:rPr>
        <w:t xml:space="preserve">Puerto Rico”.  Como parte de sus hallazgos encontró que el discrimen por razón de género es significativo al aplicar la Ley 54. </w:t>
      </w:r>
      <w:r w:rsidR="00A602E1">
        <w:rPr>
          <w:rFonts w:ascii="Book Antiqua" w:hAnsi="Book Antiqua"/>
          <w:sz w:val="24"/>
          <w:szCs w:val="24"/>
          <w:lang w:val="es-ES_tradnl"/>
        </w:rPr>
        <w:t xml:space="preserve"> </w:t>
      </w:r>
      <w:r w:rsidRPr="00402C5C">
        <w:rPr>
          <w:rFonts w:ascii="Book Antiqua" w:hAnsi="Book Antiqua"/>
          <w:sz w:val="24"/>
          <w:szCs w:val="24"/>
          <w:lang w:val="es-ES_tradnl"/>
        </w:rPr>
        <w:t>Desglosamos algunos de los hallazgos:</w:t>
      </w:r>
    </w:p>
    <w:p w14:paraId="2F4877FA" w14:textId="77777777" w:rsidR="00271660" w:rsidRPr="00402C5C" w:rsidRDefault="00271660" w:rsidP="00271660">
      <w:pPr>
        <w:suppressLineNumbers/>
        <w:spacing w:after="0" w:line="240" w:lineRule="auto"/>
        <w:ind w:firstLine="720"/>
        <w:contextualSpacing/>
        <w:jc w:val="both"/>
        <w:rPr>
          <w:rFonts w:ascii="Book Antiqua" w:hAnsi="Book Antiqua"/>
          <w:sz w:val="24"/>
          <w:szCs w:val="24"/>
          <w:lang w:val="es-ES_tradnl"/>
        </w:rPr>
      </w:pPr>
    </w:p>
    <w:p w14:paraId="0A2F71BD"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En el sistema de justicia se minimiza y trivializa la violencia doméstica;</w:t>
      </w:r>
    </w:p>
    <w:p w14:paraId="592B10D0"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Existe resistencia entre los componentes del sistema de justicia a conceptualizar como delito la violencia doméstica;</w:t>
      </w:r>
    </w:p>
    <w:p w14:paraId="6430DB65"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El sistema de justicia confiere poca credibilidad a las mujeres en los casos de violencia doméstica;</w:t>
      </w:r>
    </w:p>
    <w:p w14:paraId="415D97BE"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El sistema de justicia usualmente culpa a las mujeres de la violencia doméstica;</w:t>
      </w:r>
    </w:p>
    <w:p w14:paraId="3E933D00"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Existe un desconocimiento general entre los funcionarios del sistema sobre el ciclo de la violencia doméstica, lo que impide entender con profundidad lo que ocurre en estos casos;</w:t>
      </w:r>
    </w:p>
    <w:p w14:paraId="3197EED6"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El sistema de justicia desalienta la presentación y promueve el retiro de cargos de violencia doméstica;</w:t>
      </w:r>
    </w:p>
    <w:p w14:paraId="2CB2464F"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No existen suficientes mecanismos de orientación y de apoyo dirigidos a las víctimas de violencia doméstica;</w:t>
      </w:r>
    </w:p>
    <w:p w14:paraId="4E4011E0"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Algunos jueces se niegan a conceder remedios que la Ley 54</w:t>
      </w:r>
      <w:r>
        <w:rPr>
          <w:rFonts w:ascii="Book Antiqua" w:hAnsi="Book Antiqua"/>
          <w:sz w:val="24"/>
          <w:szCs w:val="24"/>
          <w:lang w:val="es-ES_tradnl"/>
        </w:rPr>
        <w:t>, supra,</w:t>
      </w:r>
      <w:r w:rsidRPr="00402C5C">
        <w:rPr>
          <w:rFonts w:ascii="Book Antiqua" w:hAnsi="Book Antiqua"/>
          <w:sz w:val="24"/>
          <w:szCs w:val="24"/>
          <w:lang w:val="es-ES_tradnl"/>
        </w:rPr>
        <w:t xml:space="preserve"> provee sin haber impedimento legal alguno;</w:t>
      </w:r>
    </w:p>
    <w:p w14:paraId="0AFA9BAA"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Algunos jueces equivocadamente requieren que se pruebe la existencia de un patrón de conducta en los casos de maltrato físico bajo la Ley 54</w:t>
      </w:r>
      <w:r>
        <w:rPr>
          <w:rFonts w:ascii="Book Antiqua" w:hAnsi="Book Antiqua"/>
          <w:sz w:val="24"/>
          <w:szCs w:val="24"/>
          <w:lang w:val="es-ES_tradnl"/>
        </w:rPr>
        <w:t>, antes citada</w:t>
      </w:r>
      <w:r w:rsidRPr="00402C5C">
        <w:rPr>
          <w:rFonts w:ascii="Book Antiqua" w:hAnsi="Book Antiqua"/>
          <w:sz w:val="24"/>
          <w:szCs w:val="24"/>
          <w:lang w:val="es-ES_tradnl"/>
        </w:rPr>
        <w:t>;</w:t>
      </w:r>
      <w:r w:rsidR="00A67B58">
        <w:rPr>
          <w:rFonts w:ascii="Book Antiqua" w:hAnsi="Book Antiqua"/>
          <w:sz w:val="24"/>
          <w:szCs w:val="24"/>
          <w:lang w:val="es-ES_tradnl"/>
        </w:rPr>
        <w:t xml:space="preserve"> y,</w:t>
      </w:r>
    </w:p>
    <w:p w14:paraId="4B3281B4" w14:textId="77777777" w:rsidR="00271660" w:rsidRPr="00402C5C" w:rsidRDefault="00271660" w:rsidP="00D23423">
      <w:pPr>
        <w:pStyle w:val="ListParagraph"/>
        <w:numPr>
          <w:ilvl w:val="0"/>
          <w:numId w:val="30"/>
        </w:numPr>
        <w:suppressLineNumbers/>
        <w:spacing w:after="0" w:line="240" w:lineRule="auto"/>
        <w:ind w:left="720"/>
        <w:jc w:val="both"/>
        <w:rPr>
          <w:rFonts w:ascii="Book Antiqua" w:hAnsi="Book Antiqua"/>
          <w:sz w:val="24"/>
          <w:szCs w:val="24"/>
          <w:lang w:val="es-ES_tradnl"/>
        </w:rPr>
      </w:pPr>
      <w:r w:rsidRPr="00402C5C">
        <w:rPr>
          <w:rFonts w:ascii="Book Antiqua" w:hAnsi="Book Antiqua"/>
          <w:sz w:val="24"/>
          <w:szCs w:val="24"/>
          <w:lang w:val="es-ES_tradnl"/>
        </w:rPr>
        <w:t>A algunos jueces les resulta difícil comprender las actitudes y reacciones de las mujeres que sufren el problema de violencia doméstica, por desconocimiento sobre este problema.</w:t>
      </w:r>
    </w:p>
    <w:p w14:paraId="6BA6B207" w14:textId="77777777" w:rsidR="00271660" w:rsidRDefault="00271660" w:rsidP="00271660">
      <w:pPr>
        <w:suppressLineNumbers/>
        <w:spacing w:after="0" w:line="240" w:lineRule="auto"/>
        <w:ind w:firstLine="720"/>
        <w:contextualSpacing/>
        <w:jc w:val="both"/>
        <w:rPr>
          <w:rFonts w:ascii="Book Antiqua" w:hAnsi="Book Antiqua"/>
          <w:sz w:val="24"/>
          <w:szCs w:val="24"/>
          <w:lang w:val="es-ES_tradnl"/>
        </w:rPr>
      </w:pPr>
    </w:p>
    <w:p w14:paraId="75089600" w14:textId="77777777" w:rsidR="00271660" w:rsidRDefault="00271660"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Como parte de las recomendaciones se encuentran los adi</w:t>
      </w:r>
      <w:r w:rsidR="00A67B58">
        <w:rPr>
          <w:rFonts w:ascii="Book Antiqua" w:hAnsi="Book Antiqua"/>
          <w:sz w:val="24"/>
          <w:szCs w:val="24"/>
          <w:lang w:val="es-ES_tradnl"/>
        </w:rPr>
        <w:t>estramientos a los funcionarios, la sensibilización de jueces,</w:t>
      </w:r>
      <w:r>
        <w:rPr>
          <w:rFonts w:ascii="Book Antiqua" w:hAnsi="Book Antiqua"/>
          <w:sz w:val="24"/>
          <w:szCs w:val="24"/>
          <w:lang w:val="es-ES_tradnl"/>
        </w:rPr>
        <w:t xml:space="preserve"> y la implantación de mecanismos efectivos de orientación a las víctimas. </w:t>
      </w:r>
    </w:p>
    <w:p w14:paraId="656F67B9" w14:textId="77777777" w:rsidR="00271660" w:rsidRPr="000B0FB8" w:rsidRDefault="00271660" w:rsidP="00271660">
      <w:pPr>
        <w:suppressLineNumbers/>
        <w:spacing w:after="0" w:line="240" w:lineRule="auto"/>
        <w:ind w:firstLine="720"/>
        <w:contextualSpacing/>
        <w:jc w:val="both"/>
        <w:rPr>
          <w:rFonts w:ascii="Book Antiqua" w:hAnsi="Book Antiqua"/>
          <w:sz w:val="24"/>
          <w:szCs w:val="24"/>
          <w:lang w:val="es-ES_tradnl"/>
        </w:rPr>
      </w:pPr>
    </w:p>
    <w:p w14:paraId="7DEB096F" w14:textId="77777777" w:rsidR="00271660" w:rsidRPr="000B0FB8" w:rsidRDefault="00271660" w:rsidP="00D23423">
      <w:pPr>
        <w:suppressLineNumbers/>
        <w:spacing w:after="0" w:line="240" w:lineRule="auto"/>
        <w:ind w:firstLine="360"/>
        <w:contextualSpacing/>
        <w:jc w:val="both"/>
        <w:rPr>
          <w:rFonts w:ascii="Book Antiqua" w:hAnsi="Book Antiqua"/>
          <w:color w:val="333333"/>
          <w:sz w:val="24"/>
          <w:szCs w:val="24"/>
          <w:shd w:val="clear" w:color="auto" w:fill="FFFFFF"/>
          <w:lang w:val="es-ES_tradnl"/>
        </w:rPr>
      </w:pPr>
      <w:r w:rsidRPr="000B0FB8">
        <w:rPr>
          <w:rFonts w:ascii="Book Antiqua" w:hAnsi="Book Antiqua"/>
          <w:sz w:val="24"/>
          <w:szCs w:val="24"/>
          <w:lang w:val="es-ES_tradnl"/>
        </w:rPr>
        <w:t xml:space="preserve">En una reseña del periódico </w:t>
      </w:r>
      <w:r w:rsidR="00A67B58">
        <w:rPr>
          <w:rFonts w:ascii="Book Antiqua" w:hAnsi="Book Antiqua"/>
          <w:sz w:val="24"/>
          <w:szCs w:val="24"/>
          <w:lang w:val="es-ES_tradnl"/>
        </w:rPr>
        <w:t>Primera Hora</w:t>
      </w:r>
      <w:r w:rsidRPr="000B0FB8">
        <w:rPr>
          <w:rFonts w:ascii="Book Antiqua" w:hAnsi="Book Antiqua"/>
          <w:sz w:val="24"/>
          <w:szCs w:val="24"/>
          <w:lang w:val="es-ES_tradnl"/>
        </w:rPr>
        <w:t xml:space="preserve"> del 12 de agosto de 2021, titulado “Informe confirma que algunos jueces no dan el 100% de su desempeño en casos de violencia doméstica”, se </w:t>
      </w:r>
      <w:r w:rsidR="00FC6137">
        <w:rPr>
          <w:rFonts w:ascii="Book Antiqua" w:hAnsi="Book Antiqua"/>
          <w:sz w:val="24"/>
          <w:szCs w:val="24"/>
          <w:lang w:val="es-ES_tradnl"/>
        </w:rPr>
        <w:t>discuten los hallazgos de un informe sometido a la Juez Presidente sobre los casos de femicidios en Puerto Rico.</w:t>
      </w:r>
      <w:r w:rsidR="00A602E1">
        <w:rPr>
          <w:rFonts w:ascii="Book Antiqua" w:hAnsi="Book Antiqua"/>
          <w:sz w:val="24"/>
          <w:szCs w:val="24"/>
          <w:lang w:val="es-ES_tradnl"/>
        </w:rPr>
        <w:t xml:space="preserve"> </w:t>
      </w:r>
      <w:r w:rsidR="00FC6137">
        <w:rPr>
          <w:rFonts w:ascii="Book Antiqua" w:hAnsi="Book Antiqua"/>
          <w:sz w:val="24"/>
          <w:szCs w:val="24"/>
          <w:lang w:val="es-ES_tradnl"/>
        </w:rPr>
        <w:t xml:space="preserve"> En el mismo se señala </w:t>
      </w:r>
      <w:r w:rsidRPr="000B0FB8">
        <w:rPr>
          <w:rFonts w:ascii="Book Antiqua" w:hAnsi="Book Antiqua"/>
          <w:sz w:val="24"/>
          <w:szCs w:val="24"/>
          <w:lang w:val="es-ES_tradnl"/>
        </w:rPr>
        <w:t>que</w:t>
      </w:r>
      <w:r w:rsidR="00FC6137">
        <w:rPr>
          <w:rFonts w:ascii="Book Antiqua" w:hAnsi="Book Antiqua"/>
          <w:sz w:val="24"/>
          <w:szCs w:val="24"/>
          <w:lang w:val="es-ES_tradnl"/>
        </w:rPr>
        <w:t>,</w:t>
      </w:r>
      <w:r w:rsidRPr="000B0FB8">
        <w:rPr>
          <w:rFonts w:ascii="Book Antiqua" w:hAnsi="Book Antiqua"/>
          <w:sz w:val="24"/>
          <w:szCs w:val="24"/>
          <w:lang w:val="es-ES_tradnl"/>
        </w:rPr>
        <w:t xml:space="preserve"> de </w:t>
      </w:r>
      <w:r w:rsidRPr="000B0FB8">
        <w:rPr>
          <w:rFonts w:ascii="Book Antiqua" w:hAnsi="Book Antiqua"/>
          <w:color w:val="333333"/>
          <w:sz w:val="24"/>
          <w:szCs w:val="24"/>
          <w:shd w:val="clear" w:color="auto" w:fill="FFFFFF"/>
          <w:lang w:val="es-ES_tradnl"/>
        </w:rPr>
        <w:t>la</w:t>
      </w:r>
      <w:r w:rsidR="00FC6137">
        <w:rPr>
          <w:rFonts w:ascii="Book Antiqua" w:hAnsi="Book Antiqua"/>
          <w:color w:val="333333"/>
          <w:sz w:val="24"/>
          <w:szCs w:val="24"/>
          <w:shd w:val="clear" w:color="auto" w:fill="FFFFFF"/>
          <w:lang w:val="es-ES_tradnl"/>
        </w:rPr>
        <w:t>s</w:t>
      </w:r>
      <w:r w:rsidRPr="000B0FB8">
        <w:rPr>
          <w:rFonts w:ascii="Book Antiqua" w:hAnsi="Book Antiqua"/>
          <w:color w:val="333333"/>
          <w:sz w:val="24"/>
          <w:szCs w:val="24"/>
          <w:shd w:val="clear" w:color="auto" w:fill="FFFFFF"/>
          <w:lang w:val="es-ES_tradnl"/>
        </w:rPr>
        <w:t xml:space="preserve"> grabaci</w:t>
      </w:r>
      <w:r w:rsidR="00FC6137">
        <w:rPr>
          <w:rFonts w:ascii="Book Antiqua" w:hAnsi="Book Antiqua"/>
          <w:color w:val="333333"/>
          <w:sz w:val="24"/>
          <w:szCs w:val="24"/>
          <w:shd w:val="clear" w:color="auto" w:fill="FFFFFF"/>
          <w:lang w:val="es-ES_tradnl"/>
        </w:rPr>
        <w:t>ones sobre los casos a los que tuvieron acceso los funcionarios a cargo de rendirlo, s</w:t>
      </w:r>
      <w:r w:rsidRPr="000B0FB8">
        <w:rPr>
          <w:rFonts w:ascii="Book Antiqua" w:hAnsi="Book Antiqua"/>
          <w:color w:val="333333"/>
          <w:sz w:val="24"/>
          <w:szCs w:val="24"/>
          <w:shd w:val="clear" w:color="auto" w:fill="FFFFFF"/>
          <w:lang w:val="es-ES_tradnl"/>
        </w:rPr>
        <w:t>e desprenden expresiones de</w:t>
      </w:r>
      <w:r w:rsidR="00FC6137">
        <w:rPr>
          <w:rFonts w:ascii="Book Antiqua" w:hAnsi="Book Antiqua"/>
          <w:color w:val="333333"/>
          <w:sz w:val="24"/>
          <w:szCs w:val="24"/>
          <w:shd w:val="clear" w:color="auto" w:fill="FFFFFF"/>
          <w:lang w:val="es-ES_tradnl"/>
        </w:rPr>
        <w:t xml:space="preserve"> </w:t>
      </w:r>
      <w:r w:rsidRPr="000B0FB8">
        <w:rPr>
          <w:rFonts w:ascii="Book Antiqua" w:hAnsi="Book Antiqua"/>
          <w:color w:val="333333"/>
          <w:sz w:val="24"/>
          <w:szCs w:val="24"/>
          <w:shd w:val="clear" w:color="auto" w:fill="FFFFFF"/>
          <w:lang w:val="es-ES_tradnl"/>
        </w:rPr>
        <w:t>l</w:t>
      </w:r>
      <w:r w:rsidR="00FC6137">
        <w:rPr>
          <w:rFonts w:ascii="Book Antiqua" w:hAnsi="Book Antiqua"/>
          <w:color w:val="333333"/>
          <w:sz w:val="24"/>
          <w:szCs w:val="24"/>
          <w:shd w:val="clear" w:color="auto" w:fill="FFFFFF"/>
          <w:lang w:val="es-ES_tradnl"/>
        </w:rPr>
        <w:t>a</w:t>
      </w:r>
      <w:r w:rsidRPr="000B0FB8">
        <w:rPr>
          <w:rFonts w:ascii="Book Antiqua" w:hAnsi="Book Antiqua"/>
          <w:color w:val="333333"/>
          <w:sz w:val="24"/>
          <w:szCs w:val="24"/>
          <w:shd w:val="clear" w:color="auto" w:fill="FFFFFF"/>
          <w:lang w:val="es-ES_tradnl"/>
        </w:rPr>
        <w:t xml:space="preserve"> juez ante la información de querellas previas realizadas a la policía por parte de la perjudicada en contra del imputado, indicando que la relación es una enfermiza y la víctima se exponía a una tragedia.  Expresa el informe que el tono </w:t>
      </w:r>
      <w:r w:rsidRPr="000B0FB8">
        <w:rPr>
          <w:rFonts w:ascii="Book Antiqua" w:hAnsi="Book Antiqua"/>
          <w:color w:val="333333"/>
          <w:sz w:val="24"/>
          <w:szCs w:val="24"/>
          <w:shd w:val="clear" w:color="auto" w:fill="FFFFFF"/>
          <w:lang w:val="es-ES_tradnl"/>
        </w:rPr>
        <w:lastRenderedPageBreak/>
        <w:t xml:space="preserve">utilizado por el juez fue uno más de regaño que de preocupación por la seguridad de la perjudicada.  En otro caso una juez exigió a la víctima llevar prueba para sostener su testimonio, descartando gran parte del mismo por considerarlo prueba de referencia. </w:t>
      </w:r>
    </w:p>
    <w:p w14:paraId="3CD5D060" w14:textId="77777777" w:rsidR="00271660" w:rsidRPr="000B0FB8" w:rsidRDefault="00271660" w:rsidP="00271660">
      <w:pPr>
        <w:suppressLineNumbers/>
        <w:spacing w:after="0" w:line="240" w:lineRule="auto"/>
        <w:ind w:firstLine="720"/>
        <w:contextualSpacing/>
        <w:jc w:val="both"/>
        <w:rPr>
          <w:rFonts w:ascii="Book Antiqua" w:hAnsi="Book Antiqua"/>
          <w:color w:val="333333"/>
          <w:sz w:val="24"/>
          <w:szCs w:val="24"/>
          <w:shd w:val="clear" w:color="auto" w:fill="FFFFFF"/>
          <w:lang w:val="es-ES_tradnl"/>
        </w:rPr>
      </w:pPr>
    </w:p>
    <w:p w14:paraId="71A7BFD3" w14:textId="770717E8" w:rsidR="00271660" w:rsidRPr="000B0FB8" w:rsidRDefault="00271660" w:rsidP="00D23423">
      <w:pPr>
        <w:suppressLineNumbers/>
        <w:spacing w:after="0" w:line="240" w:lineRule="auto"/>
        <w:ind w:firstLine="360"/>
        <w:contextualSpacing/>
        <w:jc w:val="both"/>
        <w:rPr>
          <w:rFonts w:ascii="Book Antiqua" w:eastAsia="Times New Roman" w:hAnsi="Book Antiqua" w:cs="Times New Roman"/>
          <w:color w:val="333333"/>
          <w:sz w:val="24"/>
          <w:szCs w:val="24"/>
          <w:lang w:val="es-ES_tradnl"/>
        </w:rPr>
      </w:pPr>
      <w:r w:rsidRPr="000B0FB8">
        <w:rPr>
          <w:rFonts w:ascii="Book Antiqua" w:hAnsi="Book Antiqua"/>
          <w:color w:val="333333"/>
          <w:sz w:val="24"/>
          <w:szCs w:val="24"/>
          <w:shd w:val="clear" w:color="auto" w:fill="FFFFFF"/>
          <w:lang w:val="es-ES_tradnl"/>
        </w:rPr>
        <w:t xml:space="preserve">Señala el informe que, en otros, casos, </w:t>
      </w:r>
      <w:r w:rsidR="00455D3A" w:rsidRPr="000B0FB8">
        <w:rPr>
          <w:rFonts w:ascii="Book Antiqua" w:hAnsi="Book Antiqua"/>
          <w:color w:val="333333"/>
          <w:sz w:val="24"/>
          <w:szCs w:val="24"/>
          <w:shd w:val="clear" w:color="auto" w:fill="FFFFFF"/>
          <w:lang w:val="es-ES_tradnl"/>
        </w:rPr>
        <w:t>a pesar de que</w:t>
      </w:r>
      <w:r w:rsidRPr="000B0FB8">
        <w:rPr>
          <w:rFonts w:ascii="Book Antiqua" w:hAnsi="Book Antiqua"/>
          <w:color w:val="333333"/>
          <w:sz w:val="24"/>
          <w:szCs w:val="24"/>
          <w:shd w:val="clear" w:color="auto" w:fill="FFFFFF"/>
          <w:lang w:val="es-ES_tradnl"/>
        </w:rPr>
        <w:t xml:space="preserve"> los jueces fueron respetuosos y empáticos, fallaron en orientar a las víctimas conforme establece la ley, </w:t>
      </w:r>
      <w:r w:rsidRPr="003470B1">
        <w:rPr>
          <w:rFonts w:ascii="Book Antiqua" w:eastAsia="Times New Roman" w:hAnsi="Book Antiqua" w:cs="Times New Roman"/>
          <w:color w:val="333333"/>
          <w:sz w:val="24"/>
          <w:szCs w:val="24"/>
          <w:lang w:val="es-ES_tradnl"/>
        </w:rPr>
        <w:t xml:space="preserve">sobre las consecuencias de una violación a la </w:t>
      </w:r>
      <w:r w:rsidRPr="000B0FB8">
        <w:rPr>
          <w:rFonts w:ascii="Book Antiqua" w:eastAsia="Times New Roman" w:hAnsi="Book Antiqua" w:cs="Times New Roman"/>
          <w:color w:val="333333"/>
          <w:sz w:val="24"/>
          <w:szCs w:val="24"/>
          <w:lang w:val="es-ES_tradnl"/>
        </w:rPr>
        <w:t>orden de protección</w:t>
      </w:r>
      <w:r w:rsidRPr="003470B1">
        <w:rPr>
          <w:rFonts w:ascii="Book Antiqua" w:eastAsia="Times New Roman" w:hAnsi="Book Antiqua" w:cs="Times New Roman"/>
          <w:color w:val="333333"/>
          <w:sz w:val="24"/>
          <w:szCs w:val="24"/>
          <w:lang w:val="es-ES_tradnl"/>
        </w:rPr>
        <w:t>, las conductas prohibidas y la necesidad de que la víctima ll</w:t>
      </w:r>
      <w:r w:rsidRPr="000B0FB8">
        <w:rPr>
          <w:rFonts w:ascii="Book Antiqua" w:eastAsia="Times New Roman" w:hAnsi="Book Antiqua" w:cs="Times New Roman"/>
          <w:color w:val="333333"/>
          <w:sz w:val="24"/>
          <w:szCs w:val="24"/>
          <w:lang w:val="es-ES_tradnl"/>
        </w:rPr>
        <w:t xml:space="preserve">evara siempre consigo la orden.  Se resalta en la reseña periodística que </w:t>
      </w:r>
      <w:r w:rsidRPr="003470B1">
        <w:rPr>
          <w:rFonts w:ascii="Book Antiqua" w:eastAsia="Times New Roman" w:hAnsi="Book Antiqua" w:cs="Times New Roman"/>
          <w:color w:val="333333"/>
          <w:sz w:val="24"/>
          <w:szCs w:val="24"/>
          <w:lang w:val="es-ES_tradnl"/>
        </w:rPr>
        <w:t>“del total de siete casos evaluados, se observó una pobre participación de los jueces y juezas para auscultar la presencia de indicadores de letalidad y para orientar a la parte peticionaria”.</w:t>
      </w:r>
    </w:p>
    <w:p w14:paraId="4B76F065" w14:textId="77777777" w:rsidR="00271660" w:rsidRPr="000B0FB8" w:rsidRDefault="00271660" w:rsidP="00271660">
      <w:pPr>
        <w:suppressLineNumbers/>
        <w:spacing w:after="0" w:line="240" w:lineRule="auto"/>
        <w:ind w:firstLine="720"/>
        <w:contextualSpacing/>
        <w:jc w:val="both"/>
        <w:rPr>
          <w:rFonts w:ascii="Book Antiqua" w:eastAsia="Times New Roman" w:hAnsi="Book Antiqua" w:cs="Times New Roman"/>
          <w:color w:val="333333"/>
          <w:sz w:val="24"/>
          <w:szCs w:val="24"/>
          <w:lang w:val="es-ES_tradnl"/>
        </w:rPr>
      </w:pPr>
    </w:p>
    <w:p w14:paraId="2CF13E84" w14:textId="77777777" w:rsidR="00271660" w:rsidRPr="003470B1" w:rsidRDefault="00271660" w:rsidP="00D23423">
      <w:pPr>
        <w:suppressLineNumbers/>
        <w:spacing w:after="0" w:line="240" w:lineRule="auto"/>
        <w:ind w:firstLine="360"/>
        <w:contextualSpacing/>
        <w:jc w:val="both"/>
        <w:rPr>
          <w:rFonts w:ascii="Book Antiqua" w:eastAsia="Times New Roman" w:hAnsi="Book Antiqua" w:cs="Times New Roman"/>
          <w:color w:val="333333"/>
          <w:sz w:val="24"/>
          <w:szCs w:val="24"/>
          <w:lang w:val="es-ES_tradnl"/>
        </w:rPr>
      </w:pPr>
      <w:r w:rsidRPr="000B0FB8">
        <w:rPr>
          <w:rFonts w:ascii="Book Antiqua" w:eastAsia="Times New Roman" w:hAnsi="Book Antiqua" w:cs="Times New Roman"/>
          <w:color w:val="333333"/>
          <w:sz w:val="24"/>
          <w:szCs w:val="24"/>
          <w:lang w:val="es-ES_tradnl"/>
        </w:rPr>
        <w:t xml:space="preserve">Ello es indicativo que varios de los hallazgos del 1995, aún se perpetúan en nuestro sistema de justicia. </w:t>
      </w:r>
    </w:p>
    <w:p w14:paraId="3DF8100A" w14:textId="77777777" w:rsidR="00271660" w:rsidRPr="000B0FB8" w:rsidRDefault="00271660" w:rsidP="00271660">
      <w:pPr>
        <w:suppressLineNumbers/>
        <w:spacing w:after="0" w:line="240" w:lineRule="auto"/>
        <w:ind w:firstLine="720"/>
        <w:contextualSpacing/>
        <w:jc w:val="both"/>
        <w:rPr>
          <w:rFonts w:ascii="Book Antiqua" w:hAnsi="Book Antiqua"/>
          <w:sz w:val="24"/>
          <w:szCs w:val="24"/>
          <w:lang w:val="es-ES_tradnl"/>
        </w:rPr>
      </w:pPr>
    </w:p>
    <w:p w14:paraId="708C3169" w14:textId="6BDE6CA3" w:rsidR="00271660" w:rsidRPr="00810804" w:rsidRDefault="00271660" w:rsidP="00D23423">
      <w:pPr>
        <w:suppressLineNumbers/>
        <w:spacing w:after="0" w:line="240" w:lineRule="auto"/>
        <w:ind w:firstLine="360"/>
        <w:contextualSpacing/>
        <w:jc w:val="both"/>
        <w:rPr>
          <w:rFonts w:ascii="Book Antiqua" w:eastAsia="Times New Roman" w:hAnsi="Book Antiqua" w:cs="Times New Roman"/>
          <w:bCs/>
          <w:color w:val="000000"/>
          <w:spacing w:val="-3"/>
          <w:sz w:val="24"/>
          <w:szCs w:val="24"/>
          <w:lang w:val="es-ES_tradnl"/>
        </w:rPr>
      </w:pPr>
      <w:r w:rsidRPr="00810804">
        <w:rPr>
          <w:rFonts w:ascii="Book Antiqua" w:hAnsi="Book Antiqua"/>
          <w:sz w:val="24"/>
          <w:szCs w:val="24"/>
          <w:lang w:val="es-ES_tradnl"/>
        </w:rPr>
        <w:t xml:space="preserve">Los cánones de ética </w:t>
      </w:r>
      <w:r w:rsidR="00455D3A" w:rsidRPr="00810804">
        <w:rPr>
          <w:rFonts w:ascii="Book Antiqua" w:hAnsi="Book Antiqua"/>
          <w:sz w:val="24"/>
          <w:szCs w:val="24"/>
          <w:lang w:val="es-ES_tradnl"/>
        </w:rPr>
        <w:t>judicial</w:t>
      </w:r>
      <w:r w:rsidRPr="00810804">
        <w:rPr>
          <w:rFonts w:ascii="Book Antiqua" w:hAnsi="Book Antiqua"/>
          <w:sz w:val="24"/>
          <w:szCs w:val="24"/>
          <w:lang w:val="es-ES_tradnl"/>
        </w:rPr>
        <w:t xml:space="preserve"> exigen </w:t>
      </w:r>
      <w:r w:rsidRPr="002454F5">
        <w:rPr>
          <w:rFonts w:ascii="Book Antiqua" w:eastAsia="Times New Roman" w:hAnsi="Book Antiqua" w:cs="Times New Roman"/>
          <w:bCs/>
          <w:color w:val="000000"/>
          <w:spacing w:val="-3"/>
          <w:sz w:val="24"/>
          <w:szCs w:val="24"/>
          <w:lang w:val="es-ES_tradnl"/>
        </w:rPr>
        <w:t>imparcialidad e independencia judicial</w:t>
      </w:r>
      <w:r w:rsidRPr="00810804">
        <w:rPr>
          <w:rFonts w:ascii="Book Antiqua" w:eastAsia="Times New Roman" w:hAnsi="Book Antiqua" w:cs="Times New Roman"/>
          <w:bCs/>
          <w:color w:val="000000"/>
          <w:spacing w:val="-3"/>
          <w:sz w:val="24"/>
          <w:szCs w:val="24"/>
          <w:lang w:val="es-ES_tradnl"/>
        </w:rPr>
        <w:t>.  A esos efectos señala el Canon XI:</w:t>
      </w:r>
    </w:p>
    <w:p w14:paraId="4D508AEB" w14:textId="77777777" w:rsidR="00271660" w:rsidRPr="00810804" w:rsidRDefault="00271660" w:rsidP="00271660">
      <w:pPr>
        <w:suppressLineNumbers/>
        <w:spacing w:after="0" w:line="240" w:lineRule="auto"/>
        <w:ind w:firstLine="720"/>
        <w:contextualSpacing/>
        <w:jc w:val="both"/>
        <w:rPr>
          <w:rFonts w:ascii="Book Antiqua" w:eastAsia="Times New Roman" w:hAnsi="Book Antiqua" w:cs="Times New Roman"/>
          <w:bCs/>
          <w:color w:val="000000"/>
          <w:spacing w:val="-3"/>
          <w:sz w:val="24"/>
          <w:szCs w:val="24"/>
          <w:lang w:val="es-ES_tradnl"/>
        </w:rPr>
      </w:pPr>
    </w:p>
    <w:p w14:paraId="25EE4A4A" w14:textId="421C15C9" w:rsidR="00271660" w:rsidRPr="00810804" w:rsidRDefault="00965789" w:rsidP="00D23423">
      <w:pPr>
        <w:suppressLineNumbers/>
        <w:spacing w:after="0" w:line="240" w:lineRule="auto"/>
        <w:ind w:left="540"/>
        <w:contextualSpacing/>
        <w:jc w:val="both"/>
        <w:rPr>
          <w:rFonts w:ascii="Book Antiqua" w:eastAsia="Times New Roman" w:hAnsi="Book Antiqua" w:cs="Times New Roman"/>
          <w:color w:val="000000"/>
          <w:spacing w:val="-3"/>
          <w:sz w:val="24"/>
          <w:szCs w:val="24"/>
          <w:lang w:val="es-ES_tradnl"/>
        </w:rPr>
      </w:pPr>
      <w:r>
        <w:rPr>
          <w:rFonts w:ascii="Book Antiqua" w:eastAsia="Times New Roman" w:hAnsi="Book Antiqua" w:cs="Times New Roman"/>
          <w:color w:val="000000"/>
          <w:spacing w:val="-3"/>
          <w:sz w:val="24"/>
          <w:szCs w:val="24"/>
          <w:lang w:val="es-ES_tradnl"/>
        </w:rPr>
        <w:t>“</w:t>
      </w:r>
      <w:r w:rsidR="00271660" w:rsidRPr="002454F5">
        <w:rPr>
          <w:rFonts w:ascii="Book Antiqua" w:eastAsia="Times New Roman" w:hAnsi="Book Antiqua" w:cs="Times New Roman"/>
          <w:color w:val="000000"/>
          <w:spacing w:val="-3"/>
          <w:sz w:val="24"/>
          <w:szCs w:val="24"/>
          <w:lang w:val="es-ES_tradnl"/>
        </w:rPr>
        <w:t>La Jueza o el Juez no solamente ha de ser imparcial sino que su conducta ha de excluir toda posible apariencia de que es susceptible de actuar a base de influencias de personas, grupos o partidos, o de ser influido por el clamor público, por consideraciones de popularidad o notoriedad, o por motivaciones impropias</w:t>
      </w:r>
      <w:r w:rsidR="00271660" w:rsidRPr="00810804">
        <w:rPr>
          <w:rFonts w:ascii="Book Antiqua" w:eastAsia="Times New Roman" w:hAnsi="Book Antiqua" w:cs="Times New Roman"/>
          <w:color w:val="000000"/>
          <w:spacing w:val="-3"/>
          <w:sz w:val="24"/>
          <w:szCs w:val="24"/>
          <w:lang w:val="es-ES_tradnl"/>
        </w:rPr>
        <w:t xml:space="preserve">. </w:t>
      </w:r>
      <w:r w:rsidR="00A602E1">
        <w:rPr>
          <w:rFonts w:ascii="Book Antiqua" w:eastAsia="Times New Roman" w:hAnsi="Book Antiqua" w:cs="Times New Roman"/>
          <w:color w:val="000000"/>
          <w:spacing w:val="-3"/>
          <w:sz w:val="24"/>
          <w:szCs w:val="24"/>
          <w:lang w:val="es-ES_tradnl"/>
        </w:rPr>
        <w:t xml:space="preserve"> </w:t>
      </w:r>
      <w:r w:rsidR="00271660" w:rsidRPr="002454F5">
        <w:rPr>
          <w:rFonts w:ascii="Book Antiqua" w:eastAsia="Times New Roman" w:hAnsi="Book Antiqua" w:cs="Times New Roman"/>
          <w:color w:val="000000"/>
          <w:spacing w:val="-3"/>
          <w:sz w:val="24"/>
          <w:szCs w:val="24"/>
          <w:lang w:val="es-ES_tradnl"/>
        </w:rPr>
        <w:t>Ha de tener siempre presente que su único empeño debe ser el de impartir justicia de conformidad con el Derecho aplicable, con absoluta ecuanimidad, y sin preocuparle el reconocimiento que pueda darse a su labor, ni la crítica injusta</w:t>
      </w:r>
      <w:r w:rsidR="00271660" w:rsidRPr="00810804">
        <w:rPr>
          <w:rFonts w:ascii="Book Antiqua" w:eastAsia="Times New Roman" w:hAnsi="Book Antiqua" w:cs="Times New Roman"/>
          <w:color w:val="000000"/>
          <w:spacing w:val="-3"/>
          <w:sz w:val="24"/>
          <w:szCs w:val="24"/>
          <w:lang w:val="es-ES_tradnl"/>
        </w:rPr>
        <w:t>.</w:t>
      </w:r>
    </w:p>
    <w:p w14:paraId="41A4C875" w14:textId="77777777" w:rsidR="00271660" w:rsidRPr="00810804" w:rsidRDefault="00271660" w:rsidP="00D23423">
      <w:pPr>
        <w:suppressLineNumbers/>
        <w:spacing w:after="0" w:line="240" w:lineRule="auto"/>
        <w:ind w:left="540"/>
        <w:contextualSpacing/>
        <w:jc w:val="both"/>
        <w:rPr>
          <w:rFonts w:ascii="Book Antiqua" w:hAnsi="Book Antiqua"/>
          <w:sz w:val="24"/>
          <w:szCs w:val="24"/>
          <w:lang w:val="es-ES_tradnl"/>
        </w:rPr>
      </w:pPr>
    </w:p>
    <w:p w14:paraId="69AB0698" w14:textId="77777777" w:rsidR="00271660" w:rsidRPr="00810804" w:rsidRDefault="00271660" w:rsidP="00D23423">
      <w:pPr>
        <w:suppressLineNumbers/>
        <w:spacing w:after="0" w:line="240" w:lineRule="auto"/>
        <w:ind w:left="540"/>
        <w:contextualSpacing/>
        <w:jc w:val="both"/>
        <w:rPr>
          <w:rFonts w:ascii="Book Antiqua" w:eastAsia="Times New Roman" w:hAnsi="Book Antiqua" w:cs="Times New Roman"/>
          <w:color w:val="000000"/>
          <w:spacing w:val="-3"/>
          <w:sz w:val="24"/>
          <w:szCs w:val="24"/>
          <w:lang w:val="es-ES_tradnl"/>
        </w:rPr>
      </w:pPr>
      <w:r w:rsidRPr="002454F5">
        <w:rPr>
          <w:rFonts w:ascii="Book Antiqua" w:eastAsia="Times New Roman" w:hAnsi="Book Antiqua" w:cs="Times New Roman"/>
          <w:color w:val="000000"/>
          <w:spacing w:val="-3"/>
          <w:sz w:val="24"/>
          <w:szCs w:val="24"/>
          <w:lang w:val="es-ES_tradnl"/>
        </w:rPr>
        <w:t>En el ejercicio de su labor judicial, la Jueza o el Juez no deberá incurrir en conducta constitutiva de discrimen por motivo de raza, color, nacimiento, origen, condición socio-económica, ideas políticas o religiosas, condición física, edad o género</w:t>
      </w:r>
      <w:r w:rsidRPr="00810804">
        <w:rPr>
          <w:rFonts w:ascii="Book Antiqua" w:eastAsia="Times New Roman" w:hAnsi="Book Antiqua" w:cs="Times New Roman"/>
          <w:color w:val="000000"/>
          <w:spacing w:val="-3"/>
          <w:sz w:val="24"/>
          <w:szCs w:val="24"/>
          <w:lang w:val="es-ES_tradnl"/>
        </w:rPr>
        <w:t xml:space="preserve">. </w:t>
      </w:r>
      <w:r w:rsidR="00A602E1">
        <w:rPr>
          <w:rFonts w:ascii="Book Antiqua" w:eastAsia="Times New Roman" w:hAnsi="Book Antiqua" w:cs="Times New Roman"/>
          <w:color w:val="000000"/>
          <w:spacing w:val="-3"/>
          <w:sz w:val="24"/>
          <w:szCs w:val="24"/>
          <w:lang w:val="es-ES_tradnl"/>
        </w:rPr>
        <w:t xml:space="preserve"> </w:t>
      </w:r>
      <w:r w:rsidRPr="002454F5">
        <w:rPr>
          <w:rFonts w:ascii="Book Antiqua" w:eastAsia="Times New Roman" w:hAnsi="Book Antiqua" w:cs="Times New Roman"/>
          <w:color w:val="000000"/>
          <w:spacing w:val="-3"/>
          <w:sz w:val="24"/>
          <w:szCs w:val="24"/>
          <w:lang w:val="es-ES_tradnl"/>
        </w:rPr>
        <w:t>Evitará que sus palabras o su conducta puedan interpretarse en forma alguna como manifestaciones de discrimen o prejuicio por tales motivos, y no deberá permitir manifestaciones de esa índole por parte del personal, oficiales del tribunal u otras personas que actúen bajo su dirección y control</w:t>
      </w:r>
      <w:r w:rsidRPr="00810804">
        <w:rPr>
          <w:rFonts w:ascii="Book Antiqua" w:eastAsia="Times New Roman" w:hAnsi="Book Antiqua" w:cs="Times New Roman"/>
          <w:color w:val="000000"/>
          <w:spacing w:val="-3"/>
          <w:sz w:val="24"/>
          <w:szCs w:val="24"/>
          <w:lang w:val="es-ES_tradnl"/>
        </w:rPr>
        <w:t>.</w:t>
      </w:r>
    </w:p>
    <w:p w14:paraId="6128EA1B" w14:textId="77777777" w:rsidR="00271660" w:rsidRPr="00810804" w:rsidRDefault="00271660" w:rsidP="00D23423">
      <w:pPr>
        <w:suppressLineNumbers/>
        <w:spacing w:after="0" w:line="240" w:lineRule="auto"/>
        <w:ind w:left="540"/>
        <w:contextualSpacing/>
        <w:jc w:val="both"/>
        <w:rPr>
          <w:rFonts w:ascii="Book Antiqua" w:eastAsia="Times New Roman" w:hAnsi="Book Antiqua" w:cs="Times New Roman"/>
          <w:color w:val="000000"/>
          <w:spacing w:val="-3"/>
          <w:sz w:val="24"/>
          <w:szCs w:val="24"/>
          <w:lang w:val="es-ES_tradnl"/>
        </w:rPr>
      </w:pPr>
    </w:p>
    <w:p w14:paraId="79A9F56E" w14:textId="77777777" w:rsidR="00271660" w:rsidRPr="00810804" w:rsidRDefault="00271660" w:rsidP="00D23423">
      <w:pPr>
        <w:suppressLineNumbers/>
        <w:spacing w:after="0" w:line="240" w:lineRule="auto"/>
        <w:ind w:left="540"/>
        <w:contextualSpacing/>
        <w:jc w:val="both"/>
        <w:rPr>
          <w:rFonts w:ascii="Book Antiqua" w:eastAsia="Times New Roman" w:hAnsi="Book Antiqua" w:cs="Times New Roman"/>
          <w:color w:val="000000"/>
          <w:spacing w:val="-3"/>
          <w:sz w:val="24"/>
          <w:szCs w:val="24"/>
          <w:lang w:val="es-ES_tradnl"/>
        </w:rPr>
      </w:pPr>
      <w:r w:rsidRPr="002454F5">
        <w:rPr>
          <w:rFonts w:ascii="Book Antiqua" w:eastAsia="Times New Roman" w:hAnsi="Book Antiqua" w:cs="Times New Roman"/>
          <w:color w:val="000000"/>
          <w:spacing w:val="-3"/>
          <w:sz w:val="24"/>
          <w:szCs w:val="24"/>
          <w:lang w:val="es-ES_tradnl"/>
        </w:rPr>
        <w:t>La Jueza o el Juez deberá requerir de los abogados y las abogadas que, durante los procedimientos judiciales, se abstengan de manifestar, mediante palabra o conducta, discrimen o prejuicio alguno por razón de raza, color, nacimiento, origen, condición socio-económica, ideas políticas o religiosas, condición física, edad o género, respecto a partes, testigos, abogad</w:t>
      </w:r>
      <w:r w:rsidR="00A602E1">
        <w:rPr>
          <w:rFonts w:ascii="Book Antiqua" w:eastAsia="Times New Roman" w:hAnsi="Book Antiqua" w:cs="Times New Roman"/>
          <w:color w:val="000000"/>
          <w:spacing w:val="-3"/>
          <w:sz w:val="24"/>
          <w:szCs w:val="24"/>
          <w:lang w:val="es-ES_tradnl"/>
        </w:rPr>
        <w:t xml:space="preserve">os, abogadas y demás personas.  </w:t>
      </w:r>
      <w:r w:rsidRPr="002454F5">
        <w:rPr>
          <w:rFonts w:ascii="Book Antiqua" w:eastAsia="Times New Roman" w:hAnsi="Book Antiqua" w:cs="Times New Roman"/>
          <w:color w:val="000000"/>
          <w:spacing w:val="-3"/>
          <w:sz w:val="24"/>
          <w:szCs w:val="24"/>
          <w:lang w:val="es-ES_tradnl"/>
        </w:rPr>
        <w:t>Esta prohibición excluye alusiones a dichas condiciones o factores cuando se refieran a un asunto que está legítimamente en controversia</w:t>
      </w:r>
      <w:r w:rsidRPr="00810804">
        <w:rPr>
          <w:rFonts w:ascii="Book Antiqua" w:eastAsia="Times New Roman" w:hAnsi="Book Antiqua" w:cs="Times New Roman"/>
          <w:color w:val="000000"/>
          <w:spacing w:val="-3"/>
          <w:sz w:val="24"/>
          <w:szCs w:val="24"/>
          <w:lang w:val="es-ES_tradnl"/>
        </w:rPr>
        <w:t>.</w:t>
      </w:r>
    </w:p>
    <w:p w14:paraId="0839852F" w14:textId="77777777" w:rsidR="00271660" w:rsidRPr="00810804" w:rsidRDefault="00271660" w:rsidP="00D23423">
      <w:pPr>
        <w:suppressLineNumbers/>
        <w:spacing w:after="0" w:line="240" w:lineRule="auto"/>
        <w:ind w:left="540"/>
        <w:contextualSpacing/>
        <w:jc w:val="both"/>
        <w:rPr>
          <w:rFonts w:ascii="Book Antiqua" w:eastAsia="Times New Roman" w:hAnsi="Book Antiqua" w:cs="Times New Roman"/>
          <w:color w:val="000000"/>
          <w:spacing w:val="-3"/>
          <w:sz w:val="24"/>
          <w:szCs w:val="24"/>
          <w:lang w:val="es-ES_tradnl"/>
        </w:rPr>
      </w:pPr>
    </w:p>
    <w:p w14:paraId="21B7183E" w14:textId="77777777" w:rsidR="00271660" w:rsidRPr="00810804" w:rsidRDefault="00271660" w:rsidP="00D23423">
      <w:pPr>
        <w:suppressLineNumbers/>
        <w:spacing w:after="0" w:line="240" w:lineRule="auto"/>
        <w:ind w:left="540"/>
        <w:contextualSpacing/>
        <w:jc w:val="both"/>
        <w:rPr>
          <w:rFonts w:ascii="Book Antiqua" w:eastAsia="Times New Roman" w:hAnsi="Book Antiqua" w:cs="Times New Roman"/>
          <w:color w:val="000000"/>
          <w:spacing w:val="-3"/>
          <w:sz w:val="24"/>
          <w:szCs w:val="24"/>
          <w:lang w:val="es-ES_tradnl"/>
        </w:rPr>
      </w:pPr>
      <w:r w:rsidRPr="002454F5">
        <w:rPr>
          <w:rFonts w:ascii="Book Antiqua" w:eastAsia="Times New Roman" w:hAnsi="Book Antiqua" w:cs="Times New Roman"/>
          <w:color w:val="000000"/>
          <w:spacing w:val="-3"/>
          <w:sz w:val="24"/>
          <w:szCs w:val="24"/>
          <w:lang w:val="es-ES_tradnl"/>
        </w:rPr>
        <w:lastRenderedPageBreak/>
        <w:t>La Jueza o el Juez no permitirá que los miembros de la profesión jurídica que actúan en su sala, hostiguen o intimiden a cualquier persona por las razones antes mencionadas</w:t>
      </w:r>
      <w:r w:rsidRPr="00810804">
        <w:rPr>
          <w:rFonts w:ascii="Book Antiqua" w:eastAsia="Times New Roman" w:hAnsi="Book Antiqua" w:cs="Times New Roman"/>
          <w:color w:val="000000"/>
          <w:spacing w:val="-3"/>
          <w:sz w:val="24"/>
          <w:szCs w:val="24"/>
          <w:lang w:val="es-ES_tradnl"/>
        </w:rPr>
        <w:t>.</w:t>
      </w:r>
    </w:p>
    <w:p w14:paraId="0829D6E5" w14:textId="77777777" w:rsidR="00271660" w:rsidRPr="00810804" w:rsidRDefault="00271660" w:rsidP="00D23423">
      <w:pPr>
        <w:suppressLineNumbers/>
        <w:spacing w:after="0" w:line="240" w:lineRule="auto"/>
        <w:ind w:left="540"/>
        <w:contextualSpacing/>
        <w:jc w:val="both"/>
        <w:rPr>
          <w:rFonts w:ascii="Book Antiqua" w:eastAsia="Times New Roman" w:hAnsi="Book Antiqua" w:cs="Times New Roman"/>
          <w:color w:val="000000"/>
          <w:spacing w:val="-3"/>
          <w:sz w:val="24"/>
          <w:szCs w:val="24"/>
          <w:lang w:val="es-ES_tradnl"/>
        </w:rPr>
      </w:pPr>
    </w:p>
    <w:p w14:paraId="4825D6E6" w14:textId="0DAE847D" w:rsidR="00271660" w:rsidRPr="00810804" w:rsidRDefault="00271660" w:rsidP="00D23423">
      <w:pPr>
        <w:suppressLineNumbers/>
        <w:spacing w:after="0" w:line="240" w:lineRule="auto"/>
        <w:ind w:left="540"/>
        <w:contextualSpacing/>
        <w:jc w:val="both"/>
        <w:rPr>
          <w:rFonts w:ascii="Book Antiqua" w:hAnsi="Book Antiqua"/>
          <w:sz w:val="24"/>
          <w:szCs w:val="24"/>
          <w:lang w:val="es-ES_tradnl"/>
        </w:rPr>
      </w:pPr>
      <w:r w:rsidRPr="002454F5">
        <w:rPr>
          <w:rFonts w:ascii="Book Antiqua" w:eastAsia="Times New Roman" w:hAnsi="Book Antiqua" w:cs="Times New Roman"/>
          <w:color w:val="000000"/>
          <w:spacing w:val="-3"/>
          <w:sz w:val="24"/>
          <w:szCs w:val="24"/>
          <w:lang w:val="es-ES_tradnl"/>
        </w:rPr>
        <w:t>La Jueza o el Juez hará todo lo posible para que los funcionarios o las funcionarias y empleados o empleadas del tribunal que actúen bajo su dirección actúen de conformidad con todos estos principios en la medida en que sean aplicables a sus labores</w:t>
      </w:r>
      <w:r w:rsidRPr="00810804">
        <w:rPr>
          <w:rFonts w:ascii="Book Antiqua" w:eastAsia="Times New Roman" w:hAnsi="Book Antiqua" w:cs="Times New Roman"/>
          <w:color w:val="000000"/>
          <w:spacing w:val="-3"/>
          <w:sz w:val="24"/>
          <w:szCs w:val="24"/>
          <w:lang w:val="es-ES_tradnl"/>
        </w:rPr>
        <w:t>.</w:t>
      </w:r>
      <w:r w:rsidR="00965789">
        <w:rPr>
          <w:rFonts w:ascii="Book Antiqua" w:eastAsia="Times New Roman" w:hAnsi="Book Antiqua" w:cs="Times New Roman"/>
          <w:color w:val="000000"/>
          <w:spacing w:val="-3"/>
          <w:sz w:val="24"/>
          <w:szCs w:val="24"/>
          <w:lang w:val="es-ES_tradnl"/>
        </w:rPr>
        <w:t>”</w:t>
      </w:r>
    </w:p>
    <w:p w14:paraId="6EB208DF" w14:textId="77777777" w:rsidR="00271660" w:rsidRDefault="00271660" w:rsidP="00271660">
      <w:pPr>
        <w:suppressLineNumbers/>
        <w:spacing w:after="0" w:line="240" w:lineRule="auto"/>
        <w:ind w:firstLine="720"/>
        <w:contextualSpacing/>
        <w:jc w:val="both"/>
        <w:rPr>
          <w:rFonts w:ascii="Book Antiqua" w:hAnsi="Book Antiqua"/>
          <w:sz w:val="24"/>
          <w:szCs w:val="24"/>
          <w:lang w:val="es-ES_tradnl"/>
        </w:rPr>
      </w:pPr>
    </w:p>
    <w:p w14:paraId="3F0B529D" w14:textId="77777777" w:rsidR="00271660" w:rsidRPr="009353D4" w:rsidRDefault="00271660" w:rsidP="00D23423">
      <w:pPr>
        <w:suppressLineNumbers/>
        <w:spacing w:after="0" w:line="240" w:lineRule="auto"/>
        <w:ind w:firstLine="360"/>
        <w:contextualSpacing/>
        <w:jc w:val="both"/>
        <w:rPr>
          <w:rFonts w:ascii="Book Antiqua" w:hAnsi="Book Antiqua"/>
          <w:color w:val="000000"/>
          <w:sz w:val="24"/>
          <w:szCs w:val="24"/>
          <w:lang w:val="es-PR"/>
        </w:rPr>
      </w:pPr>
      <w:r w:rsidRPr="009353D4">
        <w:rPr>
          <w:rFonts w:ascii="Book Antiqua" w:hAnsi="Book Antiqua"/>
          <w:sz w:val="24"/>
          <w:szCs w:val="24"/>
          <w:lang w:val="es-ES_tradnl"/>
        </w:rPr>
        <w:t>L</w:t>
      </w:r>
      <w:r w:rsidRPr="009353D4">
        <w:rPr>
          <w:rFonts w:ascii="Book Antiqua" w:hAnsi="Book Antiqua"/>
          <w:sz w:val="24"/>
          <w:szCs w:val="24"/>
          <w:lang w:val="es-PR"/>
        </w:rPr>
        <w:t>a Ley Núm. 201</w:t>
      </w:r>
      <w:r w:rsidRPr="009353D4">
        <w:rPr>
          <w:rFonts w:ascii="Book Antiqua" w:hAnsi="Book Antiqua"/>
          <w:sz w:val="24"/>
          <w:szCs w:val="24"/>
          <w:lang w:val="es-ES_tradnl"/>
        </w:rPr>
        <w:t xml:space="preserve"> de 22 de agosto de 2003, según enmendada, conocida como "</w:t>
      </w:r>
      <w:r w:rsidRPr="009353D4">
        <w:rPr>
          <w:rFonts w:ascii="Book Antiqua" w:hAnsi="Book Antiqua"/>
          <w:color w:val="000000"/>
          <w:sz w:val="24"/>
          <w:szCs w:val="24"/>
          <w:lang w:val="es-PR"/>
        </w:rPr>
        <w:t>Ley de la Judicatura de Puerto Rico de 2003"</w:t>
      </w:r>
      <w:r w:rsidRPr="009353D4">
        <w:rPr>
          <w:rFonts w:ascii="Book Antiqua" w:hAnsi="Book Antiqua"/>
          <w:sz w:val="24"/>
          <w:szCs w:val="24"/>
          <w:lang w:val="es-PR"/>
        </w:rPr>
        <w:t xml:space="preserve">, establece en su Artículo 2.006 la obligación del </w:t>
      </w:r>
      <w:r w:rsidRPr="009353D4">
        <w:rPr>
          <w:rFonts w:ascii="Book Antiqua" w:hAnsi="Book Antiqua"/>
          <w:color w:val="000000"/>
          <w:sz w:val="24"/>
          <w:szCs w:val="24"/>
          <w:lang w:val="es-PR"/>
        </w:rPr>
        <w:t xml:space="preserve">Juez Presidente del Tribunal Supremo de establecer un sistema de educación judicial para promover el mejoramiento profesional e intelectual, así como el desarrollo de aptitudes de los jueces del Tribunal de Primera Instancia y del Tribunal de Apelaciones.  Persigue que los mismos sean funcionarios sensibles, justos, eficientes y efectivos en la administración de la justicia. </w:t>
      </w:r>
      <w:r w:rsidR="00A602E1">
        <w:rPr>
          <w:rFonts w:ascii="Book Antiqua" w:hAnsi="Book Antiqua"/>
          <w:color w:val="000000"/>
          <w:sz w:val="24"/>
          <w:szCs w:val="24"/>
          <w:lang w:val="es-PR"/>
        </w:rPr>
        <w:t xml:space="preserve"> </w:t>
      </w:r>
      <w:r w:rsidRPr="009353D4">
        <w:rPr>
          <w:rFonts w:ascii="Book Antiqua" w:hAnsi="Book Antiqua"/>
          <w:color w:val="000000"/>
          <w:sz w:val="24"/>
          <w:szCs w:val="24"/>
          <w:lang w:val="es-PR"/>
        </w:rPr>
        <w:t>Se exige, entre otros, implantar programas educativos periódicos para jueces de nuevo nombramiento, así como programas dirigidos a atender las necesidades de educación jurídica continua compulsoria de todos los jueces.</w:t>
      </w:r>
    </w:p>
    <w:p w14:paraId="306D37C3" w14:textId="77777777" w:rsidR="00271660" w:rsidRPr="009353D4" w:rsidRDefault="00271660" w:rsidP="00271660">
      <w:pPr>
        <w:suppressLineNumbers/>
        <w:spacing w:after="0" w:line="240" w:lineRule="auto"/>
        <w:ind w:firstLine="720"/>
        <w:contextualSpacing/>
        <w:jc w:val="both"/>
        <w:rPr>
          <w:rFonts w:ascii="Book Antiqua" w:hAnsi="Book Antiqua"/>
          <w:color w:val="000000"/>
          <w:sz w:val="24"/>
          <w:szCs w:val="24"/>
          <w:lang w:val="es-PR"/>
        </w:rPr>
      </w:pPr>
    </w:p>
    <w:p w14:paraId="69010ECD" w14:textId="77777777" w:rsidR="00D64EE3" w:rsidRDefault="00271660" w:rsidP="00D64EE3">
      <w:pPr>
        <w:suppressLineNumbers/>
        <w:spacing w:after="0" w:line="240" w:lineRule="auto"/>
        <w:ind w:firstLine="720"/>
        <w:contextualSpacing/>
        <w:jc w:val="both"/>
        <w:rPr>
          <w:rFonts w:ascii="Book Antiqua" w:hAnsi="Book Antiqua"/>
          <w:sz w:val="24"/>
          <w:szCs w:val="24"/>
          <w:lang w:val="es-ES_tradnl"/>
        </w:rPr>
      </w:pPr>
      <w:r w:rsidRPr="009353D4">
        <w:rPr>
          <w:rFonts w:ascii="Book Antiqua" w:hAnsi="Book Antiqua"/>
          <w:sz w:val="24"/>
          <w:szCs w:val="24"/>
          <w:lang w:val="es-ES_tradnl"/>
        </w:rPr>
        <w:t>La Oficina de Administración de los Tribunales</w:t>
      </w:r>
      <w:r w:rsidR="00D64EE3">
        <w:rPr>
          <w:rFonts w:ascii="Book Antiqua" w:hAnsi="Book Antiqua"/>
          <w:sz w:val="24"/>
          <w:szCs w:val="24"/>
          <w:lang w:val="es-ES_tradnl"/>
        </w:rPr>
        <w:t xml:space="preserve"> (en adelante OAT)</w:t>
      </w:r>
      <w:r w:rsidRPr="009353D4">
        <w:rPr>
          <w:rFonts w:ascii="Book Antiqua" w:hAnsi="Book Antiqua"/>
          <w:sz w:val="24"/>
          <w:szCs w:val="24"/>
          <w:lang w:val="es-ES_tradnl"/>
        </w:rPr>
        <w:t>, en comparecencias anteriores ante este Cuerpo, ha expresado que, en cumplimiento con</w:t>
      </w:r>
      <w:r w:rsidR="0075130E">
        <w:rPr>
          <w:rFonts w:ascii="Book Antiqua" w:hAnsi="Book Antiqua"/>
          <w:sz w:val="24"/>
          <w:szCs w:val="24"/>
          <w:lang w:val="es-ES_tradnl"/>
        </w:rPr>
        <w:t xml:space="preserve">    </w:t>
      </w:r>
      <w:r w:rsidRPr="009353D4">
        <w:rPr>
          <w:rFonts w:ascii="Book Antiqua" w:hAnsi="Book Antiqua"/>
          <w:sz w:val="24"/>
          <w:szCs w:val="24"/>
          <w:lang w:val="es-ES_tradnl"/>
        </w:rPr>
        <w:t xml:space="preserve"> las disposiciones de la Ley mediante una Orden Administrativa del 30 de septiembre </w:t>
      </w:r>
      <w:r w:rsidR="0075130E">
        <w:rPr>
          <w:rFonts w:ascii="Book Antiqua" w:hAnsi="Book Antiqua"/>
          <w:sz w:val="24"/>
          <w:szCs w:val="24"/>
          <w:lang w:val="es-ES_tradnl"/>
        </w:rPr>
        <w:t xml:space="preserve">     </w:t>
      </w:r>
      <w:r w:rsidRPr="009353D4">
        <w:rPr>
          <w:rFonts w:ascii="Book Antiqua" w:hAnsi="Book Antiqua"/>
          <w:sz w:val="24"/>
          <w:szCs w:val="24"/>
          <w:lang w:val="es-ES_tradnl"/>
        </w:rPr>
        <w:t xml:space="preserve">de 2003, se creó la Academia Judicial Puertorriqueña. </w:t>
      </w:r>
      <w:r w:rsidR="00A602E1">
        <w:rPr>
          <w:rFonts w:ascii="Book Antiqua" w:hAnsi="Book Antiqua"/>
          <w:sz w:val="24"/>
          <w:szCs w:val="24"/>
          <w:lang w:val="es-ES_tradnl"/>
        </w:rPr>
        <w:t xml:space="preserve"> </w:t>
      </w:r>
      <w:r>
        <w:rPr>
          <w:rFonts w:ascii="Book Antiqua" w:hAnsi="Book Antiqua"/>
          <w:sz w:val="24"/>
          <w:szCs w:val="24"/>
          <w:lang w:val="es-ES_tradnl"/>
        </w:rPr>
        <w:t xml:space="preserve">Exponen que </w:t>
      </w:r>
      <w:r w:rsidRPr="009353D4">
        <w:rPr>
          <w:rFonts w:ascii="Book Antiqua" w:hAnsi="Book Antiqua"/>
          <w:sz w:val="24"/>
          <w:szCs w:val="24"/>
          <w:lang w:val="es-ES_tradnl"/>
        </w:rPr>
        <w:t xml:space="preserve">la misma se dotó de los recursos, estructura organizacional </w:t>
      </w:r>
      <w:r w:rsidRPr="00EF06A3">
        <w:rPr>
          <w:rFonts w:ascii="Book Antiqua" w:hAnsi="Book Antiqua"/>
          <w:sz w:val="24"/>
          <w:szCs w:val="24"/>
          <w:lang w:val="es-ES_tradnl"/>
        </w:rPr>
        <w:t xml:space="preserve">y aspectos programáticos necesarios para implementar y administrar el sistema. </w:t>
      </w:r>
      <w:r w:rsidR="00A602E1">
        <w:rPr>
          <w:rFonts w:ascii="Book Antiqua" w:hAnsi="Book Antiqua"/>
          <w:sz w:val="24"/>
          <w:szCs w:val="24"/>
          <w:lang w:val="es-ES_tradnl"/>
        </w:rPr>
        <w:t xml:space="preserve"> </w:t>
      </w:r>
      <w:r w:rsidRPr="00EF06A3">
        <w:rPr>
          <w:rFonts w:ascii="Book Antiqua" w:hAnsi="Book Antiqua"/>
          <w:sz w:val="24"/>
          <w:szCs w:val="24"/>
          <w:lang w:val="es-ES_tradnl"/>
        </w:rPr>
        <w:t xml:space="preserve">Dicha Academia desarrolla currículos sobre los diversos temas que conforman el quehacer judicial, entre ellos sobre la violencia doméstica.  </w:t>
      </w:r>
      <w:r w:rsidR="00A602E1">
        <w:rPr>
          <w:rFonts w:ascii="Book Antiqua" w:hAnsi="Book Antiqua"/>
          <w:sz w:val="24"/>
          <w:szCs w:val="24"/>
          <w:lang w:val="es-ES_tradnl"/>
        </w:rPr>
        <w:t xml:space="preserve"> </w:t>
      </w:r>
      <w:r w:rsidRPr="00EF06A3">
        <w:rPr>
          <w:rFonts w:ascii="Book Antiqua" w:hAnsi="Book Antiqua"/>
          <w:sz w:val="24"/>
          <w:szCs w:val="24"/>
          <w:lang w:val="es-ES_tradnl"/>
        </w:rPr>
        <w:t>Coinciden en la importancia de proveer adiestramientos periódicos a los jueces, sin embargo, entienden que dicha necesidad está atendida bajo el texto vigente de la Ley de la Judicatura, y que la Rama Judicial, provee a los jueces la información actualizada necesaria para el manejo adecuado de casos en diversas materias.</w:t>
      </w:r>
      <w:r>
        <w:rPr>
          <w:rFonts w:ascii="Book Antiqua" w:hAnsi="Book Antiqua"/>
          <w:sz w:val="24"/>
          <w:szCs w:val="24"/>
          <w:lang w:val="es-ES_tradnl"/>
        </w:rPr>
        <w:t xml:space="preserve">  Estas expresiones de la OAT se dieron dentro de la evaluación del Proyecto de la Cámara 3189, radicado el 16 de febrero de 2011.</w:t>
      </w:r>
      <w:r w:rsidR="00D64EE3">
        <w:rPr>
          <w:rFonts w:ascii="Book Antiqua" w:hAnsi="Book Antiqua"/>
          <w:sz w:val="24"/>
          <w:szCs w:val="24"/>
          <w:lang w:val="es-ES_tradnl"/>
        </w:rPr>
        <w:t xml:space="preserve">  Sin embargo, diez años después de radicada dicha medida, y de las manifestaciones de la OAT, surgen incidentes de envergadura, relacionados con el manejo de los casos de violencia doméstica por la Rama Judicial.</w:t>
      </w:r>
    </w:p>
    <w:p w14:paraId="68A1BBF1" w14:textId="77777777" w:rsidR="00D64EE3" w:rsidRDefault="00D64EE3" w:rsidP="00D64EE3">
      <w:pPr>
        <w:suppressLineNumbers/>
        <w:spacing w:after="0" w:line="240" w:lineRule="auto"/>
        <w:ind w:firstLine="720"/>
        <w:contextualSpacing/>
        <w:jc w:val="both"/>
        <w:rPr>
          <w:rFonts w:ascii="Book Antiqua" w:hAnsi="Book Antiqua"/>
          <w:sz w:val="24"/>
          <w:szCs w:val="24"/>
          <w:lang w:val="es-ES_tradnl"/>
        </w:rPr>
      </w:pPr>
    </w:p>
    <w:p w14:paraId="1FB3F4DA" w14:textId="7E933E73" w:rsidR="00274EE0" w:rsidRDefault="00271660" w:rsidP="00D23423">
      <w:pPr>
        <w:suppressLineNumbers/>
        <w:spacing w:after="0" w:line="240" w:lineRule="auto"/>
        <w:ind w:firstLine="360"/>
        <w:contextualSpacing/>
        <w:jc w:val="both"/>
        <w:rPr>
          <w:rFonts w:ascii="Book Antiqua" w:hAnsi="Book Antiqua"/>
          <w:sz w:val="24"/>
          <w:szCs w:val="24"/>
          <w:lang w:val="es-ES_tradnl"/>
        </w:rPr>
      </w:pPr>
      <w:r w:rsidRPr="00671170">
        <w:rPr>
          <w:rFonts w:ascii="Book Antiqua" w:hAnsi="Book Antiqua"/>
          <w:sz w:val="24"/>
          <w:szCs w:val="24"/>
          <w:lang w:val="es-ES_tradnl"/>
        </w:rPr>
        <w:t xml:space="preserve">La Rama Judicial creó el 29 de mayo de 2007, la primera Sala Especializada en Casos de Violencia Doméstica (SVD) en el Centro Judicial de San Juan. </w:t>
      </w:r>
      <w:r w:rsidR="00274EE0">
        <w:rPr>
          <w:rFonts w:ascii="Book Antiqua" w:hAnsi="Book Antiqua"/>
          <w:sz w:val="24"/>
          <w:szCs w:val="24"/>
          <w:lang w:val="es-ES_tradnl"/>
        </w:rPr>
        <w:t xml:space="preserve"> </w:t>
      </w:r>
      <w:r w:rsidR="00274EE0">
        <w:rPr>
          <w:rFonts w:ascii="Book Antiqua" w:eastAsia="Times New Roman" w:hAnsi="Book Antiqua" w:cs="Arial"/>
          <w:sz w:val="24"/>
          <w:szCs w:val="24"/>
          <w:lang w:val="es-ES_tradnl"/>
        </w:rPr>
        <w:t>L</w:t>
      </w:r>
      <w:r w:rsidR="00274EE0" w:rsidRPr="00307902">
        <w:rPr>
          <w:rFonts w:ascii="Book Antiqua" w:eastAsia="Times New Roman" w:hAnsi="Book Antiqua" w:cs="Arial"/>
          <w:sz w:val="24"/>
          <w:szCs w:val="24"/>
          <w:lang w:val="es-ES_tradnl"/>
        </w:rPr>
        <w:t xml:space="preserve">as salas especializadas en violencia </w:t>
      </w:r>
      <w:r w:rsidR="00455D3A" w:rsidRPr="00307902">
        <w:rPr>
          <w:rFonts w:ascii="Book Antiqua" w:eastAsia="Times New Roman" w:hAnsi="Book Antiqua" w:cs="Arial"/>
          <w:sz w:val="24"/>
          <w:szCs w:val="24"/>
          <w:lang w:val="es-ES_tradnl"/>
        </w:rPr>
        <w:t>doméstica</w:t>
      </w:r>
      <w:r w:rsidR="00274EE0" w:rsidRPr="00307902">
        <w:rPr>
          <w:rFonts w:ascii="Book Antiqua" w:eastAsia="Times New Roman" w:hAnsi="Book Antiqua" w:cs="Arial"/>
          <w:sz w:val="24"/>
          <w:szCs w:val="24"/>
          <w:lang w:val="es-ES_tradnl"/>
        </w:rPr>
        <w:t xml:space="preserve"> buscan, entre otros, </w:t>
      </w:r>
      <w:r w:rsidR="00274EE0" w:rsidRPr="00307902">
        <w:rPr>
          <w:rFonts w:ascii="Book Antiqua" w:hAnsi="Book Antiqua"/>
          <w:sz w:val="24"/>
          <w:szCs w:val="24"/>
          <w:lang w:val="es-ES_tradnl"/>
        </w:rPr>
        <w:t>asegurar a las partes el trámite apropiado y eficiente de su caso, promover la seguridad de las personas afectadas por una situación de violencia doméstica, establecer una supervisión intensiva de las personas que incurren en violencia doméstica, responsabilizándolas por su conducta, y facilitar el ofrecimiento de servicios de apoyo y ayuda para las partes.</w:t>
      </w:r>
    </w:p>
    <w:p w14:paraId="55C5230A" w14:textId="77777777" w:rsidR="00274EE0" w:rsidRDefault="00274EE0" w:rsidP="00271660">
      <w:pPr>
        <w:suppressLineNumbers/>
        <w:spacing w:after="0" w:line="240" w:lineRule="auto"/>
        <w:ind w:firstLine="720"/>
        <w:contextualSpacing/>
        <w:jc w:val="both"/>
        <w:rPr>
          <w:rFonts w:ascii="Book Antiqua" w:hAnsi="Book Antiqua"/>
          <w:sz w:val="24"/>
          <w:szCs w:val="24"/>
          <w:lang w:val="es-ES_tradnl"/>
        </w:rPr>
      </w:pPr>
    </w:p>
    <w:p w14:paraId="06DE1A4B" w14:textId="77777777" w:rsidR="00271660" w:rsidRDefault="00271660" w:rsidP="00D23423">
      <w:pPr>
        <w:suppressLineNumbers/>
        <w:spacing w:after="0" w:line="240" w:lineRule="auto"/>
        <w:ind w:firstLine="360"/>
        <w:contextualSpacing/>
        <w:jc w:val="both"/>
        <w:rPr>
          <w:rFonts w:ascii="Book Antiqua" w:hAnsi="Book Antiqua"/>
          <w:sz w:val="24"/>
          <w:szCs w:val="24"/>
          <w:lang w:val="es-ES_tradnl"/>
        </w:rPr>
      </w:pPr>
      <w:r w:rsidRPr="00671170">
        <w:rPr>
          <w:rFonts w:ascii="Book Antiqua" w:hAnsi="Book Antiqua"/>
          <w:sz w:val="24"/>
          <w:szCs w:val="24"/>
          <w:lang w:val="es-ES_tradnl"/>
        </w:rPr>
        <w:lastRenderedPageBreak/>
        <w:t>El 16 de marzo de 2010</w:t>
      </w:r>
      <w:r w:rsidR="00274EE0">
        <w:rPr>
          <w:rFonts w:ascii="Book Antiqua" w:hAnsi="Book Antiqua"/>
          <w:sz w:val="24"/>
          <w:szCs w:val="24"/>
          <w:lang w:val="es-ES_tradnl"/>
        </w:rPr>
        <w:t>, la Rama Judicial inauguró</w:t>
      </w:r>
      <w:r w:rsidRPr="00671170">
        <w:rPr>
          <w:rFonts w:ascii="Book Antiqua" w:hAnsi="Book Antiqua"/>
          <w:sz w:val="24"/>
          <w:szCs w:val="24"/>
          <w:lang w:val="es-ES_tradnl"/>
        </w:rPr>
        <w:t xml:space="preserve"> la segunda sala en el Centro Judicial de Bayamón. Son 7 centros especializados en violencia doméstica, estando el resto en las regiones judiciales de Arecibo, Fajardo, Ponce, Caguas y Carolina. </w:t>
      </w:r>
      <w:r w:rsidR="00A602E1">
        <w:rPr>
          <w:rFonts w:ascii="Book Antiqua" w:hAnsi="Book Antiqua"/>
          <w:sz w:val="24"/>
          <w:szCs w:val="24"/>
          <w:lang w:val="es-ES_tradnl"/>
        </w:rPr>
        <w:t xml:space="preserve"> </w:t>
      </w:r>
      <w:r w:rsidRPr="00671170">
        <w:rPr>
          <w:rFonts w:ascii="Book Antiqua" w:hAnsi="Book Antiqua"/>
          <w:sz w:val="24"/>
          <w:szCs w:val="24"/>
          <w:lang w:val="es-ES_tradnl"/>
        </w:rPr>
        <w:t>Las regiones judiciales de Aguadilla y</w:t>
      </w:r>
      <w:r>
        <w:rPr>
          <w:rFonts w:ascii="Book Antiqua" w:hAnsi="Book Antiqua"/>
          <w:sz w:val="24"/>
          <w:szCs w:val="24"/>
          <w:lang w:val="es-ES_tradnl"/>
        </w:rPr>
        <w:t xml:space="preserve"> Guayama cuentan con el Proyecto de Especialización de Servicios para Casos de Violencia Doméstica. </w:t>
      </w:r>
      <w:r w:rsidR="000B1EBF">
        <w:rPr>
          <w:rFonts w:ascii="Book Antiqua" w:hAnsi="Book Antiqua"/>
          <w:sz w:val="24"/>
          <w:szCs w:val="24"/>
          <w:lang w:val="es-ES_tradnl"/>
        </w:rPr>
        <w:t xml:space="preserve"> </w:t>
      </w:r>
      <w:r>
        <w:rPr>
          <w:rFonts w:ascii="Book Antiqua" w:hAnsi="Book Antiqua"/>
          <w:sz w:val="24"/>
          <w:szCs w:val="24"/>
          <w:lang w:val="es-ES_tradnl"/>
        </w:rPr>
        <w:t xml:space="preserve">En el Centro Judicial de Utuado se encuentra la primera Sala Especializada de </w:t>
      </w:r>
      <w:r w:rsidR="00671170">
        <w:rPr>
          <w:rFonts w:ascii="Book Antiqua" w:hAnsi="Book Antiqua"/>
          <w:sz w:val="24"/>
          <w:szCs w:val="24"/>
          <w:lang w:val="es-ES_tradnl"/>
        </w:rPr>
        <w:t xml:space="preserve">casos de </w:t>
      </w:r>
      <w:r>
        <w:rPr>
          <w:rFonts w:ascii="Book Antiqua" w:hAnsi="Book Antiqua"/>
          <w:sz w:val="24"/>
          <w:szCs w:val="24"/>
          <w:lang w:val="es-ES_tradnl"/>
        </w:rPr>
        <w:t xml:space="preserve">violencia de género. </w:t>
      </w:r>
    </w:p>
    <w:p w14:paraId="11A352B1" w14:textId="77777777" w:rsidR="00271660" w:rsidRDefault="00271660" w:rsidP="00271660">
      <w:pPr>
        <w:suppressLineNumbers/>
        <w:spacing w:after="0" w:line="240" w:lineRule="auto"/>
        <w:ind w:firstLine="720"/>
        <w:contextualSpacing/>
        <w:jc w:val="both"/>
        <w:rPr>
          <w:rFonts w:ascii="Book Antiqua" w:hAnsi="Book Antiqua"/>
          <w:sz w:val="24"/>
          <w:szCs w:val="24"/>
          <w:lang w:val="es-ES_tradnl"/>
        </w:rPr>
      </w:pPr>
    </w:p>
    <w:p w14:paraId="41A8008E" w14:textId="77777777" w:rsidR="00271660" w:rsidRPr="00D23423" w:rsidRDefault="00271660" w:rsidP="00D23423">
      <w:pPr>
        <w:pStyle w:val="Heading1"/>
        <w:suppressLineNumbers/>
        <w:shd w:val="clear" w:color="auto" w:fill="FFFFFF"/>
        <w:spacing w:before="0" w:beforeAutospacing="0" w:after="0" w:afterAutospacing="0"/>
        <w:ind w:firstLine="360"/>
        <w:contextualSpacing/>
        <w:jc w:val="both"/>
        <w:rPr>
          <w:rFonts w:ascii="Book Antiqua" w:hAnsi="Book Antiqua"/>
          <w:b w:val="0"/>
          <w:color w:val="1A1A1A"/>
          <w:sz w:val="24"/>
          <w:szCs w:val="24"/>
          <w:lang w:val="es-ES_tradnl"/>
        </w:rPr>
      </w:pPr>
      <w:r w:rsidRPr="00524789">
        <w:rPr>
          <w:rFonts w:ascii="Book Antiqua" w:hAnsi="Book Antiqua"/>
          <w:b w:val="0"/>
          <w:sz w:val="24"/>
          <w:szCs w:val="24"/>
          <w:lang w:val="es-ES_tradnl"/>
        </w:rPr>
        <w:t>El 12 de agosto de 2021, el periódico El Nuevo Día, reseñó que la Rama Judicial reveló</w:t>
      </w:r>
      <w:r w:rsidRPr="00D23423">
        <w:rPr>
          <w:rFonts w:ascii="Book Antiqua" w:hAnsi="Book Antiqua"/>
          <w:b w:val="0"/>
          <w:sz w:val="24"/>
          <w:szCs w:val="24"/>
          <w:lang w:val="es-ES_tradnl"/>
        </w:rPr>
        <w:t xml:space="preserve"> varias estrategias para fortalecer la respuesta en los casos de violencia de género</w:t>
      </w:r>
      <w:r w:rsidR="00D23423">
        <w:rPr>
          <w:rStyle w:val="FootnoteReference"/>
          <w:rFonts w:ascii="Book Antiqua" w:hAnsi="Book Antiqua"/>
          <w:b w:val="0"/>
          <w:sz w:val="24"/>
          <w:szCs w:val="24"/>
          <w:lang w:val="es-ES_tradnl"/>
        </w:rPr>
        <w:footnoteReference w:id="1"/>
      </w:r>
      <w:r w:rsidRPr="00D23423">
        <w:rPr>
          <w:rFonts w:ascii="Book Antiqua" w:hAnsi="Book Antiqua"/>
          <w:b w:val="0"/>
          <w:sz w:val="24"/>
          <w:szCs w:val="24"/>
          <w:lang w:val="es-ES_tradnl"/>
        </w:rPr>
        <w:t xml:space="preserve">. </w:t>
      </w:r>
      <w:r w:rsidR="00524789">
        <w:rPr>
          <w:rFonts w:ascii="Book Antiqua" w:hAnsi="Book Antiqua"/>
          <w:b w:val="0"/>
          <w:sz w:val="24"/>
          <w:szCs w:val="24"/>
          <w:lang w:val="es-ES_tradnl"/>
        </w:rPr>
        <w:t xml:space="preserve"> </w:t>
      </w:r>
      <w:r w:rsidRPr="00D23423">
        <w:rPr>
          <w:rFonts w:ascii="Book Antiqua" w:hAnsi="Book Antiqua"/>
          <w:b w:val="0"/>
          <w:sz w:val="24"/>
          <w:szCs w:val="24"/>
          <w:lang w:val="es-ES_tradnl"/>
        </w:rPr>
        <w:t xml:space="preserve">A esos efectos, la Juez Presidenta, </w:t>
      </w:r>
      <w:proofErr w:type="spellStart"/>
      <w:r w:rsidRPr="00D23423">
        <w:rPr>
          <w:rFonts w:ascii="Book Antiqua" w:hAnsi="Book Antiqua"/>
          <w:b w:val="0"/>
          <w:sz w:val="24"/>
          <w:szCs w:val="24"/>
          <w:lang w:val="es-ES_tradnl"/>
        </w:rPr>
        <w:t>Hon</w:t>
      </w:r>
      <w:proofErr w:type="spellEnd"/>
      <w:r w:rsidRPr="00D23423">
        <w:rPr>
          <w:rFonts w:ascii="Book Antiqua" w:hAnsi="Book Antiqua"/>
          <w:b w:val="0"/>
          <w:sz w:val="24"/>
          <w:szCs w:val="24"/>
          <w:lang w:val="es-ES_tradnl"/>
        </w:rPr>
        <w:t xml:space="preserve">. </w:t>
      </w:r>
      <w:proofErr w:type="spellStart"/>
      <w:r w:rsidRPr="00D23423">
        <w:rPr>
          <w:rFonts w:ascii="Book Antiqua" w:hAnsi="Book Antiqua"/>
          <w:b w:val="0"/>
          <w:sz w:val="24"/>
          <w:szCs w:val="24"/>
          <w:lang w:val="es-ES_tradnl"/>
        </w:rPr>
        <w:t>Maité</w:t>
      </w:r>
      <w:proofErr w:type="spellEnd"/>
      <w:r w:rsidRPr="00D23423">
        <w:rPr>
          <w:rFonts w:ascii="Book Antiqua" w:hAnsi="Book Antiqua"/>
          <w:b w:val="0"/>
          <w:sz w:val="24"/>
          <w:szCs w:val="24"/>
          <w:lang w:val="es-ES_tradnl"/>
        </w:rPr>
        <w:t xml:space="preserve"> Oronoz, hizo referencia a un informe que le sometiera un grupo de trabajo que evaluó las recientes situaciones del manejo de los casos de violencia doméstica, como lo fue el caso de Andrea Ruiz Costas. </w:t>
      </w:r>
      <w:r w:rsidR="00524789">
        <w:rPr>
          <w:rFonts w:ascii="Book Antiqua" w:hAnsi="Book Antiqua"/>
          <w:b w:val="0"/>
          <w:sz w:val="24"/>
          <w:szCs w:val="24"/>
          <w:lang w:val="es-ES_tradnl"/>
        </w:rPr>
        <w:t xml:space="preserve"> </w:t>
      </w:r>
      <w:r w:rsidRPr="00D23423">
        <w:rPr>
          <w:rFonts w:ascii="Book Antiqua" w:hAnsi="Book Antiqua"/>
          <w:b w:val="0"/>
          <w:sz w:val="24"/>
          <w:szCs w:val="24"/>
          <w:lang w:val="es-ES_tradnl"/>
        </w:rPr>
        <w:t xml:space="preserve">Entre las recomendaciones se encontraban el realizar </w:t>
      </w:r>
      <w:r w:rsidRPr="00D23423">
        <w:rPr>
          <w:rFonts w:ascii="Book Antiqua" w:hAnsi="Book Antiqua"/>
          <w:b w:val="0"/>
          <w:color w:val="1A1A1A"/>
          <w:sz w:val="24"/>
          <w:szCs w:val="24"/>
          <w:lang w:val="es-ES_tradnl"/>
        </w:rPr>
        <w:t>adiestramientos continuos al personal que atiende casos de violencia doméstica en los tribunales, asignar nuevos jueces a las salas especializadas de violencia doméstica y adiestrarlos antes de que comiencen sus funciones.  Indica el informe que era necesario que estos jueces cumplieran con unos criterios mínimos, como el tener pleno conocimiento de la Ley Núm</w:t>
      </w:r>
      <w:r w:rsidR="00524789">
        <w:rPr>
          <w:rFonts w:ascii="Book Antiqua" w:hAnsi="Book Antiqua"/>
          <w:b w:val="0"/>
          <w:color w:val="1A1A1A"/>
          <w:sz w:val="24"/>
          <w:szCs w:val="24"/>
          <w:lang w:val="es-ES_tradnl"/>
        </w:rPr>
        <w:t xml:space="preserve">. </w:t>
      </w:r>
      <w:r w:rsidRPr="00D23423">
        <w:rPr>
          <w:rFonts w:ascii="Book Antiqua" w:hAnsi="Book Antiqua"/>
          <w:b w:val="0"/>
          <w:color w:val="1A1A1A"/>
          <w:sz w:val="24"/>
          <w:szCs w:val="24"/>
          <w:lang w:val="es-ES_tradnl"/>
        </w:rPr>
        <w:t xml:space="preserve">54, </w:t>
      </w:r>
      <w:r w:rsidR="00524789">
        <w:rPr>
          <w:rFonts w:ascii="Book Antiqua" w:hAnsi="Book Antiqua"/>
          <w:b w:val="0"/>
          <w:color w:val="1A1A1A"/>
          <w:sz w:val="24"/>
          <w:szCs w:val="24"/>
          <w:lang w:val="es-ES_tradnl"/>
        </w:rPr>
        <w:t xml:space="preserve">antes citada, </w:t>
      </w:r>
      <w:r w:rsidRPr="00D23423">
        <w:rPr>
          <w:rFonts w:ascii="Book Antiqua" w:hAnsi="Book Antiqua"/>
          <w:b w:val="0"/>
          <w:color w:val="1A1A1A"/>
          <w:sz w:val="24"/>
          <w:szCs w:val="24"/>
          <w:lang w:val="es-ES_tradnl"/>
        </w:rPr>
        <w:t xml:space="preserve">sus enmiendas, así como de las normas y procedimientos de la sala que se les asigne, y de otras leyes relacionadas con la violencia de género.  Recomendaba, además, que debían tener conocimiento de los servicios disponibles para las sobrevivientes y los agresores de una situación de violencia doméstica. </w:t>
      </w:r>
      <w:r w:rsidR="00524789">
        <w:rPr>
          <w:rFonts w:ascii="Book Antiqua" w:hAnsi="Book Antiqua"/>
          <w:b w:val="0"/>
          <w:color w:val="1A1A1A"/>
          <w:sz w:val="24"/>
          <w:szCs w:val="24"/>
          <w:lang w:val="es-ES_tradnl"/>
        </w:rPr>
        <w:t xml:space="preserve"> </w:t>
      </w:r>
      <w:r w:rsidRPr="00D23423">
        <w:rPr>
          <w:rFonts w:ascii="Book Antiqua" w:hAnsi="Book Antiqua"/>
          <w:b w:val="0"/>
          <w:color w:val="1A1A1A"/>
          <w:sz w:val="24"/>
          <w:szCs w:val="24"/>
          <w:lang w:val="es-ES_tradnl"/>
        </w:rPr>
        <w:t xml:space="preserve">Una de las observaciones lo fue la necesidad de adiestrar en la evaluación de los factores de letalidad. </w:t>
      </w:r>
      <w:r w:rsidR="00524789">
        <w:rPr>
          <w:rFonts w:ascii="Book Antiqua" w:hAnsi="Book Antiqua"/>
          <w:b w:val="0"/>
          <w:color w:val="1A1A1A"/>
          <w:sz w:val="24"/>
          <w:szCs w:val="24"/>
          <w:lang w:val="es-ES_tradnl"/>
        </w:rPr>
        <w:t xml:space="preserve"> </w:t>
      </w:r>
      <w:r w:rsidRPr="00D23423">
        <w:rPr>
          <w:rFonts w:ascii="Book Antiqua" w:hAnsi="Book Antiqua"/>
          <w:b w:val="0"/>
          <w:color w:val="1A1A1A"/>
          <w:sz w:val="24"/>
          <w:szCs w:val="24"/>
          <w:lang w:val="es-ES_tradnl"/>
        </w:rPr>
        <w:t>Estos se refieren a las señales que pueda presentar una persona de que es un agresor u homicida en potencia, como, por ejemplo, si ha sido violento, amen</w:t>
      </w:r>
      <w:r w:rsidR="00524789">
        <w:rPr>
          <w:rFonts w:ascii="Book Antiqua" w:hAnsi="Book Antiqua"/>
          <w:b w:val="0"/>
          <w:color w:val="1A1A1A"/>
          <w:sz w:val="24"/>
          <w:szCs w:val="24"/>
          <w:lang w:val="es-ES_tradnl"/>
        </w:rPr>
        <w:t xml:space="preserve">azante u obsesivo en el pasado.  </w:t>
      </w:r>
      <w:r w:rsidRPr="00D23423">
        <w:rPr>
          <w:rFonts w:ascii="Book Antiqua" w:hAnsi="Book Antiqua"/>
          <w:b w:val="0"/>
          <w:color w:val="1A1A1A"/>
          <w:sz w:val="24"/>
          <w:szCs w:val="24"/>
          <w:lang w:val="es-ES_tradnl"/>
        </w:rPr>
        <w:t xml:space="preserve">Señala el informe que: </w:t>
      </w:r>
    </w:p>
    <w:p w14:paraId="652A2086" w14:textId="77777777" w:rsidR="00271660" w:rsidRPr="00D23423" w:rsidRDefault="00271660" w:rsidP="00271660">
      <w:pPr>
        <w:suppressLineNumbers/>
        <w:spacing w:after="0" w:line="240" w:lineRule="auto"/>
        <w:ind w:firstLine="720"/>
        <w:contextualSpacing/>
        <w:jc w:val="both"/>
        <w:rPr>
          <w:rFonts w:ascii="Book Antiqua" w:hAnsi="Book Antiqua"/>
          <w:color w:val="1A1A1A"/>
          <w:sz w:val="24"/>
          <w:szCs w:val="24"/>
          <w:lang w:val="es-ES_tradnl"/>
        </w:rPr>
      </w:pPr>
    </w:p>
    <w:p w14:paraId="1C2EA5D3" w14:textId="3897D731" w:rsidR="00271660" w:rsidRPr="00D61552" w:rsidRDefault="00965789" w:rsidP="00524789">
      <w:pPr>
        <w:suppressLineNumbers/>
        <w:spacing w:after="0" w:line="240" w:lineRule="auto"/>
        <w:ind w:left="540"/>
        <w:contextualSpacing/>
        <w:jc w:val="both"/>
        <w:rPr>
          <w:rFonts w:ascii="Book Antiqua" w:hAnsi="Book Antiqua"/>
          <w:sz w:val="24"/>
          <w:szCs w:val="24"/>
          <w:lang w:val="es-ES_tradnl"/>
        </w:rPr>
      </w:pPr>
      <w:r>
        <w:rPr>
          <w:rFonts w:ascii="Book Antiqua" w:hAnsi="Book Antiqua"/>
          <w:color w:val="1A1A1A"/>
          <w:sz w:val="24"/>
          <w:szCs w:val="24"/>
          <w:lang w:val="es-ES_tradnl"/>
        </w:rPr>
        <w:t>“</w:t>
      </w:r>
      <w:r w:rsidR="00271660" w:rsidRPr="00D61552">
        <w:rPr>
          <w:rFonts w:ascii="Book Antiqua" w:hAnsi="Book Antiqua"/>
          <w:color w:val="1A1A1A"/>
          <w:sz w:val="24"/>
          <w:szCs w:val="24"/>
          <w:lang w:val="es-ES_tradnl"/>
        </w:rPr>
        <w:t>La evaluación del riesgo es una herramienta crucial para ayudar a determinar cuál es el grado de seguridad o de riesgo que tiene la persona sobreviviente de violencia de género de confrontar más violencia en el futuro, y así asegurar que reciba la protección adecuada y ayudarla a desarrollar un plan para preservar su seguridad en el futuro y la de cualquier pariente u otros dependientes</w:t>
      </w:r>
      <w:r w:rsidR="00271660">
        <w:rPr>
          <w:rFonts w:ascii="Book Antiqua" w:hAnsi="Book Antiqua"/>
          <w:color w:val="1A1A1A"/>
          <w:sz w:val="24"/>
          <w:szCs w:val="24"/>
          <w:lang w:val="es-ES_tradnl"/>
        </w:rPr>
        <w:t>.</w:t>
      </w:r>
      <w:r>
        <w:rPr>
          <w:rFonts w:ascii="Book Antiqua" w:hAnsi="Book Antiqua"/>
          <w:color w:val="1A1A1A"/>
          <w:sz w:val="24"/>
          <w:szCs w:val="24"/>
          <w:lang w:val="es-ES_tradnl"/>
        </w:rPr>
        <w:t>”</w:t>
      </w:r>
    </w:p>
    <w:p w14:paraId="449C4DC5" w14:textId="77777777" w:rsidR="00271660" w:rsidRDefault="00271660" w:rsidP="00271660">
      <w:pPr>
        <w:suppressLineNumbers/>
        <w:spacing w:after="0" w:line="240" w:lineRule="auto"/>
        <w:ind w:firstLine="720"/>
        <w:contextualSpacing/>
        <w:jc w:val="both"/>
        <w:rPr>
          <w:rFonts w:ascii="Book Antiqua" w:hAnsi="Book Antiqua"/>
          <w:sz w:val="24"/>
          <w:szCs w:val="24"/>
          <w:lang w:val="es-ES_tradnl"/>
        </w:rPr>
      </w:pPr>
    </w:p>
    <w:p w14:paraId="3B60484C" w14:textId="77777777" w:rsidR="00271660" w:rsidRPr="00765153" w:rsidRDefault="00271660" w:rsidP="007C715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Por otra parte, es menester recordar que los asuntos relacionados con la violencia doméstica no se limitan a los parámetros de la Ley </w:t>
      </w:r>
      <w:r w:rsidR="00D64EE3">
        <w:rPr>
          <w:rFonts w:ascii="Book Antiqua" w:hAnsi="Book Antiqua"/>
          <w:sz w:val="24"/>
          <w:szCs w:val="24"/>
          <w:lang w:val="es-ES_tradnl"/>
        </w:rPr>
        <w:t xml:space="preserve">Núm. </w:t>
      </w:r>
      <w:r>
        <w:rPr>
          <w:rFonts w:ascii="Book Antiqua" w:hAnsi="Book Antiqua"/>
          <w:sz w:val="24"/>
          <w:szCs w:val="24"/>
          <w:lang w:val="es-ES_tradnl"/>
        </w:rPr>
        <w:t>54</w:t>
      </w:r>
      <w:r w:rsidR="000B1EBF">
        <w:rPr>
          <w:rFonts w:ascii="Book Antiqua" w:hAnsi="Book Antiqua"/>
          <w:sz w:val="24"/>
          <w:szCs w:val="24"/>
          <w:lang w:val="es-ES_tradnl"/>
        </w:rPr>
        <w:t>,</w:t>
      </w:r>
      <w:r>
        <w:rPr>
          <w:rFonts w:ascii="Book Antiqua" w:hAnsi="Book Antiqua"/>
          <w:sz w:val="24"/>
          <w:szCs w:val="24"/>
          <w:lang w:val="es-ES_tradnl"/>
        </w:rPr>
        <w:t xml:space="preserve"> </w:t>
      </w:r>
      <w:r w:rsidR="00D64EE3">
        <w:rPr>
          <w:rFonts w:ascii="Book Antiqua" w:hAnsi="Book Antiqua"/>
          <w:sz w:val="24"/>
          <w:szCs w:val="24"/>
          <w:lang w:val="es-ES_tradnl"/>
        </w:rPr>
        <w:t>antes mencionada.</w:t>
      </w:r>
      <w:r>
        <w:rPr>
          <w:rFonts w:ascii="Book Antiqua" w:hAnsi="Book Antiqua"/>
          <w:sz w:val="24"/>
          <w:szCs w:val="24"/>
          <w:lang w:val="es-ES_tradnl"/>
        </w:rPr>
        <w:t xml:space="preserve"> </w:t>
      </w:r>
      <w:r w:rsidR="00D64EE3">
        <w:rPr>
          <w:rFonts w:ascii="Book Antiqua" w:hAnsi="Book Antiqua"/>
          <w:sz w:val="24"/>
          <w:szCs w:val="24"/>
          <w:lang w:val="es-ES_tradnl"/>
        </w:rPr>
        <w:t xml:space="preserve"> </w:t>
      </w:r>
      <w:r>
        <w:rPr>
          <w:rFonts w:ascii="Book Antiqua" w:hAnsi="Book Antiqua"/>
          <w:sz w:val="24"/>
          <w:szCs w:val="24"/>
          <w:lang w:val="es-ES_tradnl"/>
        </w:rPr>
        <w:t>Repercuten en distintos asuntos de naturaleza civil</w:t>
      </w:r>
      <w:r w:rsidR="0075130E">
        <w:rPr>
          <w:rFonts w:ascii="Book Antiqua" w:hAnsi="Book Antiqua"/>
          <w:sz w:val="24"/>
          <w:szCs w:val="24"/>
          <w:lang w:val="es-ES_tradnl"/>
        </w:rPr>
        <w:t xml:space="preserve"> y administrativo</w:t>
      </w:r>
      <w:r>
        <w:rPr>
          <w:rFonts w:ascii="Book Antiqua" w:hAnsi="Book Antiqua"/>
          <w:sz w:val="24"/>
          <w:szCs w:val="24"/>
          <w:lang w:val="es-ES_tradnl"/>
        </w:rPr>
        <w:t xml:space="preserve">, para los que se requiere la sensibilidad y </w:t>
      </w:r>
      <w:r w:rsidR="00D64EE3">
        <w:rPr>
          <w:rFonts w:ascii="Book Antiqua" w:hAnsi="Book Antiqua"/>
          <w:sz w:val="24"/>
          <w:szCs w:val="24"/>
          <w:lang w:val="es-ES_tradnl"/>
        </w:rPr>
        <w:t xml:space="preserve">el </w:t>
      </w:r>
      <w:r>
        <w:rPr>
          <w:rFonts w:ascii="Book Antiqua" w:hAnsi="Book Antiqua"/>
          <w:sz w:val="24"/>
          <w:szCs w:val="24"/>
          <w:lang w:val="es-ES_tradnl"/>
        </w:rPr>
        <w:t>adiestramiento necesario</w:t>
      </w:r>
      <w:r w:rsidR="00D64EE3">
        <w:rPr>
          <w:rFonts w:ascii="Book Antiqua" w:hAnsi="Book Antiqua"/>
          <w:sz w:val="24"/>
          <w:szCs w:val="24"/>
          <w:lang w:val="es-ES_tradnl"/>
        </w:rPr>
        <w:t>,</w:t>
      </w:r>
      <w:r>
        <w:rPr>
          <w:rFonts w:ascii="Book Antiqua" w:hAnsi="Book Antiqua"/>
          <w:sz w:val="24"/>
          <w:szCs w:val="24"/>
          <w:lang w:val="es-ES_tradnl"/>
        </w:rPr>
        <w:t xml:space="preserve"> de manera que se le asegure a la víctima/sobreviviente un trato justo.</w:t>
      </w:r>
    </w:p>
    <w:p w14:paraId="77C25B41" w14:textId="77777777" w:rsidR="00271660" w:rsidRPr="00765153" w:rsidRDefault="00271660" w:rsidP="00271660">
      <w:pPr>
        <w:suppressLineNumbers/>
        <w:spacing w:after="0" w:line="240" w:lineRule="auto"/>
        <w:ind w:firstLine="720"/>
        <w:contextualSpacing/>
        <w:jc w:val="both"/>
        <w:rPr>
          <w:rFonts w:ascii="Book Antiqua" w:hAnsi="Book Antiqua"/>
          <w:sz w:val="24"/>
          <w:szCs w:val="24"/>
          <w:lang w:val="es-ES_tradnl"/>
        </w:rPr>
      </w:pPr>
    </w:p>
    <w:p w14:paraId="7633D009" w14:textId="77777777" w:rsidR="00271660" w:rsidRDefault="00271660" w:rsidP="00271660">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El 2 de mayo de 2021, la Jueza Presidenta, </w:t>
      </w:r>
      <w:proofErr w:type="spellStart"/>
      <w:r>
        <w:rPr>
          <w:rFonts w:ascii="Book Antiqua" w:hAnsi="Book Antiqua"/>
          <w:sz w:val="24"/>
          <w:szCs w:val="24"/>
          <w:lang w:val="es-ES_tradnl"/>
        </w:rPr>
        <w:t>Hon</w:t>
      </w:r>
      <w:proofErr w:type="spellEnd"/>
      <w:r>
        <w:rPr>
          <w:rFonts w:ascii="Book Antiqua" w:hAnsi="Book Antiqua"/>
          <w:sz w:val="24"/>
          <w:szCs w:val="24"/>
          <w:lang w:val="es-ES_tradnl"/>
        </w:rPr>
        <w:t xml:space="preserve">. </w:t>
      </w:r>
      <w:proofErr w:type="spellStart"/>
      <w:r>
        <w:rPr>
          <w:rFonts w:ascii="Book Antiqua" w:hAnsi="Book Antiqua"/>
          <w:sz w:val="24"/>
          <w:szCs w:val="24"/>
          <w:lang w:val="es-ES_tradnl"/>
        </w:rPr>
        <w:t>Maité</w:t>
      </w:r>
      <w:proofErr w:type="spellEnd"/>
      <w:r>
        <w:rPr>
          <w:rFonts w:ascii="Book Antiqua" w:hAnsi="Book Antiqua"/>
          <w:sz w:val="24"/>
          <w:szCs w:val="24"/>
          <w:lang w:val="es-ES_tradnl"/>
        </w:rPr>
        <w:t xml:space="preserve"> </w:t>
      </w:r>
      <w:r w:rsidR="0075130E">
        <w:rPr>
          <w:rFonts w:ascii="Book Antiqua" w:hAnsi="Book Antiqua"/>
          <w:sz w:val="24"/>
          <w:szCs w:val="24"/>
          <w:lang w:val="es-ES_tradnl"/>
        </w:rPr>
        <w:t xml:space="preserve">D. </w:t>
      </w:r>
      <w:r>
        <w:rPr>
          <w:rFonts w:ascii="Book Antiqua" w:hAnsi="Book Antiqua"/>
          <w:sz w:val="24"/>
          <w:szCs w:val="24"/>
          <w:lang w:val="es-ES_tradnl"/>
        </w:rPr>
        <w:t xml:space="preserve">Oronoz Rodríguez, hace un comunicado de prensa, donde informa que, a raíz de unas alegaciones de mal manejo </w:t>
      </w:r>
      <w:r>
        <w:rPr>
          <w:rFonts w:ascii="Book Antiqua" w:hAnsi="Book Antiqua"/>
          <w:sz w:val="24"/>
          <w:szCs w:val="24"/>
          <w:lang w:val="es-ES_tradnl"/>
        </w:rPr>
        <w:lastRenderedPageBreak/>
        <w:t>en el caso de violencia doméstica de Andrea Ruiz Costas, procedió a la reasignación de los casos a las Salas Especializadas de Violencia Doméstica</w:t>
      </w:r>
      <w:r w:rsidR="008B2BCB">
        <w:rPr>
          <w:rFonts w:ascii="Book Antiqua" w:hAnsi="Book Antiqua"/>
          <w:sz w:val="24"/>
          <w:szCs w:val="24"/>
          <w:lang w:val="es-ES_tradnl"/>
        </w:rPr>
        <w:t xml:space="preserve"> de la Región Judicial de Caguas</w:t>
      </w:r>
      <w:r>
        <w:rPr>
          <w:rFonts w:ascii="Book Antiqua" w:hAnsi="Book Antiqua"/>
          <w:sz w:val="24"/>
          <w:szCs w:val="24"/>
          <w:lang w:val="es-ES_tradnl"/>
        </w:rPr>
        <w:t>.  Ordenó una evaluación de los procesos, mientras reasignó a otras funciones a las juezas municipales que intervinieron en el mismo.</w:t>
      </w:r>
      <w:r w:rsidR="008B2BCB">
        <w:rPr>
          <w:rFonts w:ascii="Book Antiqua" w:hAnsi="Book Antiqua"/>
          <w:sz w:val="24"/>
          <w:szCs w:val="24"/>
          <w:lang w:val="es-ES_tradnl"/>
        </w:rPr>
        <w:t xml:space="preserve"> </w:t>
      </w:r>
      <w:r>
        <w:rPr>
          <w:rFonts w:ascii="Book Antiqua" w:hAnsi="Book Antiqua"/>
          <w:sz w:val="24"/>
          <w:szCs w:val="24"/>
          <w:lang w:val="es-ES_tradnl"/>
        </w:rPr>
        <w:t xml:space="preserve"> Anunció, además, que pondría en marcha varios esfuerzos urgentes para impactar el manejo de dichos casos. </w:t>
      </w:r>
    </w:p>
    <w:p w14:paraId="3CC0DA30" w14:textId="77777777" w:rsidR="007C7154" w:rsidRDefault="007C7154" w:rsidP="00271660">
      <w:pPr>
        <w:suppressLineNumbers/>
        <w:spacing w:after="0" w:line="240" w:lineRule="auto"/>
        <w:ind w:firstLine="720"/>
        <w:contextualSpacing/>
        <w:jc w:val="both"/>
        <w:rPr>
          <w:rFonts w:ascii="Book Antiqua" w:hAnsi="Book Antiqua"/>
          <w:sz w:val="24"/>
          <w:szCs w:val="24"/>
          <w:lang w:val="es-ES_tradnl"/>
        </w:rPr>
      </w:pPr>
    </w:p>
    <w:p w14:paraId="4D7F3316" w14:textId="7676EA6B" w:rsidR="00BA69B9" w:rsidRPr="007C7154" w:rsidRDefault="007C7154" w:rsidP="007C7154">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Lo anteriormente expuesto, claramente es indicativo de la necesidad de establecer mediante legislación, la obligatoriedad que los funcionarios de la rama judicial reciban un adiestramiento específico en temas de violencia doméstica.  Si bien es cierto que la Rama Judicial ha realizado talleres dirigidos al tema, no es menos cierto que ello, al ser una determinación estrictamente administrativa, está a la merced de la visión del Juez Presidente o de los directivos de turno.  Entendemos que un tema de tanta importancia y </w:t>
      </w:r>
      <w:r w:rsidR="00455D3A">
        <w:rPr>
          <w:rFonts w:ascii="Book Antiqua" w:hAnsi="Book Antiqua"/>
          <w:sz w:val="24"/>
          <w:szCs w:val="24"/>
          <w:lang w:val="es-ES_tradnl"/>
        </w:rPr>
        <w:t>relevancia</w:t>
      </w:r>
      <w:r>
        <w:rPr>
          <w:rFonts w:ascii="Book Antiqua" w:hAnsi="Book Antiqua"/>
          <w:sz w:val="24"/>
          <w:szCs w:val="24"/>
          <w:lang w:val="es-ES_tradnl"/>
        </w:rPr>
        <w:t xml:space="preserve"> debe tener un mandato expreso de la Asamblea Legislativa para que no quepa duda </w:t>
      </w:r>
      <w:r w:rsidR="00455D3A">
        <w:rPr>
          <w:rFonts w:ascii="Book Antiqua" w:hAnsi="Book Antiqua"/>
          <w:sz w:val="24"/>
          <w:szCs w:val="24"/>
          <w:lang w:val="es-ES_tradnl"/>
        </w:rPr>
        <w:t>de que</w:t>
      </w:r>
      <w:r>
        <w:rPr>
          <w:rFonts w:ascii="Book Antiqua" w:hAnsi="Book Antiqua"/>
          <w:sz w:val="24"/>
          <w:szCs w:val="24"/>
          <w:lang w:val="es-ES_tradnl"/>
        </w:rPr>
        <w:t xml:space="preserve"> es una prioridad en la política pública del país.  </w:t>
      </w:r>
      <w:r w:rsidR="00BA69B9" w:rsidRPr="000B77F1">
        <w:rPr>
          <w:rFonts w:ascii="Book Antiqua" w:eastAsia="Times New Roman" w:hAnsi="Book Antiqua" w:cs="Arial"/>
          <w:sz w:val="24"/>
          <w:szCs w:val="24"/>
          <w:lang w:val="es-ES_tradnl"/>
        </w:rPr>
        <w:t xml:space="preserve">Es nuestra responsabilidad continuar velando por el bienestar, seguridad y protección de las víctimas de violencia doméstica. </w:t>
      </w:r>
    </w:p>
    <w:p w14:paraId="2489D37E" w14:textId="77777777" w:rsidR="003D1C28" w:rsidRPr="000E6188"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t>DECRÉTASE POR LA ASAMBLEA LEGISLATIVA DE PUERTO RICO:</w:t>
      </w:r>
    </w:p>
    <w:p w14:paraId="05CA7C7C" w14:textId="77777777" w:rsidR="00925C31" w:rsidRDefault="00E94AAE" w:rsidP="006D12E7">
      <w:pPr>
        <w:spacing w:after="0" w:line="480" w:lineRule="auto"/>
        <w:ind w:firstLine="360"/>
        <w:contextualSpacing/>
        <w:jc w:val="both"/>
        <w:rPr>
          <w:rFonts w:ascii="Book Antiqua" w:eastAsia="Book Antiqua" w:hAnsi="Book Antiqua" w:cs="Book Antiqua"/>
          <w:sz w:val="24"/>
          <w:szCs w:val="24"/>
          <w:lang w:val="es-PR"/>
        </w:rPr>
      </w:pPr>
      <w:r w:rsidRPr="000E6188">
        <w:rPr>
          <w:rFonts w:ascii="Book Antiqua" w:eastAsia="Book Antiqua" w:hAnsi="Book Antiqua" w:cs="Book Antiqua"/>
          <w:sz w:val="24"/>
          <w:szCs w:val="24"/>
          <w:lang w:val="es-PR"/>
        </w:rPr>
        <w:t>Sección</w:t>
      </w:r>
      <w:r w:rsidR="008000CF" w:rsidRPr="000E6188">
        <w:rPr>
          <w:rFonts w:ascii="Book Antiqua" w:eastAsia="Book Antiqua" w:hAnsi="Book Antiqua" w:cs="Book Antiqua"/>
          <w:sz w:val="24"/>
          <w:szCs w:val="24"/>
          <w:lang w:val="es-PR"/>
        </w:rPr>
        <w:t xml:space="preserve"> 1- </w:t>
      </w:r>
      <w:r w:rsidR="00925C31" w:rsidRPr="000E6188">
        <w:rPr>
          <w:rFonts w:ascii="Book Antiqua" w:hAnsi="Book Antiqua"/>
          <w:sz w:val="24"/>
          <w:szCs w:val="24"/>
          <w:lang w:val="es-PR"/>
        </w:rPr>
        <w:t xml:space="preserve">Se enmienda </w:t>
      </w:r>
      <w:r w:rsidR="00925C31" w:rsidRPr="000E6188">
        <w:rPr>
          <w:rFonts w:ascii="Book Antiqua" w:hAnsi="Book Antiqua"/>
          <w:sz w:val="24"/>
          <w:szCs w:val="24"/>
          <w:lang w:val="es-ES_tradnl"/>
        </w:rPr>
        <w:t xml:space="preserve">el Artículo </w:t>
      </w:r>
      <w:r w:rsidR="000655A1">
        <w:rPr>
          <w:rFonts w:ascii="Book Antiqua" w:hAnsi="Book Antiqua"/>
          <w:sz w:val="24"/>
          <w:szCs w:val="24"/>
          <w:lang w:val="es-ES_tradnl"/>
        </w:rPr>
        <w:t xml:space="preserve">2.006 de la Ley 201-2003, según enmendada, para </w:t>
      </w:r>
      <w:r w:rsidR="00925C31" w:rsidRPr="000E6188">
        <w:rPr>
          <w:rFonts w:ascii="Book Antiqua" w:hAnsi="Book Antiqua"/>
          <w:sz w:val="24"/>
          <w:szCs w:val="24"/>
          <w:lang w:val="es-ES_tradnl"/>
        </w:rPr>
        <w:t>que lea como sigue</w:t>
      </w:r>
      <w:r w:rsidR="00925C31">
        <w:rPr>
          <w:lang w:val="es-ES_tradnl"/>
        </w:rPr>
        <w:t>:</w:t>
      </w:r>
    </w:p>
    <w:p w14:paraId="44164876" w14:textId="77777777" w:rsidR="00925C31" w:rsidRPr="00925C31" w:rsidRDefault="00036AD6" w:rsidP="00925C31">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r w:rsidR="00E112BB" w:rsidRPr="00925C31">
        <w:rPr>
          <w:rFonts w:ascii="Book Antiqua" w:eastAsia="Book Antiqua" w:hAnsi="Book Antiqua" w:cs="Book Antiqua"/>
          <w:sz w:val="24"/>
          <w:szCs w:val="24"/>
          <w:lang w:val="es-PR"/>
        </w:rPr>
        <w:t xml:space="preserve">Artículo </w:t>
      </w:r>
      <w:r w:rsidR="000655A1">
        <w:rPr>
          <w:rFonts w:ascii="Book Antiqua" w:eastAsia="Book Antiqua" w:hAnsi="Book Antiqua" w:cs="Book Antiqua"/>
          <w:sz w:val="24"/>
          <w:szCs w:val="24"/>
          <w:lang w:val="es-PR"/>
        </w:rPr>
        <w:t>2.006</w:t>
      </w:r>
      <w:r w:rsidR="00925C31" w:rsidRPr="00925C31">
        <w:rPr>
          <w:rFonts w:ascii="Book Antiqua" w:eastAsia="Book Antiqua" w:hAnsi="Book Antiqua" w:cs="Book Antiqua"/>
          <w:sz w:val="24"/>
          <w:szCs w:val="24"/>
          <w:lang w:val="es-PR"/>
        </w:rPr>
        <w:t xml:space="preserve"> — </w:t>
      </w:r>
      <w:r w:rsidR="000655A1">
        <w:rPr>
          <w:rFonts w:ascii="Book Antiqua" w:eastAsia="Book Antiqua" w:hAnsi="Book Antiqua" w:cs="Book Antiqua"/>
          <w:sz w:val="24"/>
          <w:szCs w:val="24"/>
          <w:lang w:val="es-PR"/>
        </w:rPr>
        <w:t>Educación judicial</w:t>
      </w:r>
      <w:r w:rsidR="00925C31" w:rsidRPr="00925C31">
        <w:rPr>
          <w:rFonts w:ascii="Book Antiqua" w:eastAsia="Book Antiqua" w:hAnsi="Book Antiqua" w:cs="Book Antiqua"/>
          <w:sz w:val="24"/>
          <w:szCs w:val="24"/>
          <w:lang w:val="es-PR"/>
        </w:rPr>
        <w:t xml:space="preserve">.  </w:t>
      </w:r>
    </w:p>
    <w:p w14:paraId="65EF0CDC" w14:textId="77777777" w:rsidR="005E2D27" w:rsidRDefault="000655A1" w:rsidP="00925C31">
      <w:pPr>
        <w:spacing w:after="0" w:line="480" w:lineRule="auto"/>
        <w:ind w:firstLine="360"/>
        <w:contextualSpacing/>
        <w:jc w:val="both"/>
        <w:rPr>
          <w:rFonts w:ascii="Book Antiqua" w:eastAsia="Book Antiqua" w:hAnsi="Book Antiqua" w:cs="Book Antiqua"/>
          <w:i/>
          <w:sz w:val="24"/>
          <w:szCs w:val="24"/>
          <w:lang w:val="es-PR"/>
        </w:rPr>
      </w:pPr>
      <w:r w:rsidRPr="000655A1">
        <w:rPr>
          <w:rFonts w:ascii="Book Antiqua" w:hAnsi="Book Antiqua"/>
          <w:sz w:val="24"/>
          <w:szCs w:val="24"/>
          <w:lang w:val="es-ES_tradnl"/>
        </w:rPr>
        <w:t xml:space="preserve">El Juez Presidente del Tribunal Supremo establecerá un sistema de educación judicial con el objetivo de promover el mejoramiento profesional e intelectual y el desarrollo de aptitudes de los jueces del Tribunal de Primera Instancia y del Tribunal de Apelaciones como funcionarios sensibles, justos, eficientes y efectivos en la administración de la justicia. </w:t>
      </w:r>
      <w:r w:rsidR="000B1EBF">
        <w:rPr>
          <w:rFonts w:ascii="Book Antiqua" w:hAnsi="Book Antiqua"/>
          <w:sz w:val="24"/>
          <w:szCs w:val="24"/>
          <w:lang w:val="es-ES_tradnl"/>
        </w:rPr>
        <w:t xml:space="preserve"> </w:t>
      </w:r>
      <w:r w:rsidRPr="000655A1">
        <w:rPr>
          <w:rFonts w:ascii="Book Antiqua" w:hAnsi="Book Antiqua"/>
          <w:sz w:val="24"/>
          <w:szCs w:val="24"/>
          <w:lang w:val="es-ES_tradnl"/>
        </w:rPr>
        <w:t xml:space="preserve">Entre otros, dicho sistema implantará programas educativos periódicos para jueces de nuevo nombramiento, así como programas dirigidos a atender las necesidades de educación jurídica continua compulsoria de todos los jueces. </w:t>
      </w:r>
      <w:r w:rsidR="000B1EBF">
        <w:rPr>
          <w:rFonts w:ascii="Book Antiqua" w:hAnsi="Book Antiqua"/>
          <w:sz w:val="24"/>
          <w:szCs w:val="24"/>
          <w:lang w:val="es-ES_tradnl"/>
        </w:rPr>
        <w:t xml:space="preserve"> </w:t>
      </w:r>
      <w:r w:rsidRPr="000655A1">
        <w:rPr>
          <w:rFonts w:ascii="Book Antiqua" w:hAnsi="Book Antiqua"/>
          <w:sz w:val="24"/>
          <w:szCs w:val="24"/>
          <w:lang w:val="es-ES_tradnl"/>
        </w:rPr>
        <w:t xml:space="preserve">Disponiéndose, que como parte inherente del referido sistema de educación judicial, a los jueces del Tribunal de Primera Instancia y del Tribunal de Apelaciones se les requerirá que cada dos años </w:t>
      </w:r>
      <w:r w:rsidRPr="000655A1">
        <w:rPr>
          <w:rFonts w:ascii="Book Antiqua" w:hAnsi="Book Antiqua"/>
          <w:sz w:val="24"/>
          <w:szCs w:val="24"/>
          <w:lang w:val="es-ES_tradnl"/>
        </w:rPr>
        <w:lastRenderedPageBreak/>
        <w:t xml:space="preserve">tomen adiestramiento sobre los temas de maltrato y protección de menores y sobre los cambios en políticas y procedimientos relacionados a la </w:t>
      </w:r>
      <w:r w:rsidR="004079C2" w:rsidRPr="004079C2">
        <w:rPr>
          <w:rFonts w:ascii="Book Antiqua" w:hAnsi="Book Antiqua"/>
          <w:b/>
          <w:bCs/>
          <w:sz w:val="24"/>
          <w:szCs w:val="24"/>
          <w:lang w:val="es-ES_tradnl"/>
        </w:rPr>
        <w:t>[</w:t>
      </w:r>
      <w:r w:rsidRPr="004079C2">
        <w:rPr>
          <w:rFonts w:ascii="Book Antiqua" w:hAnsi="Book Antiqua"/>
          <w:b/>
          <w:bCs/>
          <w:sz w:val="24"/>
          <w:szCs w:val="24"/>
          <w:lang w:val="es-ES_tradnl"/>
        </w:rPr>
        <w:t>“Ley para la Seguridad, Bienestar y Protección de Menores”</w:t>
      </w:r>
      <w:r w:rsidR="004079C2">
        <w:rPr>
          <w:rFonts w:ascii="Book Antiqua" w:hAnsi="Book Antiqua"/>
          <w:b/>
          <w:bCs/>
          <w:sz w:val="24"/>
          <w:szCs w:val="24"/>
          <w:lang w:val="es-ES_tradnl"/>
        </w:rPr>
        <w:t>]</w:t>
      </w:r>
      <w:r w:rsidR="004079C2">
        <w:rPr>
          <w:rFonts w:ascii="Book Antiqua" w:hAnsi="Book Antiqua"/>
          <w:sz w:val="24"/>
          <w:szCs w:val="24"/>
          <w:lang w:val="es-ES_tradnl"/>
        </w:rPr>
        <w:t xml:space="preserve"> </w:t>
      </w:r>
      <w:r w:rsidR="004079C2" w:rsidRPr="004079C2">
        <w:rPr>
          <w:rFonts w:ascii="Book Antiqua" w:hAnsi="Book Antiqua"/>
          <w:i/>
          <w:iCs/>
          <w:sz w:val="24"/>
          <w:szCs w:val="24"/>
          <w:lang w:val="es-ES_tradnl"/>
        </w:rPr>
        <w:t>“Ley para la Prevención del Maltrato, Preservación de la Unidad Familiar y para la Seguridad, Bienestar y Protección de los Menores”</w:t>
      </w:r>
      <w:r w:rsidRPr="000655A1">
        <w:rPr>
          <w:rFonts w:ascii="Book Antiqua" w:hAnsi="Book Antiqua"/>
          <w:sz w:val="24"/>
          <w:szCs w:val="24"/>
          <w:lang w:val="es-ES_tradnl"/>
        </w:rPr>
        <w:t>.</w:t>
      </w:r>
      <w:r w:rsidR="00925C31" w:rsidRPr="000655A1">
        <w:rPr>
          <w:rFonts w:ascii="Book Antiqua" w:eastAsia="Book Antiqua" w:hAnsi="Book Antiqua" w:cs="Book Antiqua"/>
          <w:sz w:val="24"/>
          <w:szCs w:val="24"/>
          <w:lang w:val="es-PR"/>
        </w:rPr>
        <w:t xml:space="preserve"> </w:t>
      </w:r>
      <w:r w:rsidR="0097795E">
        <w:rPr>
          <w:rFonts w:ascii="Book Antiqua" w:eastAsia="Book Antiqua" w:hAnsi="Book Antiqua" w:cs="Book Antiqua"/>
          <w:sz w:val="24"/>
          <w:szCs w:val="24"/>
          <w:lang w:val="es-PR"/>
        </w:rPr>
        <w:t xml:space="preserve"> </w:t>
      </w:r>
      <w:r w:rsidR="0097795E" w:rsidRPr="0097795E">
        <w:rPr>
          <w:rFonts w:ascii="Book Antiqua" w:eastAsia="Book Antiqua" w:hAnsi="Book Antiqua" w:cs="Book Antiqua"/>
          <w:i/>
          <w:sz w:val="24"/>
          <w:szCs w:val="24"/>
          <w:lang w:val="es-PR"/>
        </w:rPr>
        <w:t xml:space="preserve">Se les requerirá, además, </w:t>
      </w:r>
      <w:r w:rsidR="0097795E">
        <w:rPr>
          <w:rFonts w:ascii="Book Antiqua" w:eastAsia="Book Antiqua" w:hAnsi="Book Antiqua" w:cs="Book Antiqua"/>
          <w:i/>
          <w:sz w:val="24"/>
          <w:szCs w:val="24"/>
          <w:lang w:val="es-PR"/>
        </w:rPr>
        <w:t xml:space="preserve">que anualmente tomen adiestramientos sobre temas de violencia </w:t>
      </w:r>
      <w:r w:rsidR="00881134">
        <w:rPr>
          <w:rFonts w:ascii="Book Antiqua" w:eastAsia="Book Antiqua" w:hAnsi="Book Antiqua" w:cs="Book Antiqua"/>
          <w:i/>
          <w:sz w:val="24"/>
          <w:szCs w:val="24"/>
          <w:lang w:val="es-PR"/>
        </w:rPr>
        <w:t>doméstica</w:t>
      </w:r>
      <w:r w:rsidR="0097795E">
        <w:rPr>
          <w:rFonts w:ascii="Book Antiqua" w:eastAsia="Book Antiqua" w:hAnsi="Book Antiqua" w:cs="Book Antiqua"/>
          <w:i/>
          <w:sz w:val="24"/>
          <w:szCs w:val="24"/>
          <w:lang w:val="es-PR"/>
        </w:rPr>
        <w:t xml:space="preserve">, cambios en las políticas públicas y en los procedimientos </w:t>
      </w:r>
      <w:r w:rsidR="0097795E" w:rsidRPr="0013735C">
        <w:rPr>
          <w:rFonts w:ascii="Book Antiqua" w:eastAsia="Book Antiqua" w:hAnsi="Book Antiqua" w:cs="Book Antiqua"/>
          <w:i/>
          <w:sz w:val="24"/>
          <w:szCs w:val="24"/>
          <w:lang w:val="es-PR"/>
        </w:rPr>
        <w:t>relacionados, en coordinación con la Oficina de la Procuradora de las Mujeres.</w:t>
      </w:r>
      <w:r w:rsidR="00A0527A" w:rsidRPr="0013735C">
        <w:rPr>
          <w:rFonts w:ascii="Book Antiqua" w:eastAsia="Book Antiqua" w:hAnsi="Book Antiqua" w:cs="Book Antiqua"/>
          <w:i/>
          <w:sz w:val="24"/>
          <w:szCs w:val="24"/>
          <w:lang w:val="es-PR"/>
        </w:rPr>
        <w:t xml:space="preserve"> </w:t>
      </w:r>
      <w:r w:rsidR="000B1EBF" w:rsidRPr="0013735C">
        <w:rPr>
          <w:rFonts w:ascii="Book Antiqua" w:eastAsia="Book Antiqua" w:hAnsi="Book Antiqua" w:cs="Book Antiqua"/>
          <w:i/>
          <w:sz w:val="24"/>
          <w:szCs w:val="24"/>
          <w:lang w:val="es-PR"/>
        </w:rPr>
        <w:t xml:space="preserve"> </w:t>
      </w:r>
      <w:r w:rsidR="00A0527A" w:rsidRPr="0013735C">
        <w:rPr>
          <w:rFonts w:ascii="Book Antiqua" w:eastAsia="Book Antiqua" w:hAnsi="Book Antiqua" w:cs="Book Antiqua"/>
          <w:i/>
          <w:sz w:val="24"/>
          <w:szCs w:val="24"/>
          <w:lang w:val="es-PR"/>
        </w:rPr>
        <w:t xml:space="preserve">Como parte de los </w:t>
      </w:r>
      <w:r w:rsidR="00A0527A">
        <w:rPr>
          <w:rFonts w:ascii="Book Antiqua" w:eastAsia="Book Antiqua" w:hAnsi="Book Antiqua" w:cs="Book Antiqua"/>
          <w:i/>
          <w:sz w:val="24"/>
          <w:szCs w:val="24"/>
          <w:lang w:val="es-PR"/>
        </w:rPr>
        <w:t xml:space="preserve">adiestramientos relacionados con los temas de maltrato y protección de menores, así como de violencia de </w:t>
      </w:r>
      <w:r w:rsidR="0013735C">
        <w:rPr>
          <w:rFonts w:ascii="Book Antiqua" w:eastAsia="Book Antiqua" w:hAnsi="Book Antiqua" w:cs="Book Antiqua"/>
          <w:i/>
          <w:sz w:val="24"/>
          <w:szCs w:val="24"/>
          <w:lang w:val="es-PR"/>
        </w:rPr>
        <w:t>doméstica</w:t>
      </w:r>
      <w:r w:rsidR="00A0527A">
        <w:rPr>
          <w:rFonts w:ascii="Book Antiqua" w:eastAsia="Book Antiqua" w:hAnsi="Book Antiqua" w:cs="Book Antiqua"/>
          <w:i/>
          <w:sz w:val="24"/>
          <w:szCs w:val="24"/>
          <w:lang w:val="es-PR"/>
        </w:rPr>
        <w:t xml:space="preserve">, incluirá, pero sin limitarse, talleres sobre trauma, sensibilización hacia la situación de las víctimas y cómo evitar la </w:t>
      </w:r>
      <w:r w:rsidR="00455D3A">
        <w:rPr>
          <w:rFonts w:ascii="Book Antiqua" w:eastAsia="Book Antiqua" w:hAnsi="Book Antiqua" w:cs="Book Antiqua"/>
          <w:i/>
          <w:sz w:val="24"/>
          <w:szCs w:val="24"/>
          <w:lang w:val="es-PR"/>
        </w:rPr>
        <w:t>revictimización</w:t>
      </w:r>
      <w:r w:rsidR="00A0527A">
        <w:rPr>
          <w:rFonts w:ascii="Book Antiqua" w:eastAsia="Book Antiqua" w:hAnsi="Book Antiqua" w:cs="Book Antiqua"/>
          <w:i/>
          <w:sz w:val="24"/>
          <w:szCs w:val="24"/>
          <w:lang w:val="es-PR"/>
        </w:rPr>
        <w:t xml:space="preserve">. </w:t>
      </w:r>
    </w:p>
    <w:p w14:paraId="25E69F2D" w14:textId="6AEEA08A" w:rsidR="000655A1" w:rsidRPr="00965789" w:rsidRDefault="005E2D27" w:rsidP="00925C31">
      <w:pPr>
        <w:spacing w:after="0" w:line="480" w:lineRule="auto"/>
        <w:ind w:firstLine="360"/>
        <w:contextualSpacing/>
        <w:jc w:val="both"/>
        <w:rPr>
          <w:rFonts w:ascii="Book Antiqua" w:eastAsia="Book Antiqua" w:hAnsi="Book Antiqua" w:cs="Book Antiqua"/>
          <w:iCs/>
          <w:sz w:val="24"/>
          <w:szCs w:val="24"/>
          <w:lang w:val="es-PR"/>
        </w:rPr>
      </w:pPr>
      <w:r w:rsidRPr="005E2D27">
        <w:rPr>
          <w:rFonts w:ascii="Book Antiqua" w:eastAsia="Book Antiqua" w:hAnsi="Book Antiqua" w:cs="Book Antiqua"/>
          <w:iCs/>
          <w:sz w:val="24"/>
          <w:szCs w:val="24"/>
          <w:lang w:val="es-PR"/>
        </w:rPr>
        <w:t>A su vez, se les requerirá algún taller, módulo, o adiestramiento que incluya temas que sensibilicen el servicio hacia la comunidad de inmigrantes, dando a conocer las necesidades particulares de estas personas, los derechos humanos y civiles que les cobijan, los distintos estados migratorios que existen, las entidades del Gobierno Federal y local, así como del tercer sector, que proveen los servicios necesarios para estas personas, y las conductas de prejuicio que no se tolerarán en el servicio público</w:t>
      </w:r>
      <w:r>
        <w:rPr>
          <w:rFonts w:ascii="Book Antiqua" w:eastAsia="Book Antiqua" w:hAnsi="Book Antiqua" w:cs="Book Antiqua"/>
          <w:iCs/>
          <w:sz w:val="24"/>
          <w:szCs w:val="24"/>
          <w:lang w:val="es-PR"/>
        </w:rPr>
        <w:t>.</w:t>
      </w:r>
      <w:r w:rsidR="00965789" w:rsidRPr="00965789">
        <w:rPr>
          <w:rFonts w:ascii="Book Antiqua" w:eastAsia="Book Antiqua" w:hAnsi="Book Antiqua" w:cs="Book Antiqua"/>
          <w:iCs/>
          <w:sz w:val="24"/>
          <w:szCs w:val="24"/>
          <w:lang w:val="es-PR"/>
        </w:rPr>
        <w:t>“</w:t>
      </w:r>
    </w:p>
    <w:p w14:paraId="1B753FB1" w14:textId="77777777" w:rsidR="006E269D" w:rsidRPr="005E2D27" w:rsidRDefault="00646993" w:rsidP="007329AA">
      <w:pPr>
        <w:spacing w:line="480" w:lineRule="auto"/>
        <w:ind w:firstLine="360"/>
        <w:contextualSpacing/>
        <w:jc w:val="both"/>
        <w:rPr>
          <w:rFonts w:ascii="Book Antiqua" w:hAnsi="Book Antiqua"/>
          <w:sz w:val="24"/>
          <w:szCs w:val="24"/>
          <w:lang w:val="es-ES_tradnl"/>
        </w:rPr>
      </w:pPr>
      <w:r w:rsidRPr="005E2D27">
        <w:rPr>
          <w:rFonts w:ascii="Book Antiqua" w:hAnsi="Book Antiqua"/>
          <w:sz w:val="24"/>
          <w:szCs w:val="24"/>
          <w:lang w:val="es-PR" w:eastAsia="es-PR"/>
        </w:rPr>
        <w:t xml:space="preserve">Sección </w:t>
      </w:r>
      <w:r w:rsidR="006E269D" w:rsidRPr="005E2D27">
        <w:rPr>
          <w:rFonts w:ascii="Book Antiqua" w:hAnsi="Book Antiqua"/>
          <w:sz w:val="24"/>
          <w:szCs w:val="24"/>
          <w:lang w:val="es-PR" w:eastAsia="es-PR"/>
        </w:rPr>
        <w:t>2</w:t>
      </w:r>
      <w:r w:rsidR="007329AA" w:rsidRPr="005E2D27">
        <w:rPr>
          <w:rFonts w:ascii="Book Antiqua" w:hAnsi="Book Antiqua"/>
          <w:sz w:val="24"/>
          <w:szCs w:val="24"/>
          <w:lang w:val="es-PR" w:eastAsia="es-PR"/>
        </w:rPr>
        <w:t>.-</w:t>
      </w:r>
      <w:r w:rsidR="006E269D" w:rsidRPr="005E2D27">
        <w:rPr>
          <w:rFonts w:ascii="Book Antiqua" w:hAnsi="Book Antiqua"/>
          <w:sz w:val="24"/>
          <w:szCs w:val="24"/>
          <w:lang w:val="es-PR" w:eastAsia="es-PR"/>
        </w:rPr>
        <w:t xml:space="preserve"> </w:t>
      </w:r>
      <w:r w:rsidR="006E269D" w:rsidRPr="005E2D27">
        <w:rPr>
          <w:rFonts w:ascii="Book Antiqua" w:hAnsi="Book Antiqua"/>
          <w:sz w:val="24"/>
          <w:szCs w:val="24"/>
          <w:lang w:val="es-ES"/>
        </w:rPr>
        <w:t xml:space="preserve">Se autoriza a la </w:t>
      </w:r>
      <w:r w:rsidR="006E269D" w:rsidRPr="005E2D27">
        <w:rPr>
          <w:rFonts w:ascii="Book Antiqua" w:hAnsi="Book Antiqua"/>
          <w:sz w:val="24"/>
          <w:szCs w:val="24"/>
          <w:lang w:val="es-PR"/>
        </w:rPr>
        <w:t>Oficina de Administración de los Tribunales</w:t>
      </w:r>
      <w:r w:rsidR="006E269D" w:rsidRPr="005E2D27">
        <w:rPr>
          <w:rFonts w:ascii="Book Antiqua" w:hAnsi="Book Antiqua"/>
          <w:sz w:val="24"/>
          <w:szCs w:val="24"/>
          <w:lang w:val="es-ES_tradnl"/>
        </w:rPr>
        <w:t xml:space="preserve"> entrar en acuerdos colaborativos con el Departamento de Justicia o con cualquier otra entidad que entienda pertinente para dar efectiva consecución a lo dispuesto en esta Ley.</w:t>
      </w:r>
    </w:p>
    <w:p w14:paraId="5DD35312" w14:textId="77777777" w:rsidR="00A03CC5" w:rsidRDefault="005F2882" w:rsidP="00A03CC5">
      <w:pPr>
        <w:spacing w:line="480" w:lineRule="auto"/>
        <w:ind w:firstLine="360"/>
        <w:contextualSpacing/>
        <w:jc w:val="both"/>
        <w:rPr>
          <w:rFonts w:ascii="Book Antiqua" w:hAnsi="Book Antiqua"/>
          <w:sz w:val="24"/>
          <w:szCs w:val="24"/>
          <w:lang w:val="es-PR" w:eastAsia="es-PR"/>
        </w:rPr>
      </w:pPr>
      <w:r>
        <w:rPr>
          <w:rFonts w:ascii="Book Antiqua" w:hAnsi="Book Antiqua"/>
          <w:lang w:val="es-ES_tradnl"/>
        </w:rPr>
        <w:t xml:space="preserve">Sección 3.- </w:t>
      </w:r>
      <w:r w:rsidRPr="000E6188">
        <w:rPr>
          <w:rFonts w:ascii="Book Antiqua" w:hAnsi="Book Antiqua"/>
          <w:sz w:val="24"/>
          <w:szCs w:val="24"/>
          <w:lang w:val="es-PR" w:eastAsia="es-PR"/>
        </w:rPr>
        <w:t xml:space="preserve">Por la presente se deroga cualquier ley, o parte de ley, que sea incompatible con ésta. </w:t>
      </w:r>
    </w:p>
    <w:p w14:paraId="6B29C7B0" w14:textId="2B8D1109" w:rsidR="005F2882" w:rsidRPr="000E6188" w:rsidRDefault="005F2882" w:rsidP="00A03CC5">
      <w:pPr>
        <w:spacing w:line="480" w:lineRule="auto"/>
        <w:ind w:firstLine="360"/>
        <w:contextualSpacing/>
        <w:jc w:val="both"/>
        <w:rPr>
          <w:rFonts w:ascii="Book Antiqua" w:hAnsi="Book Antiqua"/>
          <w:sz w:val="24"/>
          <w:szCs w:val="24"/>
          <w:lang w:val="es-PR" w:eastAsia="es-PR"/>
        </w:rPr>
      </w:pPr>
      <w:r w:rsidRPr="000E6188">
        <w:rPr>
          <w:rFonts w:ascii="Book Antiqua" w:hAnsi="Book Antiqua"/>
          <w:sz w:val="24"/>
          <w:szCs w:val="24"/>
          <w:lang w:val="es-PR" w:eastAsia="es-PR"/>
        </w:rPr>
        <w:lastRenderedPageBreak/>
        <w:t xml:space="preserve">Sección </w:t>
      </w:r>
      <w:r>
        <w:rPr>
          <w:rFonts w:ascii="Book Antiqua" w:hAnsi="Book Antiqua"/>
          <w:sz w:val="24"/>
          <w:szCs w:val="24"/>
          <w:lang w:val="es-PR" w:eastAsia="es-PR"/>
        </w:rPr>
        <w:t>4</w:t>
      </w:r>
      <w:r w:rsidRPr="000E6188">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3CDE8946" w14:textId="77777777" w:rsidR="005F2882" w:rsidRPr="000E6188" w:rsidRDefault="005F2882" w:rsidP="005F2882">
      <w:pPr>
        <w:spacing w:line="480" w:lineRule="auto"/>
        <w:ind w:firstLine="360"/>
        <w:contextualSpacing/>
        <w:jc w:val="both"/>
        <w:rPr>
          <w:rFonts w:ascii="Book Antiqua" w:hAnsi="Book Antiqua"/>
          <w:sz w:val="24"/>
          <w:szCs w:val="24"/>
          <w:lang w:val="es-PR" w:eastAsia="es-PR"/>
        </w:rPr>
      </w:pPr>
      <w:r w:rsidRPr="000E6188">
        <w:rPr>
          <w:rFonts w:ascii="Book Antiqua" w:hAnsi="Book Antiqua"/>
          <w:sz w:val="24"/>
          <w:szCs w:val="24"/>
          <w:lang w:val="es-PR" w:eastAsia="es-PR"/>
        </w:rPr>
        <w:t xml:space="preserve">Sección </w:t>
      </w:r>
      <w:r>
        <w:rPr>
          <w:rFonts w:ascii="Book Antiqua" w:hAnsi="Book Antiqua"/>
          <w:sz w:val="24"/>
          <w:szCs w:val="24"/>
          <w:lang w:val="es-PR" w:eastAsia="es-PR"/>
        </w:rPr>
        <w:t>5</w:t>
      </w:r>
      <w:r w:rsidRPr="000E6188">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0451048" w14:textId="77777777" w:rsidR="007329AA" w:rsidRPr="005F2882" w:rsidRDefault="005F2882" w:rsidP="005F2882">
      <w:pPr>
        <w:spacing w:line="480" w:lineRule="auto"/>
        <w:ind w:firstLine="360"/>
        <w:contextualSpacing/>
        <w:jc w:val="both"/>
        <w:rPr>
          <w:rFonts w:ascii="Book Antiqua" w:hAnsi="Book Antiqua"/>
          <w:sz w:val="24"/>
          <w:szCs w:val="24"/>
          <w:lang w:val="es-PR" w:eastAsia="es-PR"/>
        </w:rPr>
      </w:pPr>
      <w:r w:rsidRPr="000E6188">
        <w:rPr>
          <w:rFonts w:ascii="Book Antiqua" w:hAnsi="Book Antiqua"/>
          <w:sz w:val="24"/>
          <w:szCs w:val="24"/>
          <w:lang w:val="es-PR" w:eastAsia="es-PR"/>
        </w:rPr>
        <w:t xml:space="preserve">Sección </w:t>
      </w:r>
      <w:r>
        <w:rPr>
          <w:rFonts w:ascii="Book Antiqua" w:hAnsi="Book Antiqua"/>
          <w:sz w:val="24"/>
          <w:szCs w:val="24"/>
          <w:lang w:val="es-PR" w:eastAsia="es-PR"/>
        </w:rPr>
        <w:t>6</w:t>
      </w:r>
      <w:r w:rsidR="00FA1B58">
        <w:rPr>
          <w:rFonts w:ascii="Book Antiqua" w:hAnsi="Book Antiqua"/>
          <w:sz w:val="24"/>
          <w:szCs w:val="24"/>
          <w:lang w:val="es-PR" w:eastAsia="es-PR"/>
        </w:rPr>
        <w:t>1</w:t>
      </w:r>
      <w:r w:rsidRPr="000E6188">
        <w:rPr>
          <w:rFonts w:ascii="Book Antiqua" w:hAnsi="Book Antiqua"/>
          <w:sz w:val="24"/>
          <w:szCs w:val="24"/>
          <w:lang w:val="es-PR" w:eastAsia="es-PR"/>
        </w:rPr>
        <w:t>.-</w:t>
      </w:r>
      <w:r>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Esta Ley entrará en vigor inmediatamente después de su aprobación.</w:t>
      </w:r>
    </w:p>
    <w:sectPr w:rsidR="007329AA" w:rsidRPr="005F2882"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7C00B" w14:textId="77777777" w:rsidR="00A269FC" w:rsidRDefault="00A269FC" w:rsidP="00316E72">
      <w:pPr>
        <w:spacing w:after="0" w:line="240" w:lineRule="auto"/>
      </w:pPr>
      <w:r>
        <w:separator/>
      </w:r>
    </w:p>
  </w:endnote>
  <w:endnote w:type="continuationSeparator" w:id="0">
    <w:p w14:paraId="1B03D7F3" w14:textId="77777777" w:rsidR="00A269FC" w:rsidRDefault="00A269F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4172" w14:textId="77777777" w:rsidR="00A269FC" w:rsidRDefault="00A269FC" w:rsidP="00316E72">
      <w:pPr>
        <w:spacing w:after="0" w:line="240" w:lineRule="auto"/>
      </w:pPr>
      <w:r>
        <w:separator/>
      </w:r>
    </w:p>
  </w:footnote>
  <w:footnote w:type="continuationSeparator" w:id="0">
    <w:p w14:paraId="2F42D605" w14:textId="77777777" w:rsidR="00A269FC" w:rsidRDefault="00A269FC" w:rsidP="00316E72">
      <w:pPr>
        <w:spacing w:after="0" w:line="240" w:lineRule="auto"/>
      </w:pPr>
      <w:r>
        <w:continuationSeparator/>
      </w:r>
    </w:p>
  </w:footnote>
  <w:footnote w:id="1">
    <w:p w14:paraId="5EB56A6A" w14:textId="77777777" w:rsidR="00D23423" w:rsidRPr="001D49E9" w:rsidRDefault="00D23423" w:rsidP="007F021A">
      <w:pPr>
        <w:pStyle w:val="FootnoteText"/>
        <w:jc w:val="both"/>
        <w:rPr>
          <w:rFonts w:ascii="Book Antiqua" w:hAnsi="Book Antiqua"/>
          <w:lang w:val="es-ES_tradnl"/>
        </w:rPr>
      </w:pPr>
      <w:r>
        <w:rPr>
          <w:rStyle w:val="FootnoteReference"/>
        </w:rPr>
        <w:footnoteRef/>
      </w:r>
      <w:r w:rsidRPr="00D23423">
        <w:rPr>
          <w:lang w:val="es-ES_tradnl"/>
        </w:rPr>
        <w:t xml:space="preserve"> </w:t>
      </w:r>
      <w:r w:rsidR="001D49E9" w:rsidRPr="00524789">
        <w:rPr>
          <w:rFonts w:ascii="Book Antiqua" w:hAnsi="Book Antiqua"/>
          <w:lang w:val="es-ES_tradnl"/>
        </w:rPr>
        <w:t xml:space="preserve">Torres Gotay, B. (2021, Agosto 21). </w:t>
      </w:r>
      <w:r w:rsidRPr="00524789">
        <w:rPr>
          <w:rFonts w:ascii="Book Antiqua" w:hAnsi="Book Antiqua"/>
          <w:lang w:val="es-ES_tradnl"/>
        </w:rPr>
        <w:t>“</w:t>
      </w:r>
      <w:r w:rsidRPr="00524789">
        <w:rPr>
          <w:rFonts w:ascii="Book Antiqua" w:hAnsi="Book Antiqua"/>
          <w:bCs/>
          <w:color w:val="1B1B1B"/>
          <w:lang w:val="es-ES_tradnl"/>
        </w:rPr>
        <w:t xml:space="preserve">El Poder Judicial revela una serie de estrategias para fortalecer la </w:t>
      </w:r>
      <w:r w:rsidRPr="00524789">
        <w:rPr>
          <w:rFonts w:ascii="Book Antiqua" w:hAnsi="Book Antiqua"/>
          <w:bCs/>
          <w:lang w:val="es-ES_tradnl"/>
        </w:rPr>
        <w:t>respuesta a casos de violencia de género”,</w:t>
      </w:r>
      <w:r w:rsidR="001D49E9" w:rsidRPr="00524789">
        <w:rPr>
          <w:rFonts w:ascii="Book Antiqua" w:hAnsi="Book Antiqua"/>
          <w:bCs/>
          <w:lang w:val="es-ES_tradnl"/>
        </w:rPr>
        <w:t xml:space="preserve"> </w:t>
      </w:r>
      <w:r w:rsidR="001D49E9" w:rsidRPr="00524789">
        <w:rPr>
          <w:rFonts w:ascii="Book Antiqua" w:hAnsi="Book Antiqua"/>
          <w:bCs/>
          <w:i/>
          <w:lang w:val="es-ES_tradnl"/>
        </w:rPr>
        <w:t>El Nuevo Día</w:t>
      </w:r>
      <w:r w:rsidR="001D49E9" w:rsidRPr="00524789">
        <w:rPr>
          <w:rFonts w:ascii="Book Antiqua" w:hAnsi="Book Antiqua"/>
          <w:bCs/>
          <w:lang w:val="es-ES_tradnl"/>
        </w:rPr>
        <w:t xml:space="preserve">. </w:t>
      </w:r>
      <w:hyperlink r:id="rId1" w:history="1">
        <w:r w:rsidR="001D49E9" w:rsidRPr="00524789">
          <w:rPr>
            <w:rStyle w:val="Hyperlink"/>
            <w:rFonts w:ascii="Book Antiqua" w:hAnsi="Book Antiqua"/>
            <w:bCs/>
            <w:color w:val="auto"/>
            <w:u w:val="none"/>
            <w:lang w:val="es-ES_tradnl"/>
          </w:rPr>
          <w:t>https://www.elnuevodia.com/noticias/</w:t>
        </w:r>
      </w:hyperlink>
      <w:r w:rsidR="001D49E9" w:rsidRPr="00524789">
        <w:rPr>
          <w:rFonts w:ascii="Book Antiqua" w:hAnsi="Book Antiqua"/>
          <w:bCs/>
          <w:lang w:val="es-ES_tradnl"/>
        </w:rPr>
        <w:t xml:space="preserve"> </w:t>
      </w:r>
      <w:r w:rsidR="001D49E9" w:rsidRPr="00524789">
        <w:rPr>
          <w:rFonts w:ascii="Book Antiqua" w:hAnsi="Book Antiqua"/>
          <w:bCs/>
          <w:color w:val="1B1B1B"/>
          <w:lang w:val="es-ES_tradnl"/>
        </w:rPr>
        <w:t>tribunales /notas/el-poder-judicial-revela-una-serie-de-estrategias-para-fortalecer-la-respuesta-a-casos-de-violencia-de-genero/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B37A41">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0"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759927">
    <w:abstractNumId w:val="4"/>
  </w:num>
  <w:num w:numId="2" w16cid:durableId="1243485038">
    <w:abstractNumId w:val="29"/>
  </w:num>
  <w:num w:numId="3" w16cid:durableId="1919485802">
    <w:abstractNumId w:val="19"/>
  </w:num>
  <w:num w:numId="4" w16cid:durableId="1070925073">
    <w:abstractNumId w:val="13"/>
  </w:num>
  <w:num w:numId="5" w16cid:durableId="1913661422">
    <w:abstractNumId w:val="26"/>
  </w:num>
  <w:num w:numId="6" w16cid:durableId="220990421">
    <w:abstractNumId w:val="18"/>
  </w:num>
  <w:num w:numId="7" w16cid:durableId="937517964">
    <w:abstractNumId w:val="8"/>
  </w:num>
  <w:num w:numId="8" w16cid:durableId="33308271">
    <w:abstractNumId w:val="3"/>
  </w:num>
  <w:num w:numId="9" w16cid:durableId="1444229278">
    <w:abstractNumId w:val="21"/>
  </w:num>
  <w:num w:numId="10" w16cid:durableId="1186018216">
    <w:abstractNumId w:val="17"/>
  </w:num>
  <w:num w:numId="11" w16cid:durableId="897471639">
    <w:abstractNumId w:val="0"/>
  </w:num>
  <w:num w:numId="12" w16cid:durableId="2104955119">
    <w:abstractNumId w:val="11"/>
  </w:num>
  <w:num w:numId="13" w16cid:durableId="1468277791">
    <w:abstractNumId w:val="22"/>
  </w:num>
  <w:num w:numId="14" w16cid:durableId="685865354">
    <w:abstractNumId w:val="12"/>
  </w:num>
  <w:num w:numId="15" w16cid:durableId="2061198202">
    <w:abstractNumId w:val="23"/>
  </w:num>
  <w:num w:numId="16" w16cid:durableId="455223519">
    <w:abstractNumId w:val="9"/>
  </w:num>
  <w:num w:numId="17" w16cid:durableId="316500601">
    <w:abstractNumId w:val="1"/>
  </w:num>
  <w:num w:numId="18" w16cid:durableId="1800151744">
    <w:abstractNumId w:val="10"/>
  </w:num>
  <w:num w:numId="19" w16cid:durableId="1632134338">
    <w:abstractNumId w:val="20"/>
  </w:num>
  <w:num w:numId="20" w16cid:durableId="972834383">
    <w:abstractNumId w:val="24"/>
  </w:num>
  <w:num w:numId="21" w16cid:durableId="1895039167">
    <w:abstractNumId w:val="15"/>
  </w:num>
  <w:num w:numId="22" w16cid:durableId="1784110223">
    <w:abstractNumId w:val="16"/>
  </w:num>
  <w:num w:numId="23" w16cid:durableId="1433743936">
    <w:abstractNumId w:val="28"/>
  </w:num>
  <w:num w:numId="24" w16cid:durableId="31075065">
    <w:abstractNumId w:val="2"/>
  </w:num>
  <w:num w:numId="25" w16cid:durableId="809173108">
    <w:abstractNumId w:val="5"/>
  </w:num>
  <w:num w:numId="26" w16cid:durableId="270823573">
    <w:abstractNumId w:val="6"/>
  </w:num>
  <w:num w:numId="27" w16cid:durableId="102577558">
    <w:abstractNumId w:val="25"/>
  </w:num>
  <w:num w:numId="28" w16cid:durableId="77866724">
    <w:abstractNumId w:val="14"/>
  </w:num>
  <w:num w:numId="29" w16cid:durableId="187185492">
    <w:abstractNumId w:val="27"/>
  </w:num>
  <w:num w:numId="30" w16cid:durableId="10890802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0503D"/>
    <w:rsid w:val="00016637"/>
    <w:rsid w:val="000177C9"/>
    <w:rsid w:val="00020AC7"/>
    <w:rsid w:val="0002125E"/>
    <w:rsid w:val="00024D75"/>
    <w:rsid w:val="00027B9F"/>
    <w:rsid w:val="00036AD6"/>
    <w:rsid w:val="00044247"/>
    <w:rsid w:val="00054757"/>
    <w:rsid w:val="00057F70"/>
    <w:rsid w:val="00061CA2"/>
    <w:rsid w:val="000655A1"/>
    <w:rsid w:val="00067EFB"/>
    <w:rsid w:val="0007292F"/>
    <w:rsid w:val="000776AD"/>
    <w:rsid w:val="0009491E"/>
    <w:rsid w:val="0009514A"/>
    <w:rsid w:val="00096B77"/>
    <w:rsid w:val="00097BBB"/>
    <w:rsid w:val="000A276C"/>
    <w:rsid w:val="000A3D82"/>
    <w:rsid w:val="000B0FB8"/>
    <w:rsid w:val="000B1EBF"/>
    <w:rsid w:val="000B2C62"/>
    <w:rsid w:val="000B77F1"/>
    <w:rsid w:val="000C10F9"/>
    <w:rsid w:val="000C3D6A"/>
    <w:rsid w:val="000C4E06"/>
    <w:rsid w:val="000C719D"/>
    <w:rsid w:val="000E6188"/>
    <w:rsid w:val="000E7507"/>
    <w:rsid w:val="000F181D"/>
    <w:rsid w:val="000F4C93"/>
    <w:rsid w:val="00105FEE"/>
    <w:rsid w:val="0011547F"/>
    <w:rsid w:val="00116216"/>
    <w:rsid w:val="001218F8"/>
    <w:rsid w:val="00121BC9"/>
    <w:rsid w:val="00121D33"/>
    <w:rsid w:val="0013735C"/>
    <w:rsid w:val="00137360"/>
    <w:rsid w:val="0013751D"/>
    <w:rsid w:val="00142FC6"/>
    <w:rsid w:val="0015538E"/>
    <w:rsid w:val="00156995"/>
    <w:rsid w:val="00162615"/>
    <w:rsid w:val="00166CC9"/>
    <w:rsid w:val="00170583"/>
    <w:rsid w:val="00177B5A"/>
    <w:rsid w:val="00183762"/>
    <w:rsid w:val="0018584C"/>
    <w:rsid w:val="00185FF3"/>
    <w:rsid w:val="00186415"/>
    <w:rsid w:val="001A1AFA"/>
    <w:rsid w:val="001A7E80"/>
    <w:rsid w:val="001B06EA"/>
    <w:rsid w:val="001B1F13"/>
    <w:rsid w:val="001B41FD"/>
    <w:rsid w:val="001B4BCB"/>
    <w:rsid w:val="001C2455"/>
    <w:rsid w:val="001C3CDE"/>
    <w:rsid w:val="001D022F"/>
    <w:rsid w:val="001D13EC"/>
    <w:rsid w:val="001D49E9"/>
    <w:rsid w:val="001D5923"/>
    <w:rsid w:val="001E178B"/>
    <w:rsid w:val="001E1BEE"/>
    <w:rsid w:val="001E32F3"/>
    <w:rsid w:val="001E6DEF"/>
    <w:rsid w:val="001F37AD"/>
    <w:rsid w:val="001F6BC5"/>
    <w:rsid w:val="00206F19"/>
    <w:rsid w:val="00215546"/>
    <w:rsid w:val="00215D4F"/>
    <w:rsid w:val="00215DA5"/>
    <w:rsid w:val="00217003"/>
    <w:rsid w:val="00223272"/>
    <w:rsid w:val="00225616"/>
    <w:rsid w:val="002277C7"/>
    <w:rsid w:val="002332B3"/>
    <w:rsid w:val="00244EEB"/>
    <w:rsid w:val="002454F5"/>
    <w:rsid w:val="0025167B"/>
    <w:rsid w:val="0025326F"/>
    <w:rsid w:val="00253975"/>
    <w:rsid w:val="00256D58"/>
    <w:rsid w:val="00263187"/>
    <w:rsid w:val="00264F63"/>
    <w:rsid w:val="00267C3F"/>
    <w:rsid w:val="00271660"/>
    <w:rsid w:val="00271803"/>
    <w:rsid w:val="00274EE0"/>
    <w:rsid w:val="00284F3F"/>
    <w:rsid w:val="00290F15"/>
    <w:rsid w:val="0029665E"/>
    <w:rsid w:val="00296CBE"/>
    <w:rsid w:val="002A0C54"/>
    <w:rsid w:val="002A1002"/>
    <w:rsid w:val="002A4394"/>
    <w:rsid w:val="002B39EC"/>
    <w:rsid w:val="002B58A4"/>
    <w:rsid w:val="002C1A8A"/>
    <w:rsid w:val="002C5946"/>
    <w:rsid w:val="002D129F"/>
    <w:rsid w:val="002D1A9F"/>
    <w:rsid w:val="002E4F00"/>
    <w:rsid w:val="002E7DB9"/>
    <w:rsid w:val="002F068B"/>
    <w:rsid w:val="00307902"/>
    <w:rsid w:val="003133A4"/>
    <w:rsid w:val="00316E72"/>
    <w:rsid w:val="003202DF"/>
    <w:rsid w:val="00322574"/>
    <w:rsid w:val="00336C51"/>
    <w:rsid w:val="00336E3C"/>
    <w:rsid w:val="003400BC"/>
    <w:rsid w:val="003400C2"/>
    <w:rsid w:val="00343F75"/>
    <w:rsid w:val="00344340"/>
    <w:rsid w:val="003470B1"/>
    <w:rsid w:val="00367039"/>
    <w:rsid w:val="003741A4"/>
    <w:rsid w:val="003752B1"/>
    <w:rsid w:val="00387671"/>
    <w:rsid w:val="00396199"/>
    <w:rsid w:val="003A42C2"/>
    <w:rsid w:val="003A7121"/>
    <w:rsid w:val="003C0623"/>
    <w:rsid w:val="003C394D"/>
    <w:rsid w:val="003D1C28"/>
    <w:rsid w:val="003D2D7C"/>
    <w:rsid w:val="003E751D"/>
    <w:rsid w:val="003F085A"/>
    <w:rsid w:val="003F13F7"/>
    <w:rsid w:val="003F6B84"/>
    <w:rsid w:val="0040289E"/>
    <w:rsid w:val="00402A7F"/>
    <w:rsid w:val="00402C5C"/>
    <w:rsid w:val="00403A88"/>
    <w:rsid w:val="00403BFC"/>
    <w:rsid w:val="0040597E"/>
    <w:rsid w:val="004079C2"/>
    <w:rsid w:val="004160D8"/>
    <w:rsid w:val="004325A7"/>
    <w:rsid w:val="00432FA1"/>
    <w:rsid w:val="004441AB"/>
    <w:rsid w:val="00455D3A"/>
    <w:rsid w:val="00457EA6"/>
    <w:rsid w:val="004606EB"/>
    <w:rsid w:val="00463D02"/>
    <w:rsid w:val="00464686"/>
    <w:rsid w:val="004658DB"/>
    <w:rsid w:val="004728E2"/>
    <w:rsid w:val="004736DA"/>
    <w:rsid w:val="00477E61"/>
    <w:rsid w:val="00480044"/>
    <w:rsid w:val="00482451"/>
    <w:rsid w:val="00490ABE"/>
    <w:rsid w:val="00490E76"/>
    <w:rsid w:val="00492E5D"/>
    <w:rsid w:val="004930A3"/>
    <w:rsid w:val="00497B2B"/>
    <w:rsid w:val="004A1E10"/>
    <w:rsid w:val="004A41EA"/>
    <w:rsid w:val="004A5C91"/>
    <w:rsid w:val="004B2AB2"/>
    <w:rsid w:val="004B3796"/>
    <w:rsid w:val="004B51C1"/>
    <w:rsid w:val="004B710F"/>
    <w:rsid w:val="004C1417"/>
    <w:rsid w:val="004C3D81"/>
    <w:rsid w:val="004C7FD7"/>
    <w:rsid w:val="004E5715"/>
    <w:rsid w:val="004F0876"/>
    <w:rsid w:val="004F7E4B"/>
    <w:rsid w:val="00502B6A"/>
    <w:rsid w:val="00507782"/>
    <w:rsid w:val="00517BE8"/>
    <w:rsid w:val="00524789"/>
    <w:rsid w:val="005336C1"/>
    <w:rsid w:val="005418AC"/>
    <w:rsid w:val="00566685"/>
    <w:rsid w:val="00567B38"/>
    <w:rsid w:val="005703F1"/>
    <w:rsid w:val="005722BA"/>
    <w:rsid w:val="00575ABB"/>
    <w:rsid w:val="00582638"/>
    <w:rsid w:val="005875D5"/>
    <w:rsid w:val="00596EA9"/>
    <w:rsid w:val="005A4D17"/>
    <w:rsid w:val="005A77C4"/>
    <w:rsid w:val="005B450A"/>
    <w:rsid w:val="005C051A"/>
    <w:rsid w:val="005C39B7"/>
    <w:rsid w:val="005C3CB0"/>
    <w:rsid w:val="005C65A0"/>
    <w:rsid w:val="005C748A"/>
    <w:rsid w:val="005D2FE1"/>
    <w:rsid w:val="005D3A7D"/>
    <w:rsid w:val="005D5D53"/>
    <w:rsid w:val="005E2D27"/>
    <w:rsid w:val="005E6DE5"/>
    <w:rsid w:val="005E7A39"/>
    <w:rsid w:val="005F225E"/>
    <w:rsid w:val="005F2665"/>
    <w:rsid w:val="005F2882"/>
    <w:rsid w:val="005F56CB"/>
    <w:rsid w:val="00615F2D"/>
    <w:rsid w:val="00620DAB"/>
    <w:rsid w:val="006264C7"/>
    <w:rsid w:val="006342AB"/>
    <w:rsid w:val="006353C4"/>
    <w:rsid w:val="00646993"/>
    <w:rsid w:val="00652504"/>
    <w:rsid w:val="00656699"/>
    <w:rsid w:val="00657BB4"/>
    <w:rsid w:val="0066135B"/>
    <w:rsid w:val="00665D12"/>
    <w:rsid w:val="00667EEA"/>
    <w:rsid w:val="00671170"/>
    <w:rsid w:val="0067311D"/>
    <w:rsid w:val="00684172"/>
    <w:rsid w:val="006869B3"/>
    <w:rsid w:val="00696067"/>
    <w:rsid w:val="006A1194"/>
    <w:rsid w:val="006A5C47"/>
    <w:rsid w:val="006B4482"/>
    <w:rsid w:val="006B53B9"/>
    <w:rsid w:val="006C6CBD"/>
    <w:rsid w:val="006D12E7"/>
    <w:rsid w:val="006E044D"/>
    <w:rsid w:val="006E269D"/>
    <w:rsid w:val="006E3B2B"/>
    <w:rsid w:val="006E611A"/>
    <w:rsid w:val="006F3DF2"/>
    <w:rsid w:val="007002CC"/>
    <w:rsid w:val="00705982"/>
    <w:rsid w:val="00707FCE"/>
    <w:rsid w:val="0071153F"/>
    <w:rsid w:val="00711D37"/>
    <w:rsid w:val="007162D7"/>
    <w:rsid w:val="0071749B"/>
    <w:rsid w:val="00722858"/>
    <w:rsid w:val="00726F89"/>
    <w:rsid w:val="0073057D"/>
    <w:rsid w:val="00731EFC"/>
    <w:rsid w:val="00732879"/>
    <w:rsid w:val="007329AA"/>
    <w:rsid w:val="00740D99"/>
    <w:rsid w:val="00745C77"/>
    <w:rsid w:val="0075130E"/>
    <w:rsid w:val="007565FC"/>
    <w:rsid w:val="00765153"/>
    <w:rsid w:val="007658BA"/>
    <w:rsid w:val="00767F72"/>
    <w:rsid w:val="007719B4"/>
    <w:rsid w:val="00772C8C"/>
    <w:rsid w:val="0077476E"/>
    <w:rsid w:val="007754D4"/>
    <w:rsid w:val="0077637D"/>
    <w:rsid w:val="007931CC"/>
    <w:rsid w:val="00793420"/>
    <w:rsid w:val="00795488"/>
    <w:rsid w:val="007B3861"/>
    <w:rsid w:val="007B7971"/>
    <w:rsid w:val="007C7154"/>
    <w:rsid w:val="007C785B"/>
    <w:rsid w:val="007D3D34"/>
    <w:rsid w:val="007D7045"/>
    <w:rsid w:val="007E3F4B"/>
    <w:rsid w:val="007E4271"/>
    <w:rsid w:val="007F021A"/>
    <w:rsid w:val="008000CF"/>
    <w:rsid w:val="00802D79"/>
    <w:rsid w:val="00803B84"/>
    <w:rsid w:val="00810804"/>
    <w:rsid w:val="00814020"/>
    <w:rsid w:val="008164AA"/>
    <w:rsid w:val="00820375"/>
    <w:rsid w:val="008208DE"/>
    <w:rsid w:val="00820D40"/>
    <w:rsid w:val="0082392F"/>
    <w:rsid w:val="0082496E"/>
    <w:rsid w:val="0083097F"/>
    <w:rsid w:val="00830AAD"/>
    <w:rsid w:val="008321BA"/>
    <w:rsid w:val="00835459"/>
    <w:rsid w:val="00847E52"/>
    <w:rsid w:val="008503B7"/>
    <w:rsid w:val="0085490D"/>
    <w:rsid w:val="00875446"/>
    <w:rsid w:val="00881134"/>
    <w:rsid w:val="0088219D"/>
    <w:rsid w:val="00885ED9"/>
    <w:rsid w:val="008867F4"/>
    <w:rsid w:val="008931D3"/>
    <w:rsid w:val="008950F6"/>
    <w:rsid w:val="00896753"/>
    <w:rsid w:val="008B2BCB"/>
    <w:rsid w:val="008B58D1"/>
    <w:rsid w:val="008C2B85"/>
    <w:rsid w:val="008C3B84"/>
    <w:rsid w:val="008E66B6"/>
    <w:rsid w:val="008E673A"/>
    <w:rsid w:val="008E6787"/>
    <w:rsid w:val="008F625C"/>
    <w:rsid w:val="008F69EB"/>
    <w:rsid w:val="008F722C"/>
    <w:rsid w:val="00903F9F"/>
    <w:rsid w:val="00904583"/>
    <w:rsid w:val="009069F0"/>
    <w:rsid w:val="00910B5E"/>
    <w:rsid w:val="009150B4"/>
    <w:rsid w:val="00923355"/>
    <w:rsid w:val="00925C31"/>
    <w:rsid w:val="00932565"/>
    <w:rsid w:val="009353D4"/>
    <w:rsid w:val="00935DAF"/>
    <w:rsid w:val="00936BDF"/>
    <w:rsid w:val="0094183A"/>
    <w:rsid w:val="00942884"/>
    <w:rsid w:val="00947611"/>
    <w:rsid w:val="009509BF"/>
    <w:rsid w:val="009562FC"/>
    <w:rsid w:val="00962408"/>
    <w:rsid w:val="00962B7F"/>
    <w:rsid w:val="00965789"/>
    <w:rsid w:val="00975EC8"/>
    <w:rsid w:val="0097795E"/>
    <w:rsid w:val="009827FD"/>
    <w:rsid w:val="009907C0"/>
    <w:rsid w:val="009A3EE0"/>
    <w:rsid w:val="009A6D62"/>
    <w:rsid w:val="009A7724"/>
    <w:rsid w:val="009A775F"/>
    <w:rsid w:val="009C796E"/>
    <w:rsid w:val="009D4197"/>
    <w:rsid w:val="009D671E"/>
    <w:rsid w:val="009E5144"/>
    <w:rsid w:val="009F3706"/>
    <w:rsid w:val="009F3DF9"/>
    <w:rsid w:val="00A03CC5"/>
    <w:rsid w:val="00A0527A"/>
    <w:rsid w:val="00A111DF"/>
    <w:rsid w:val="00A20502"/>
    <w:rsid w:val="00A23225"/>
    <w:rsid w:val="00A26501"/>
    <w:rsid w:val="00A269FC"/>
    <w:rsid w:val="00A3096F"/>
    <w:rsid w:val="00A31601"/>
    <w:rsid w:val="00A33A8C"/>
    <w:rsid w:val="00A37109"/>
    <w:rsid w:val="00A54304"/>
    <w:rsid w:val="00A579D0"/>
    <w:rsid w:val="00A602E1"/>
    <w:rsid w:val="00A622D1"/>
    <w:rsid w:val="00A64044"/>
    <w:rsid w:val="00A661FF"/>
    <w:rsid w:val="00A67B58"/>
    <w:rsid w:val="00A70F29"/>
    <w:rsid w:val="00A82626"/>
    <w:rsid w:val="00A870D7"/>
    <w:rsid w:val="00A876CB"/>
    <w:rsid w:val="00A9012D"/>
    <w:rsid w:val="00A90400"/>
    <w:rsid w:val="00A91EF6"/>
    <w:rsid w:val="00AB1B33"/>
    <w:rsid w:val="00AB5A48"/>
    <w:rsid w:val="00AF2AB8"/>
    <w:rsid w:val="00AF3F76"/>
    <w:rsid w:val="00AF4B1E"/>
    <w:rsid w:val="00AF6EED"/>
    <w:rsid w:val="00B023A5"/>
    <w:rsid w:val="00B05729"/>
    <w:rsid w:val="00B06D7F"/>
    <w:rsid w:val="00B0719E"/>
    <w:rsid w:val="00B15B07"/>
    <w:rsid w:val="00B15DFC"/>
    <w:rsid w:val="00B220A4"/>
    <w:rsid w:val="00B254F0"/>
    <w:rsid w:val="00B25E9D"/>
    <w:rsid w:val="00B37741"/>
    <w:rsid w:val="00B37A41"/>
    <w:rsid w:val="00B46291"/>
    <w:rsid w:val="00B46BC7"/>
    <w:rsid w:val="00B516FD"/>
    <w:rsid w:val="00B61F19"/>
    <w:rsid w:val="00B70BBB"/>
    <w:rsid w:val="00B72B14"/>
    <w:rsid w:val="00B905A9"/>
    <w:rsid w:val="00B9094D"/>
    <w:rsid w:val="00B90E29"/>
    <w:rsid w:val="00B91280"/>
    <w:rsid w:val="00B93A69"/>
    <w:rsid w:val="00BA2D9E"/>
    <w:rsid w:val="00BA35B9"/>
    <w:rsid w:val="00BA69B9"/>
    <w:rsid w:val="00BB6FAE"/>
    <w:rsid w:val="00BE49FE"/>
    <w:rsid w:val="00BF0E40"/>
    <w:rsid w:val="00BF3019"/>
    <w:rsid w:val="00BF7539"/>
    <w:rsid w:val="00C023FB"/>
    <w:rsid w:val="00C02A46"/>
    <w:rsid w:val="00C106A4"/>
    <w:rsid w:val="00C20607"/>
    <w:rsid w:val="00C261E3"/>
    <w:rsid w:val="00C275CD"/>
    <w:rsid w:val="00C27F2C"/>
    <w:rsid w:val="00C31470"/>
    <w:rsid w:val="00C32EE6"/>
    <w:rsid w:val="00C33FEA"/>
    <w:rsid w:val="00C36CC4"/>
    <w:rsid w:val="00C4033A"/>
    <w:rsid w:val="00C42B40"/>
    <w:rsid w:val="00C44198"/>
    <w:rsid w:val="00C474B3"/>
    <w:rsid w:val="00C47808"/>
    <w:rsid w:val="00C47FBF"/>
    <w:rsid w:val="00C512CE"/>
    <w:rsid w:val="00C60C1F"/>
    <w:rsid w:val="00C654FB"/>
    <w:rsid w:val="00C75856"/>
    <w:rsid w:val="00C85017"/>
    <w:rsid w:val="00C9181C"/>
    <w:rsid w:val="00C91ABC"/>
    <w:rsid w:val="00C9730A"/>
    <w:rsid w:val="00CA546A"/>
    <w:rsid w:val="00CA57BF"/>
    <w:rsid w:val="00CB445F"/>
    <w:rsid w:val="00CB610D"/>
    <w:rsid w:val="00CC4070"/>
    <w:rsid w:val="00CC5D84"/>
    <w:rsid w:val="00CD0598"/>
    <w:rsid w:val="00CE02DD"/>
    <w:rsid w:val="00CE0564"/>
    <w:rsid w:val="00CE0947"/>
    <w:rsid w:val="00CF69E9"/>
    <w:rsid w:val="00CF7D24"/>
    <w:rsid w:val="00D07EA8"/>
    <w:rsid w:val="00D10F02"/>
    <w:rsid w:val="00D11AB4"/>
    <w:rsid w:val="00D148AA"/>
    <w:rsid w:val="00D15723"/>
    <w:rsid w:val="00D23423"/>
    <w:rsid w:val="00D235BA"/>
    <w:rsid w:val="00D33EA9"/>
    <w:rsid w:val="00D36234"/>
    <w:rsid w:val="00D367E6"/>
    <w:rsid w:val="00D44929"/>
    <w:rsid w:val="00D51E07"/>
    <w:rsid w:val="00D61552"/>
    <w:rsid w:val="00D64EE3"/>
    <w:rsid w:val="00D778D7"/>
    <w:rsid w:val="00D96C2B"/>
    <w:rsid w:val="00DA03E4"/>
    <w:rsid w:val="00DA298A"/>
    <w:rsid w:val="00DB3C04"/>
    <w:rsid w:val="00DC11F5"/>
    <w:rsid w:val="00DC1AD3"/>
    <w:rsid w:val="00DD4BD4"/>
    <w:rsid w:val="00DD644B"/>
    <w:rsid w:val="00DE02D1"/>
    <w:rsid w:val="00DE3AC1"/>
    <w:rsid w:val="00DE3B49"/>
    <w:rsid w:val="00DF1E05"/>
    <w:rsid w:val="00DF4086"/>
    <w:rsid w:val="00E00A6E"/>
    <w:rsid w:val="00E01E1C"/>
    <w:rsid w:val="00E06BB9"/>
    <w:rsid w:val="00E10A02"/>
    <w:rsid w:val="00E10D7B"/>
    <w:rsid w:val="00E112BB"/>
    <w:rsid w:val="00E1451D"/>
    <w:rsid w:val="00E2308A"/>
    <w:rsid w:val="00E23138"/>
    <w:rsid w:val="00E26D0B"/>
    <w:rsid w:val="00E4050D"/>
    <w:rsid w:val="00E40ADF"/>
    <w:rsid w:val="00E410A0"/>
    <w:rsid w:val="00E41923"/>
    <w:rsid w:val="00E423C0"/>
    <w:rsid w:val="00E50910"/>
    <w:rsid w:val="00E54A2C"/>
    <w:rsid w:val="00E62BFD"/>
    <w:rsid w:val="00E65221"/>
    <w:rsid w:val="00E865D3"/>
    <w:rsid w:val="00E94AAE"/>
    <w:rsid w:val="00E95E0F"/>
    <w:rsid w:val="00EA0C73"/>
    <w:rsid w:val="00EA6BFB"/>
    <w:rsid w:val="00EB7C34"/>
    <w:rsid w:val="00EC0926"/>
    <w:rsid w:val="00EC1C93"/>
    <w:rsid w:val="00EC6016"/>
    <w:rsid w:val="00ED776D"/>
    <w:rsid w:val="00EE27FB"/>
    <w:rsid w:val="00EE486B"/>
    <w:rsid w:val="00EE4B58"/>
    <w:rsid w:val="00EF06A3"/>
    <w:rsid w:val="00EF0CE0"/>
    <w:rsid w:val="00EF3162"/>
    <w:rsid w:val="00EF47C6"/>
    <w:rsid w:val="00F01B9F"/>
    <w:rsid w:val="00F023DC"/>
    <w:rsid w:val="00F02F57"/>
    <w:rsid w:val="00F03C53"/>
    <w:rsid w:val="00F06A9B"/>
    <w:rsid w:val="00F11BC5"/>
    <w:rsid w:val="00F11EA9"/>
    <w:rsid w:val="00F149CF"/>
    <w:rsid w:val="00F15459"/>
    <w:rsid w:val="00F16577"/>
    <w:rsid w:val="00F16985"/>
    <w:rsid w:val="00F21E08"/>
    <w:rsid w:val="00F23982"/>
    <w:rsid w:val="00F23EA6"/>
    <w:rsid w:val="00F3077C"/>
    <w:rsid w:val="00F3294B"/>
    <w:rsid w:val="00F32EF6"/>
    <w:rsid w:val="00F33244"/>
    <w:rsid w:val="00F33B61"/>
    <w:rsid w:val="00F34FDA"/>
    <w:rsid w:val="00F37D86"/>
    <w:rsid w:val="00F44038"/>
    <w:rsid w:val="00F45235"/>
    <w:rsid w:val="00F46F76"/>
    <w:rsid w:val="00F54593"/>
    <w:rsid w:val="00F607D7"/>
    <w:rsid w:val="00F65AB9"/>
    <w:rsid w:val="00F72177"/>
    <w:rsid w:val="00F778E1"/>
    <w:rsid w:val="00F819B2"/>
    <w:rsid w:val="00F8455A"/>
    <w:rsid w:val="00FA074B"/>
    <w:rsid w:val="00FA15DF"/>
    <w:rsid w:val="00FA1B58"/>
    <w:rsid w:val="00FB350A"/>
    <w:rsid w:val="00FB6DC8"/>
    <w:rsid w:val="00FC6137"/>
    <w:rsid w:val="00FC682C"/>
    <w:rsid w:val="00FE294F"/>
    <w:rsid w:val="00FE2CDD"/>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C7F0C"/>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DefaultParagraphFont"/>
    <w:rsid w:val="0025167B"/>
  </w:style>
  <w:style w:type="character" w:customStyle="1" w:styleId="Heading3Char">
    <w:name w:val="Heading 3 Char"/>
    <w:basedOn w:val="DefaultParagraphFont"/>
    <w:link w:val="Heading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DefaultParagraphFont"/>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lnuevodia.com/notic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920FB-3A91-4B70-9B38-1D158F07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2635</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5</cp:revision>
  <cp:lastPrinted>2025-01-09T21:41:00Z</cp:lastPrinted>
  <dcterms:created xsi:type="dcterms:W3CDTF">2025-01-03T17:11:00Z</dcterms:created>
  <dcterms:modified xsi:type="dcterms:W3CDTF">2025-01-09T21:41:00Z</dcterms:modified>
</cp:coreProperties>
</file>