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DE6C6C" w:rsidRDefault="00104EFE" w:rsidP="00104EFE">
      <w:pPr>
        <w:jc w:val="center"/>
        <w:rPr>
          <w:rFonts w:ascii="Book Antiqua" w:hAnsi="Book Antiqua"/>
          <w:color w:val="000000"/>
          <w:lang w:val="es-ES"/>
        </w:rPr>
      </w:pPr>
      <w:r w:rsidRPr="00DE6C6C">
        <w:rPr>
          <w:rFonts w:ascii="Book Antiqua" w:hAnsi="Book Antiqua"/>
          <w:b/>
          <w:color w:val="000000"/>
          <w:sz w:val="28"/>
          <w:szCs w:val="28"/>
          <w:lang w:val="es-ES"/>
        </w:rPr>
        <w:t>GOBIERNO DE PUERTO RICO</w:t>
      </w:r>
    </w:p>
    <w:p w14:paraId="25DFC41B" w14:textId="77777777" w:rsidR="00104EFE" w:rsidRPr="00DE6C6C"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DE6C6C" w14:paraId="67F2466B" w14:textId="77777777" w:rsidTr="00267F07">
        <w:tc>
          <w:tcPr>
            <w:tcW w:w="3139" w:type="dxa"/>
          </w:tcPr>
          <w:p w14:paraId="5227DC8D" w14:textId="77777777" w:rsidR="00104EFE" w:rsidRPr="00DE6C6C" w:rsidRDefault="00104EFE" w:rsidP="00267F07">
            <w:pPr>
              <w:rPr>
                <w:rFonts w:ascii="Book Antiqua" w:hAnsi="Book Antiqua"/>
                <w:lang w:val="es-ES"/>
              </w:rPr>
            </w:pPr>
            <w:r w:rsidRPr="00DE6C6C">
              <w:rPr>
                <w:rFonts w:ascii="Book Antiqua" w:hAnsi="Book Antiqua"/>
                <w:lang w:val="es-ES"/>
              </w:rPr>
              <w:t>20</w:t>
            </w:r>
            <w:r w:rsidRPr="00DE6C6C">
              <w:rPr>
                <w:rFonts w:ascii="Book Antiqua" w:hAnsi="Book Antiqua"/>
                <w:vertAlign w:val="superscript"/>
                <w:lang w:val="es-ES"/>
              </w:rPr>
              <w:t>ma</w:t>
            </w:r>
            <w:r w:rsidRPr="00DE6C6C">
              <w:rPr>
                <w:rFonts w:ascii="Book Antiqua" w:hAnsi="Book Antiqua"/>
                <w:lang w:val="es-ES"/>
              </w:rPr>
              <w:t>Asamblea</w:t>
            </w:r>
          </w:p>
          <w:p w14:paraId="5E44E796" w14:textId="77777777" w:rsidR="00104EFE" w:rsidRPr="00DE6C6C" w:rsidRDefault="00104EFE" w:rsidP="00267F07">
            <w:pPr>
              <w:rPr>
                <w:rFonts w:ascii="Book Antiqua" w:hAnsi="Book Antiqua"/>
                <w:lang w:val="es-ES"/>
              </w:rPr>
            </w:pPr>
            <w:r w:rsidRPr="00DE6C6C">
              <w:rPr>
                <w:rFonts w:ascii="Book Antiqua" w:hAnsi="Book Antiqua"/>
                <w:lang w:val="es-ES"/>
              </w:rPr>
              <w:t>Legislativa</w:t>
            </w:r>
          </w:p>
        </w:tc>
        <w:tc>
          <w:tcPr>
            <w:tcW w:w="3095" w:type="dxa"/>
          </w:tcPr>
          <w:p w14:paraId="14754195" w14:textId="77777777" w:rsidR="00104EFE" w:rsidRPr="00DE6C6C" w:rsidRDefault="00104EFE" w:rsidP="00267F07">
            <w:pPr>
              <w:jc w:val="center"/>
              <w:rPr>
                <w:rFonts w:ascii="Book Antiqua" w:hAnsi="Book Antiqua"/>
                <w:lang w:val="es-ES"/>
              </w:rPr>
            </w:pPr>
          </w:p>
        </w:tc>
        <w:tc>
          <w:tcPr>
            <w:tcW w:w="3126" w:type="dxa"/>
          </w:tcPr>
          <w:p w14:paraId="7161ADAB" w14:textId="77777777" w:rsidR="00104EFE" w:rsidRPr="00DE6C6C" w:rsidRDefault="00104EFE" w:rsidP="00267F07">
            <w:pPr>
              <w:jc w:val="right"/>
              <w:rPr>
                <w:rFonts w:ascii="Book Antiqua" w:hAnsi="Book Antiqua"/>
                <w:lang w:val="es-ES"/>
              </w:rPr>
            </w:pPr>
            <w:r w:rsidRPr="00DE6C6C">
              <w:rPr>
                <w:rFonts w:ascii="Book Antiqua" w:hAnsi="Book Antiqua"/>
                <w:lang w:val="es-ES"/>
              </w:rPr>
              <w:t>1</w:t>
            </w:r>
            <w:r w:rsidRPr="00DE6C6C">
              <w:rPr>
                <w:rFonts w:ascii="Book Antiqua" w:hAnsi="Book Antiqua"/>
                <w:vertAlign w:val="superscript"/>
                <w:lang w:val="es-ES"/>
              </w:rPr>
              <w:t>ra</w:t>
            </w:r>
            <w:r w:rsidRPr="00DE6C6C">
              <w:rPr>
                <w:rFonts w:ascii="Book Antiqua" w:hAnsi="Book Antiqua"/>
                <w:lang w:val="es-ES"/>
              </w:rPr>
              <w:t xml:space="preserve"> Sesión </w:t>
            </w:r>
          </w:p>
          <w:p w14:paraId="4B507055" w14:textId="77777777" w:rsidR="00104EFE" w:rsidRPr="00DE6C6C" w:rsidRDefault="00104EFE" w:rsidP="00267F07">
            <w:pPr>
              <w:jc w:val="right"/>
              <w:rPr>
                <w:rFonts w:ascii="Book Antiqua" w:hAnsi="Book Antiqua"/>
                <w:lang w:val="es-ES"/>
              </w:rPr>
            </w:pPr>
            <w:r w:rsidRPr="00DE6C6C">
              <w:rPr>
                <w:rFonts w:ascii="Book Antiqua" w:hAnsi="Book Antiqua"/>
                <w:lang w:val="es-ES"/>
              </w:rPr>
              <w:t>Ordinaria</w:t>
            </w:r>
          </w:p>
        </w:tc>
      </w:tr>
    </w:tbl>
    <w:p w14:paraId="06600B14" w14:textId="77777777" w:rsidR="00104EFE" w:rsidRPr="00DE6C6C" w:rsidRDefault="00104EFE" w:rsidP="00104EFE">
      <w:pPr>
        <w:jc w:val="center"/>
        <w:rPr>
          <w:rFonts w:ascii="Book Antiqua" w:hAnsi="Book Antiqua"/>
          <w:b/>
          <w:bCs/>
          <w:color w:val="000000"/>
          <w:sz w:val="28"/>
          <w:szCs w:val="28"/>
          <w:lang w:val="es-ES"/>
        </w:rPr>
      </w:pPr>
    </w:p>
    <w:p w14:paraId="2D95B650" w14:textId="77777777" w:rsidR="00104EFE" w:rsidRPr="00DE6C6C" w:rsidRDefault="00104EFE" w:rsidP="00104EFE">
      <w:pPr>
        <w:jc w:val="center"/>
        <w:rPr>
          <w:rFonts w:ascii="Book Antiqua" w:hAnsi="Book Antiqua"/>
          <w:b/>
          <w:bCs/>
          <w:color w:val="000000"/>
          <w:sz w:val="36"/>
          <w:szCs w:val="36"/>
          <w:lang w:val="es-ES"/>
        </w:rPr>
      </w:pPr>
      <w:r w:rsidRPr="00DE6C6C">
        <w:rPr>
          <w:rFonts w:ascii="Book Antiqua" w:hAnsi="Book Antiqua"/>
          <w:b/>
          <w:bCs/>
          <w:color w:val="000000"/>
          <w:sz w:val="36"/>
          <w:szCs w:val="36"/>
          <w:lang w:val="es-ES"/>
        </w:rPr>
        <w:t>CÁMARA DE REPRESENTANTES</w:t>
      </w:r>
    </w:p>
    <w:p w14:paraId="637FEFCE" w14:textId="77777777" w:rsidR="00104EFE" w:rsidRPr="00DE6C6C" w:rsidRDefault="00104EFE" w:rsidP="00104EFE">
      <w:pPr>
        <w:jc w:val="center"/>
        <w:rPr>
          <w:rFonts w:ascii="Book Antiqua" w:hAnsi="Book Antiqua"/>
          <w:lang w:val="es-ES"/>
        </w:rPr>
      </w:pPr>
    </w:p>
    <w:p w14:paraId="3E1F9C62" w14:textId="3D075B23" w:rsidR="00104EFE" w:rsidRPr="00DE6C6C" w:rsidRDefault="00104EFE" w:rsidP="00104EFE">
      <w:pPr>
        <w:jc w:val="center"/>
        <w:rPr>
          <w:rFonts w:ascii="Book Antiqua" w:hAnsi="Book Antiqua"/>
          <w:b/>
          <w:sz w:val="52"/>
          <w:szCs w:val="52"/>
          <w:lang w:val="es-ES"/>
        </w:rPr>
      </w:pPr>
      <w:r w:rsidRPr="00DE6C6C">
        <w:rPr>
          <w:rFonts w:ascii="Book Antiqua" w:hAnsi="Book Antiqua"/>
          <w:b/>
          <w:sz w:val="52"/>
          <w:szCs w:val="52"/>
          <w:lang w:val="es-ES"/>
        </w:rPr>
        <w:t xml:space="preserve">P. de la C. </w:t>
      </w:r>
      <w:r w:rsidR="00747269" w:rsidRPr="00DE6C6C">
        <w:rPr>
          <w:rFonts w:ascii="Book Antiqua" w:hAnsi="Book Antiqua"/>
          <w:b/>
          <w:sz w:val="52"/>
          <w:szCs w:val="52"/>
          <w:lang w:val="es-ES"/>
        </w:rPr>
        <w:t>1</w:t>
      </w:r>
      <w:r w:rsidR="005353CA" w:rsidRPr="00DE6C6C">
        <w:rPr>
          <w:rFonts w:ascii="Book Antiqua" w:hAnsi="Book Antiqua"/>
          <w:b/>
          <w:sz w:val="52"/>
          <w:szCs w:val="52"/>
          <w:lang w:val="es-ES"/>
        </w:rPr>
        <w:t>12</w:t>
      </w:r>
    </w:p>
    <w:p w14:paraId="5DBF40AE" w14:textId="77777777" w:rsidR="00104EFE" w:rsidRPr="00DE6C6C" w:rsidRDefault="00104EFE" w:rsidP="00104EFE">
      <w:pPr>
        <w:pStyle w:val="Heading1"/>
        <w:jc w:val="center"/>
        <w:rPr>
          <w:rFonts w:ascii="Book Antiqua" w:hAnsi="Book Antiqua"/>
          <w:color w:val="auto"/>
          <w:sz w:val="28"/>
          <w:szCs w:val="28"/>
          <w:lang w:val="es-ES"/>
        </w:rPr>
      </w:pPr>
      <w:r w:rsidRPr="00DE6C6C">
        <w:rPr>
          <w:rFonts w:ascii="Book Antiqua" w:hAnsi="Book Antiqua"/>
          <w:color w:val="auto"/>
          <w:sz w:val="28"/>
          <w:szCs w:val="28"/>
          <w:lang w:val="es-ES"/>
        </w:rPr>
        <w:t>INFORME POSITIVO</w:t>
      </w:r>
    </w:p>
    <w:p w14:paraId="0D212E54" w14:textId="77777777" w:rsidR="00104EFE" w:rsidRPr="00DE6C6C" w:rsidRDefault="00104EFE" w:rsidP="00104EFE">
      <w:pPr>
        <w:rPr>
          <w:rFonts w:ascii="Book Antiqua" w:hAnsi="Book Antiqua"/>
          <w:bCs/>
          <w:color w:val="000000"/>
          <w:lang w:val="es-ES"/>
        </w:rPr>
      </w:pPr>
    </w:p>
    <w:p w14:paraId="4CFAFB32" w14:textId="472C9D2F" w:rsidR="00104EFE" w:rsidRPr="00DE6C6C" w:rsidRDefault="004D2A1F" w:rsidP="00104EFE">
      <w:pPr>
        <w:jc w:val="center"/>
        <w:rPr>
          <w:rFonts w:ascii="Book Antiqua" w:hAnsi="Book Antiqua"/>
          <w:color w:val="000000"/>
          <w:lang w:val="es-ES"/>
        </w:rPr>
      </w:pPr>
      <w:r>
        <w:rPr>
          <w:rFonts w:ascii="Book Antiqua" w:hAnsi="Book Antiqua"/>
          <w:bCs/>
          <w:color w:val="000000"/>
          <w:lang w:val="es-ES"/>
        </w:rPr>
        <w:t>29</w:t>
      </w:r>
      <w:r w:rsidR="00F865AD" w:rsidRPr="00DE6C6C">
        <w:rPr>
          <w:rFonts w:ascii="Book Antiqua" w:hAnsi="Book Antiqua"/>
          <w:bCs/>
          <w:color w:val="000000"/>
          <w:lang w:val="es-ES"/>
        </w:rPr>
        <w:t xml:space="preserve"> DE MAYO DE 2025</w:t>
      </w:r>
    </w:p>
    <w:p w14:paraId="53838D39" w14:textId="77777777" w:rsidR="00104EFE" w:rsidRPr="00DE6C6C" w:rsidRDefault="00104EFE" w:rsidP="00104EFE">
      <w:pPr>
        <w:jc w:val="center"/>
        <w:rPr>
          <w:rFonts w:ascii="Book Antiqua" w:hAnsi="Book Antiqua"/>
          <w:color w:val="000000"/>
          <w:lang w:val="es-ES"/>
        </w:rPr>
      </w:pPr>
    </w:p>
    <w:p w14:paraId="78CD984C" w14:textId="77777777" w:rsidR="00104EFE" w:rsidRPr="00DE6C6C" w:rsidRDefault="00104EFE" w:rsidP="00104EFE">
      <w:pPr>
        <w:rPr>
          <w:rFonts w:ascii="Book Antiqua" w:hAnsi="Book Antiqua"/>
          <w:color w:val="000000"/>
          <w:lang w:val="es-ES"/>
        </w:rPr>
      </w:pPr>
    </w:p>
    <w:p w14:paraId="02589E97" w14:textId="77777777" w:rsidR="00104EFE" w:rsidRPr="00DE6C6C" w:rsidRDefault="00104EFE" w:rsidP="00104EFE">
      <w:pPr>
        <w:rPr>
          <w:rFonts w:ascii="Book Antiqua" w:hAnsi="Book Antiqua"/>
          <w:b/>
          <w:bCs/>
          <w:lang w:val="es-ES"/>
        </w:rPr>
      </w:pPr>
      <w:r w:rsidRPr="00DE6C6C">
        <w:rPr>
          <w:rFonts w:ascii="Book Antiqua" w:hAnsi="Book Antiqua"/>
          <w:b/>
          <w:bCs/>
          <w:lang w:val="es-ES"/>
        </w:rPr>
        <w:t>A LA CÁMARA DE REPRESENTANTES DE PUERTO RICO:</w:t>
      </w:r>
    </w:p>
    <w:p w14:paraId="1CC8A774" w14:textId="77777777" w:rsidR="00104EFE" w:rsidRPr="00DE6C6C" w:rsidRDefault="00104EFE" w:rsidP="00104EFE">
      <w:pPr>
        <w:rPr>
          <w:rFonts w:ascii="Book Antiqua" w:hAnsi="Book Antiqua"/>
          <w:b/>
          <w:bCs/>
          <w:lang w:val="es-ES"/>
        </w:rPr>
      </w:pPr>
    </w:p>
    <w:p w14:paraId="58CCC124" w14:textId="5ADA5DF2" w:rsidR="00104EFE" w:rsidRPr="00DE6C6C" w:rsidRDefault="00104EFE" w:rsidP="00630645">
      <w:pPr>
        <w:ind w:firstLine="720"/>
        <w:jc w:val="both"/>
        <w:rPr>
          <w:rFonts w:ascii="Book Antiqua" w:hAnsi="Book Antiqua"/>
          <w:lang w:val="es-ES"/>
        </w:rPr>
      </w:pPr>
      <w:r w:rsidRPr="00DE6C6C">
        <w:rPr>
          <w:rFonts w:ascii="Book Antiqua" w:hAnsi="Book Antiqua"/>
          <w:lang w:val="es-ES"/>
        </w:rPr>
        <w:t xml:space="preserve">La Comisión de Salud de la Cámara de Representantes de Puerto Rico, tienen el honor de recomendar a este Augusto Cuerpo la aprobación, </w:t>
      </w:r>
      <w:r w:rsidR="005536F7" w:rsidRPr="00DE6C6C">
        <w:rPr>
          <w:rFonts w:ascii="Book Antiqua" w:hAnsi="Book Antiqua"/>
          <w:lang w:val="es-ES"/>
        </w:rPr>
        <w:t>con</w:t>
      </w:r>
      <w:r w:rsidRPr="00DE6C6C">
        <w:rPr>
          <w:rFonts w:ascii="Book Antiqua" w:hAnsi="Book Antiqua"/>
          <w:lang w:val="es-ES"/>
        </w:rPr>
        <w:t xml:space="preserve"> enmiendas</w:t>
      </w:r>
      <w:r w:rsidR="003D7623" w:rsidRPr="00DE6C6C">
        <w:rPr>
          <w:rFonts w:ascii="Book Antiqua" w:hAnsi="Book Antiqua"/>
          <w:lang w:val="es-ES"/>
        </w:rPr>
        <w:t xml:space="preserve"> en el entirillado electrónico que se aneja</w:t>
      </w:r>
      <w:r w:rsidRPr="00DE6C6C">
        <w:rPr>
          <w:rFonts w:ascii="Book Antiqua" w:hAnsi="Book Antiqua"/>
          <w:lang w:val="es-ES"/>
        </w:rPr>
        <w:t xml:space="preserve">, del P. de la C. </w:t>
      </w:r>
      <w:r w:rsidR="00F865AD" w:rsidRPr="00DE6C6C">
        <w:rPr>
          <w:rFonts w:ascii="Book Antiqua" w:hAnsi="Book Antiqua"/>
          <w:lang w:val="es-ES"/>
        </w:rPr>
        <w:t>1</w:t>
      </w:r>
      <w:r w:rsidR="005353CA" w:rsidRPr="00DE6C6C">
        <w:rPr>
          <w:rFonts w:ascii="Book Antiqua" w:hAnsi="Book Antiqua"/>
          <w:lang w:val="es-ES"/>
        </w:rPr>
        <w:t>12</w:t>
      </w:r>
      <w:r w:rsidRPr="00DE6C6C">
        <w:rPr>
          <w:rFonts w:ascii="Book Antiqua" w:hAnsi="Book Antiqua"/>
          <w:lang w:val="es-ES"/>
        </w:rPr>
        <w:t>.</w:t>
      </w:r>
    </w:p>
    <w:p w14:paraId="421A752B" w14:textId="77777777" w:rsidR="00104EFE" w:rsidRPr="00DE6C6C" w:rsidRDefault="00104EFE" w:rsidP="00104EFE">
      <w:pPr>
        <w:rPr>
          <w:rFonts w:ascii="Book Antiqua" w:hAnsi="Book Antiqua"/>
          <w:lang w:val="es-ES"/>
        </w:rPr>
      </w:pPr>
    </w:p>
    <w:p w14:paraId="0C0DCC77" w14:textId="77777777" w:rsidR="00104EFE" w:rsidRPr="00DE6C6C" w:rsidRDefault="00104EFE" w:rsidP="00C4700C">
      <w:pPr>
        <w:pStyle w:val="Heading2"/>
        <w:ind w:left="1440" w:firstLine="720"/>
        <w:rPr>
          <w:rFonts w:ascii="Book Antiqua" w:hAnsi="Book Antiqua"/>
          <w:color w:val="auto"/>
          <w:sz w:val="28"/>
          <w:szCs w:val="28"/>
          <w:lang w:val="es-ES"/>
        </w:rPr>
      </w:pPr>
      <w:r w:rsidRPr="00DE6C6C">
        <w:rPr>
          <w:rFonts w:ascii="Book Antiqua" w:hAnsi="Book Antiqua"/>
          <w:color w:val="auto"/>
          <w:sz w:val="28"/>
          <w:szCs w:val="28"/>
          <w:lang w:val="es-ES"/>
        </w:rPr>
        <w:t>ALCANCE DE LA MEDIDA</w:t>
      </w:r>
    </w:p>
    <w:p w14:paraId="08699C8B" w14:textId="77777777" w:rsidR="00104EFE" w:rsidRPr="00DE6C6C" w:rsidRDefault="00104EFE" w:rsidP="00104EFE">
      <w:pPr>
        <w:jc w:val="both"/>
        <w:rPr>
          <w:rFonts w:ascii="Book Antiqua" w:hAnsi="Book Antiqua"/>
          <w:lang w:val="es-ES"/>
        </w:rPr>
      </w:pPr>
    </w:p>
    <w:p w14:paraId="6CD4D494" w14:textId="7C6FDC9D" w:rsidR="00CC2FA1" w:rsidRPr="00DE6C6C" w:rsidRDefault="00104EFE" w:rsidP="00CC2FA1">
      <w:pPr>
        <w:suppressLineNumbers/>
        <w:ind w:firstLine="720"/>
        <w:jc w:val="both"/>
        <w:rPr>
          <w:rFonts w:ascii="Book Antiqua" w:hAnsi="Book Antiqua"/>
          <w:lang w:val="es-ES"/>
        </w:rPr>
      </w:pPr>
      <w:r w:rsidRPr="00DE6C6C">
        <w:rPr>
          <w:rFonts w:ascii="Book Antiqua" w:hAnsi="Book Antiqua"/>
          <w:lang w:val="es-ES"/>
        </w:rPr>
        <w:t xml:space="preserve">El </w:t>
      </w:r>
      <w:r w:rsidRPr="00DE6C6C">
        <w:rPr>
          <w:rFonts w:ascii="Book Antiqua" w:hAnsi="Book Antiqua"/>
          <w:b/>
          <w:bCs/>
          <w:lang w:val="es-ES"/>
        </w:rPr>
        <w:t xml:space="preserve">Proyecto de la Cámara Núm. </w:t>
      </w:r>
      <w:r w:rsidR="00747269" w:rsidRPr="00DE6C6C">
        <w:rPr>
          <w:rFonts w:ascii="Book Antiqua" w:hAnsi="Book Antiqua"/>
          <w:b/>
          <w:bCs/>
          <w:lang w:val="es-ES"/>
        </w:rPr>
        <w:t>1</w:t>
      </w:r>
      <w:r w:rsidR="005353CA" w:rsidRPr="00DE6C6C">
        <w:rPr>
          <w:rFonts w:ascii="Book Antiqua" w:hAnsi="Book Antiqua"/>
          <w:b/>
          <w:bCs/>
          <w:lang w:val="es-ES"/>
        </w:rPr>
        <w:t>12</w:t>
      </w:r>
      <w:r w:rsidRPr="00DE6C6C">
        <w:rPr>
          <w:rFonts w:ascii="Book Antiqua" w:hAnsi="Book Antiqua"/>
          <w:lang w:val="es-ES"/>
        </w:rPr>
        <w:t>,</w:t>
      </w:r>
      <w:r w:rsidR="009A3270" w:rsidRPr="00DE6C6C">
        <w:rPr>
          <w:rFonts w:ascii="Book Antiqua" w:hAnsi="Book Antiqua"/>
          <w:lang w:val="es-ES"/>
        </w:rPr>
        <w:t xml:space="preserve"> </w:t>
      </w:r>
      <w:r w:rsidR="0002765C" w:rsidRPr="00DE6C6C">
        <w:rPr>
          <w:rFonts w:ascii="Book Antiqua" w:hAnsi="Book Antiqua"/>
          <w:lang w:val="es-ES"/>
        </w:rPr>
        <w:t>propone</w:t>
      </w:r>
      <w:r w:rsidR="009A3270" w:rsidRPr="00DE6C6C">
        <w:rPr>
          <w:rFonts w:ascii="Book Antiqua" w:hAnsi="Book Antiqua"/>
          <w:lang w:val="es-ES"/>
        </w:rPr>
        <w:t xml:space="preserve"> </w:t>
      </w:r>
      <w:r w:rsidR="00CC2FA1" w:rsidRPr="00DE6C6C">
        <w:rPr>
          <w:rFonts w:ascii="Book Antiqua" w:hAnsi="Book Antiqua"/>
          <w:lang w:val="es-ES"/>
        </w:rPr>
        <w:t>declarar el 4 de septiembre de cada año como el “Día de la Concientización sobre la Leucemia Infantil” en Puerto Rico. La medida busca establecer un día específico dentro del mes de septiembre con el fin de destacar la importancia de detectar tempranamente la leucemia en niños y niñas, crear conciencia sobre los síntomas y fomentar el apoyo a las familias afectadas.</w:t>
      </w:r>
    </w:p>
    <w:p w14:paraId="7315E1D1" w14:textId="77777777" w:rsidR="00CC2FA1" w:rsidRPr="00DE6C6C" w:rsidRDefault="00CC2FA1" w:rsidP="00CC2FA1">
      <w:pPr>
        <w:suppressLineNumbers/>
        <w:ind w:firstLine="720"/>
        <w:jc w:val="both"/>
        <w:rPr>
          <w:rFonts w:ascii="Book Antiqua" w:hAnsi="Book Antiqua"/>
          <w:lang w:val="es-ES"/>
        </w:rPr>
      </w:pPr>
    </w:p>
    <w:p w14:paraId="3BEC272E" w14:textId="77777777" w:rsidR="00CC2FA1" w:rsidRPr="00CC2FA1" w:rsidRDefault="00CC2FA1" w:rsidP="00CC2FA1">
      <w:pPr>
        <w:suppressLineNumbers/>
        <w:ind w:firstLine="720"/>
        <w:jc w:val="both"/>
        <w:rPr>
          <w:rFonts w:ascii="Book Antiqua" w:hAnsi="Book Antiqua"/>
          <w:lang w:val="es-ES"/>
        </w:rPr>
      </w:pPr>
      <w:r w:rsidRPr="00CC2FA1">
        <w:rPr>
          <w:rFonts w:ascii="Book Antiqua" w:hAnsi="Book Antiqua"/>
          <w:lang w:val="es-ES"/>
        </w:rPr>
        <w:t xml:space="preserve">La exposición de motivos fundamenta la medida en estadísticas alarmantes tanto de Estados Unidos como de Puerto Rico, donde la leucemia figura entre los diez tipos de cáncer más frecuentes y representa, según el Registro Central de Cáncer de Puerto Rico, el 27.5% de los casos de cáncer en la población infantil. Se detalla que la leucemia linfocítica aguda (ALL) es el tipo más común entre los menores, especialmente entre los 2 y 5 años, seguida por la leucemia mieloide aguda (AML), más diseminada durante la infancia y adolescencia. La medida destaca que la detección temprana es fundamental, pero que no existen pruebas </w:t>
      </w:r>
      <w:r w:rsidRPr="00CC2FA1">
        <w:rPr>
          <w:rFonts w:ascii="Book Antiqua" w:hAnsi="Book Antiqua"/>
          <w:lang w:val="es-ES"/>
        </w:rPr>
        <w:lastRenderedPageBreak/>
        <w:t>específicas para detectarla antes de los síntomas clínicos, por lo que resulta esencial promover el conocimiento de signos y factores de riesgo.</w:t>
      </w:r>
    </w:p>
    <w:p w14:paraId="1955FEFF" w14:textId="77777777" w:rsidR="00364E07" w:rsidRPr="00DE6C6C" w:rsidRDefault="00364E07" w:rsidP="00CC2FA1">
      <w:pPr>
        <w:suppressLineNumbers/>
        <w:ind w:firstLine="720"/>
        <w:jc w:val="both"/>
        <w:rPr>
          <w:rFonts w:ascii="Book Antiqua" w:hAnsi="Book Antiqua"/>
          <w:lang w:val="es-ES"/>
        </w:rPr>
      </w:pPr>
    </w:p>
    <w:p w14:paraId="6DA7DB76" w14:textId="660CAC5C" w:rsidR="00CC2FA1" w:rsidRPr="00CC2FA1" w:rsidRDefault="00CC2FA1" w:rsidP="00CC2FA1">
      <w:pPr>
        <w:suppressLineNumbers/>
        <w:ind w:firstLine="720"/>
        <w:jc w:val="both"/>
        <w:rPr>
          <w:rFonts w:ascii="Book Antiqua" w:hAnsi="Book Antiqua"/>
          <w:lang w:val="es-ES"/>
        </w:rPr>
      </w:pPr>
      <w:r w:rsidRPr="00CC2FA1">
        <w:rPr>
          <w:rFonts w:ascii="Book Antiqua" w:hAnsi="Book Antiqua"/>
          <w:lang w:val="es-ES"/>
        </w:rPr>
        <w:t>La medida también destaca los esfuerzos existentes, como la Ley 159-2010 y la Ley 76-2012, que establecen respectivamente el mes de conciencia sobre enfermedades como leucemia, linfoma y mieloma, y el Día Internacional del Cáncer Infantil. No obstante, es necesario un esfuerzo adicional centrado exclusivamente en la leucemia infantil, dada su prevalencia y agresividad. El 4 de septiembre, designado internacionalmente como día de prevención de la leucemia, es seleccionado como fecha adecuada para ese propósito.</w:t>
      </w:r>
    </w:p>
    <w:p w14:paraId="6DF4DE9A" w14:textId="77777777" w:rsidR="00364E07" w:rsidRPr="00DE6C6C" w:rsidRDefault="00364E07" w:rsidP="00CC2FA1">
      <w:pPr>
        <w:suppressLineNumbers/>
        <w:ind w:firstLine="720"/>
        <w:jc w:val="both"/>
        <w:rPr>
          <w:rFonts w:ascii="Book Antiqua" w:hAnsi="Book Antiqua"/>
          <w:lang w:val="es-ES"/>
        </w:rPr>
      </w:pPr>
    </w:p>
    <w:p w14:paraId="4C6DF4BD" w14:textId="07EEF951" w:rsidR="00083BAB" w:rsidRPr="00F0349C" w:rsidRDefault="00364E07" w:rsidP="00F0349C">
      <w:pPr>
        <w:suppressLineNumbers/>
        <w:ind w:firstLine="720"/>
        <w:jc w:val="both"/>
        <w:rPr>
          <w:rFonts w:ascii="Book Antiqua" w:hAnsi="Book Antiqua"/>
          <w:lang w:val="es-ES"/>
        </w:rPr>
      </w:pPr>
      <w:r w:rsidRPr="00DE6C6C">
        <w:rPr>
          <w:rFonts w:ascii="Book Antiqua" w:hAnsi="Book Antiqua"/>
          <w:lang w:val="es-ES"/>
        </w:rPr>
        <w:t>La</w:t>
      </w:r>
      <w:r w:rsidR="00CC2FA1" w:rsidRPr="00CC2FA1">
        <w:rPr>
          <w:rFonts w:ascii="Book Antiqua" w:hAnsi="Book Antiqua"/>
          <w:lang w:val="es-ES"/>
        </w:rPr>
        <w:t xml:space="preserve"> medida dispone que el </w:t>
      </w:r>
      <w:r w:rsidRPr="00DE6C6C">
        <w:rPr>
          <w:rFonts w:ascii="Book Antiqua" w:hAnsi="Book Antiqua"/>
          <w:lang w:val="es-ES"/>
        </w:rPr>
        <w:t>Gobierno de Puerto Rico deberá</w:t>
      </w:r>
      <w:r w:rsidR="00CC2FA1" w:rsidRPr="00CC2FA1">
        <w:rPr>
          <w:rFonts w:ascii="Book Antiqua" w:hAnsi="Book Antiqua"/>
          <w:lang w:val="es-ES"/>
        </w:rPr>
        <w:t xml:space="preserve"> emit</w:t>
      </w:r>
      <w:r w:rsidRPr="00DE6C6C">
        <w:rPr>
          <w:rFonts w:ascii="Book Antiqua" w:hAnsi="Book Antiqua"/>
          <w:lang w:val="es-ES"/>
        </w:rPr>
        <w:t>ir</w:t>
      </w:r>
      <w:r w:rsidR="00CC2FA1" w:rsidRPr="00CC2FA1">
        <w:rPr>
          <w:rFonts w:ascii="Book Antiqua" w:hAnsi="Book Antiqua"/>
          <w:lang w:val="es-ES"/>
        </w:rPr>
        <w:t xml:space="preserve"> una proclama anual con al menos diez días de antelación, promoviendo actividades conmemorativas. Además, obliga al Departamento de Salud, Educación, Familia y otras instrumentalidades pertinentes a organizar actividades de orientación, prevención y apoyo durante ese día, incluyendo la participación del sector privado y la ciudadanía. Finalmente, se adopta como símbolo oficial de esta lucha el lazo anaranjado y dorado, que combina el símbolo del cáncer infantil con el de la leucemia.</w:t>
      </w:r>
    </w:p>
    <w:p w14:paraId="7901508D" w14:textId="77777777" w:rsidR="00AE7A24" w:rsidRPr="00DE6C6C" w:rsidRDefault="00AE7A24" w:rsidP="00AE7A24">
      <w:pPr>
        <w:jc w:val="center"/>
        <w:rPr>
          <w:rFonts w:ascii="Book Antiqua" w:hAnsi="Book Antiqua"/>
          <w:b/>
          <w:lang w:val="es-ES"/>
        </w:rPr>
      </w:pPr>
    </w:p>
    <w:p w14:paraId="2BA2ACE6" w14:textId="77777777" w:rsidR="00DE1613" w:rsidRDefault="00DE1613" w:rsidP="00AE7A24">
      <w:pPr>
        <w:jc w:val="center"/>
        <w:rPr>
          <w:rFonts w:ascii="Book Antiqua" w:hAnsi="Book Antiqua"/>
          <w:b/>
          <w:lang w:val="es-ES"/>
        </w:rPr>
      </w:pPr>
    </w:p>
    <w:p w14:paraId="4EFB17F9" w14:textId="7636B3F5" w:rsidR="00AE7A24" w:rsidRPr="00DE6C6C" w:rsidRDefault="00AE7A24" w:rsidP="00AE7A24">
      <w:pPr>
        <w:jc w:val="center"/>
        <w:rPr>
          <w:rFonts w:ascii="Book Antiqua" w:hAnsi="Book Antiqua"/>
          <w:b/>
          <w:lang w:val="es-ES"/>
        </w:rPr>
      </w:pPr>
      <w:r w:rsidRPr="00DE6C6C">
        <w:rPr>
          <w:rFonts w:ascii="Book Antiqua" w:hAnsi="Book Antiqua"/>
          <w:b/>
          <w:lang w:val="es-ES"/>
        </w:rPr>
        <w:t>ANÁLISIS DE LA MEDIDA</w:t>
      </w:r>
    </w:p>
    <w:p w14:paraId="09E16EA1" w14:textId="77777777" w:rsidR="00D06E07" w:rsidRPr="00DE6C6C" w:rsidRDefault="00D06E07" w:rsidP="00D06E07">
      <w:pPr>
        <w:jc w:val="center"/>
        <w:rPr>
          <w:rFonts w:ascii="Book Antiqua" w:hAnsi="Book Antiqua"/>
          <w:b/>
          <w:bCs/>
          <w:lang w:val="es-ES"/>
        </w:rPr>
      </w:pPr>
    </w:p>
    <w:p w14:paraId="568BF55E" w14:textId="6A3F2090" w:rsidR="00DB2C8A" w:rsidRPr="00DB2C8A" w:rsidRDefault="006238DB" w:rsidP="008B277F">
      <w:pPr>
        <w:ind w:firstLine="720"/>
        <w:jc w:val="both"/>
        <w:rPr>
          <w:rFonts w:ascii="Book Antiqua" w:hAnsi="Book Antiqua"/>
          <w:b/>
          <w:bCs/>
          <w:lang w:val="es-ES"/>
        </w:rPr>
      </w:pPr>
      <w:bookmarkStart w:id="0" w:name="_Hlk193963423"/>
      <w:r w:rsidRPr="00DE6C6C">
        <w:rPr>
          <w:rFonts w:ascii="Book Antiqua" w:hAnsi="Book Antiqua"/>
          <w:bCs/>
          <w:lang w:val="es-ES"/>
        </w:rPr>
        <w:t xml:space="preserve">La Comisión de Salud de la Cámara de Representantes de Puerto Rico, en el desempeño de su deber ministerial, estudió y evaluó el presente Proyecto, por lo que </w:t>
      </w:r>
      <w:r w:rsidR="00DB2C8A" w:rsidRPr="00DE6C6C">
        <w:rPr>
          <w:rFonts w:ascii="Book Antiqua" w:hAnsi="Book Antiqua"/>
          <w:bCs/>
          <w:lang w:val="es-ES"/>
        </w:rPr>
        <w:t>revisó los siguientes</w:t>
      </w:r>
      <w:r w:rsidRPr="00DE6C6C">
        <w:rPr>
          <w:rFonts w:ascii="Book Antiqua" w:hAnsi="Book Antiqua"/>
          <w:bCs/>
          <w:lang w:val="es-ES"/>
        </w:rPr>
        <w:t xml:space="preserve"> memorial</w:t>
      </w:r>
      <w:r w:rsidR="00DB2C8A" w:rsidRPr="00DE6C6C">
        <w:rPr>
          <w:rFonts w:ascii="Book Antiqua" w:hAnsi="Book Antiqua"/>
          <w:bCs/>
          <w:lang w:val="es-ES"/>
        </w:rPr>
        <w:t>es:</w:t>
      </w:r>
      <w:r w:rsidRPr="00DE6C6C">
        <w:rPr>
          <w:rFonts w:ascii="Book Antiqua" w:hAnsi="Book Antiqua"/>
          <w:bCs/>
          <w:lang w:val="es-ES"/>
        </w:rPr>
        <w:t xml:space="preserve"> </w:t>
      </w:r>
      <w:bookmarkEnd w:id="0"/>
      <w:r w:rsidR="00DB2C8A" w:rsidRPr="00DE6C6C">
        <w:rPr>
          <w:rFonts w:ascii="Book Antiqua" w:hAnsi="Book Antiqua"/>
          <w:b/>
          <w:bCs/>
          <w:lang w:val="es-ES"/>
        </w:rPr>
        <w:t>Col</w:t>
      </w:r>
      <w:r w:rsidR="002167EF" w:rsidRPr="00DE6C6C">
        <w:rPr>
          <w:rFonts w:ascii="Book Antiqua" w:hAnsi="Book Antiqua"/>
          <w:b/>
          <w:bCs/>
          <w:lang w:val="es-ES"/>
        </w:rPr>
        <w:t>egio</w:t>
      </w:r>
      <w:r w:rsidR="00DB2C8A" w:rsidRPr="00DE6C6C">
        <w:rPr>
          <w:rFonts w:ascii="Book Antiqua" w:hAnsi="Book Antiqua"/>
          <w:b/>
          <w:bCs/>
          <w:lang w:val="es-ES"/>
        </w:rPr>
        <w:t xml:space="preserve"> de Médicos Cirujanos de PR, Colegio de Médicos de PR, </w:t>
      </w:r>
      <w:r w:rsidR="00DB2C8A" w:rsidRPr="00DB2C8A">
        <w:rPr>
          <w:rFonts w:ascii="Book Antiqua" w:hAnsi="Book Antiqua"/>
          <w:b/>
          <w:bCs/>
          <w:lang w:val="es-ES"/>
        </w:rPr>
        <w:t>Capítulo de Puerto Rico-Academia Americana de Pediatría </w:t>
      </w:r>
      <w:r w:rsidR="008B277F" w:rsidRPr="00DE6C6C">
        <w:rPr>
          <w:rFonts w:ascii="Book Antiqua" w:hAnsi="Book Antiqua"/>
          <w:b/>
          <w:bCs/>
          <w:lang w:val="es-ES"/>
        </w:rPr>
        <w:t xml:space="preserve">y el </w:t>
      </w:r>
      <w:r w:rsidR="00DB2C8A" w:rsidRPr="00DB2C8A">
        <w:rPr>
          <w:rFonts w:ascii="Book Antiqua" w:hAnsi="Book Antiqua"/>
          <w:b/>
          <w:bCs/>
          <w:lang w:val="es-ES"/>
        </w:rPr>
        <w:t>Centro Comprensivo de Cáncer</w:t>
      </w:r>
      <w:r w:rsidR="008B277F" w:rsidRPr="00DE6C6C">
        <w:rPr>
          <w:rFonts w:ascii="Book Antiqua" w:hAnsi="Book Antiqua"/>
          <w:b/>
          <w:bCs/>
          <w:lang w:val="es-ES"/>
        </w:rPr>
        <w:t>.</w:t>
      </w:r>
    </w:p>
    <w:p w14:paraId="300A78BF" w14:textId="77777777" w:rsidR="00DE1613" w:rsidRDefault="00DE1613" w:rsidP="00104EFE">
      <w:pPr>
        <w:suppressLineNumbers/>
        <w:jc w:val="both"/>
        <w:rPr>
          <w:rFonts w:ascii="Book Antiqua" w:hAnsi="Book Antiqua" w:cs="Arial"/>
          <w:b/>
          <w:bCs/>
          <w:color w:val="000000" w:themeColor="text1"/>
          <w:u w:val="single"/>
          <w:lang w:val="es-ES"/>
        </w:rPr>
      </w:pPr>
    </w:p>
    <w:p w14:paraId="7A11CB7D" w14:textId="77777777" w:rsidR="006565C8" w:rsidRDefault="006565C8" w:rsidP="006565C8">
      <w:pPr>
        <w:suppressLineNumbers/>
        <w:jc w:val="center"/>
        <w:rPr>
          <w:rFonts w:ascii="Book Antiqua" w:hAnsi="Book Antiqua" w:cs="Arial"/>
          <w:b/>
          <w:bCs/>
          <w:color w:val="000000" w:themeColor="text1"/>
          <w:u w:val="single"/>
          <w:lang w:val="es-ES"/>
        </w:rPr>
      </w:pPr>
    </w:p>
    <w:p w14:paraId="3E6F6266" w14:textId="1E067DB8" w:rsidR="00104EFE" w:rsidRPr="00DE6C6C" w:rsidRDefault="00812335" w:rsidP="006565C8">
      <w:pPr>
        <w:suppressLineNumbers/>
        <w:jc w:val="center"/>
        <w:rPr>
          <w:rFonts w:ascii="Book Antiqua" w:hAnsi="Book Antiqua" w:cs="Arial"/>
          <w:b/>
          <w:bCs/>
          <w:color w:val="000000" w:themeColor="text1"/>
          <w:u w:val="single"/>
          <w:lang w:val="es-ES"/>
        </w:rPr>
      </w:pPr>
      <w:r w:rsidRPr="00812335">
        <w:rPr>
          <w:rFonts w:ascii="Book Antiqua" w:hAnsi="Book Antiqua" w:cs="Arial"/>
          <w:b/>
          <w:bCs/>
          <w:color w:val="000000" w:themeColor="text1"/>
          <w:u w:val="single"/>
          <w:lang w:val="es-ES"/>
        </w:rPr>
        <w:t>Colegio de Médicos Cirujanos de Puerto Rico</w:t>
      </w:r>
      <w:r w:rsidR="007C36F5" w:rsidRPr="007C36F5">
        <w:rPr>
          <w:rFonts w:ascii="Book Antiqua" w:hAnsi="Book Antiqua" w:cs="Arial"/>
          <w:color w:val="000000" w:themeColor="text1"/>
          <w:lang w:val="es-ES"/>
        </w:rPr>
        <w:t xml:space="preserve"> (29 de abril de 2025)</w:t>
      </w:r>
    </w:p>
    <w:p w14:paraId="5A080930" w14:textId="77777777" w:rsidR="00812335" w:rsidRPr="00DE6C6C" w:rsidRDefault="00812335" w:rsidP="00104EFE">
      <w:pPr>
        <w:suppressLineNumbers/>
        <w:jc w:val="both"/>
        <w:rPr>
          <w:rFonts w:ascii="Book Antiqua" w:hAnsi="Book Antiqua" w:cs="Arial"/>
          <w:color w:val="000000" w:themeColor="text1"/>
          <w:lang w:val="es-ES"/>
        </w:rPr>
      </w:pPr>
    </w:p>
    <w:p w14:paraId="690CC1C4" w14:textId="535082AD" w:rsidR="00812335" w:rsidRPr="00DE6C6C" w:rsidRDefault="00812335" w:rsidP="00812335">
      <w:pPr>
        <w:suppressLineNumbers/>
        <w:ind w:firstLine="720"/>
        <w:jc w:val="both"/>
        <w:rPr>
          <w:rFonts w:ascii="Book Antiqua" w:hAnsi="Book Antiqua" w:cs="Arial"/>
          <w:color w:val="000000" w:themeColor="text1"/>
          <w:lang w:val="es-ES"/>
        </w:rPr>
      </w:pPr>
      <w:r w:rsidRPr="00812335">
        <w:rPr>
          <w:rFonts w:ascii="Book Antiqua" w:hAnsi="Book Antiqua" w:cs="Arial"/>
          <w:color w:val="000000" w:themeColor="text1"/>
          <w:lang w:val="es-ES"/>
        </w:rPr>
        <w:t>El Colegio de Médicos Cirujanos de Puerto Rico expresó su respaldo al Proyecto de la Cámara 112, que propone declarar el 4 de septiembre como el “Día de la Concientización sobre la Leucemia Infantil” en Puerto Rico. En su ponencia</w:t>
      </w:r>
      <w:r w:rsidRPr="00DE6C6C">
        <w:rPr>
          <w:rFonts w:ascii="Book Antiqua" w:hAnsi="Book Antiqua" w:cs="Arial"/>
          <w:color w:val="000000" w:themeColor="text1"/>
          <w:lang w:val="es-ES"/>
        </w:rPr>
        <w:t xml:space="preserve">, </w:t>
      </w:r>
      <w:r w:rsidRPr="00812335">
        <w:rPr>
          <w:rFonts w:ascii="Book Antiqua" w:hAnsi="Book Antiqua" w:cs="Arial"/>
          <w:color w:val="000000" w:themeColor="text1"/>
          <w:lang w:val="es-ES"/>
        </w:rPr>
        <w:t xml:space="preserve">la entidad médica </w:t>
      </w:r>
      <w:r w:rsidRPr="00DE6C6C">
        <w:rPr>
          <w:rFonts w:ascii="Book Antiqua" w:hAnsi="Book Antiqua" w:cs="Arial"/>
          <w:color w:val="000000" w:themeColor="text1"/>
          <w:lang w:val="es-ES"/>
        </w:rPr>
        <w:t>enfatizó</w:t>
      </w:r>
      <w:r w:rsidRPr="00812335">
        <w:rPr>
          <w:rFonts w:ascii="Book Antiqua" w:hAnsi="Book Antiqua" w:cs="Arial"/>
          <w:color w:val="000000" w:themeColor="text1"/>
          <w:lang w:val="es-ES"/>
        </w:rPr>
        <w:t xml:space="preserve"> la gravedad de esta enfermedad, la cual representa aproximadamente el 27.5% de los casos de cáncer pediátrico en la Isla, siendo el tipo más prevalente entre los menores.</w:t>
      </w:r>
    </w:p>
    <w:p w14:paraId="41CA3BE5" w14:textId="77777777" w:rsidR="00812335" w:rsidRPr="00812335" w:rsidRDefault="00812335" w:rsidP="00812335">
      <w:pPr>
        <w:suppressLineNumbers/>
        <w:ind w:firstLine="720"/>
        <w:jc w:val="both"/>
        <w:rPr>
          <w:rFonts w:ascii="Book Antiqua" w:hAnsi="Book Antiqua" w:cs="Arial"/>
          <w:color w:val="000000" w:themeColor="text1"/>
          <w:lang w:val="es-ES"/>
        </w:rPr>
      </w:pPr>
    </w:p>
    <w:p w14:paraId="297259DD" w14:textId="77777777" w:rsidR="00812335" w:rsidRPr="00DE6C6C" w:rsidRDefault="00812335" w:rsidP="00812335">
      <w:pPr>
        <w:suppressLineNumbers/>
        <w:ind w:firstLine="720"/>
        <w:jc w:val="both"/>
        <w:rPr>
          <w:rFonts w:ascii="Book Antiqua" w:hAnsi="Book Antiqua" w:cs="Arial"/>
          <w:color w:val="000000" w:themeColor="text1"/>
          <w:lang w:val="es-ES"/>
        </w:rPr>
      </w:pPr>
      <w:r w:rsidRPr="00812335">
        <w:rPr>
          <w:rFonts w:ascii="Book Antiqua" w:hAnsi="Book Antiqua" w:cs="Arial"/>
          <w:color w:val="000000" w:themeColor="text1"/>
          <w:lang w:val="es-ES"/>
        </w:rPr>
        <w:t xml:space="preserve">El Colegio destacó que debido a la naturaleza agresiva de la leucemia infantil, es indispensable fomentar la detección temprana y el acceso a </w:t>
      </w:r>
      <w:r w:rsidRPr="00812335">
        <w:rPr>
          <w:rFonts w:ascii="Book Antiqua" w:hAnsi="Book Antiqua" w:cs="Arial"/>
          <w:color w:val="000000" w:themeColor="text1"/>
          <w:lang w:val="es-ES"/>
        </w:rPr>
        <w:lastRenderedPageBreak/>
        <w:t>tratamientos adecuados. Por ello, considera que la creación de un día conmemorativo enfocado en concienciar sobre los signos y síntomas de la enfermedad puede ser un paso significativo hacia diagnósticos más rápidos y precisos, mejorando así las probabilidades de supervivencia y calidad de vida de los niños afectados.</w:t>
      </w:r>
    </w:p>
    <w:p w14:paraId="155AA8E0" w14:textId="77777777" w:rsidR="00812335" w:rsidRPr="00812335" w:rsidRDefault="00812335" w:rsidP="00812335">
      <w:pPr>
        <w:suppressLineNumbers/>
        <w:ind w:firstLine="720"/>
        <w:jc w:val="both"/>
        <w:rPr>
          <w:rFonts w:ascii="Book Antiqua" w:hAnsi="Book Antiqua" w:cs="Arial"/>
          <w:color w:val="000000" w:themeColor="text1"/>
          <w:lang w:val="es-ES"/>
        </w:rPr>
      </w:pPr>
    </w:p>
    <w:p w14:paraId="22EE4F13" w14:textId="77777777" w:rsidR="00812335" w:rsidRPr="00DE6C6C" w:rsidRDefault="00812335" w:rsidP="00812335">
      <w:pPr>
        <w:suppressLineNumbers/>
        <w:ind w:firstLine="720"/>
        <w:jc w:val="both"/>
        <w:rPr>
          <w:rFonts w:ascii="Book Antiqua" w:hAnsi="Book Antiqua" w:cs="Arial"/>
          <w:color w:val="000000" w:themeColor="text1"/>
          <w:lang w:val="es-ES"/>
        </w:rPr>
      </w:pPr>
      <w:r w:rsidRPr="00812335">
        <w:rPr>
          <w:rFonts w:ascii="Book Antiqua" w:hAnsi="Book Antiqua" w:cs="Arial"/>
          <w:color w:val="000000" w:themeColor="text1"/>
          <w:lang w:val="es-ES"/>
        </w:rPr>
        <w:t>Asimismo, la organización manifestó su respaldo al uso del lazo anaranjado y dorado como símbolo representativo de la lucha contra la leucemia infantil, por la fuerza comunicativa que tiene al combinar el símbolo general del cáncer infantil con el específico de la leucemia.</w:t>
      </w:r>
    </w:p>
    <w:p w14:paraId="64276EE8" w14:textId="77777777" w:rsidR="00812335" w:rsidRPr="00812335" w:rsidRDefault="00812335" w:rsidP="00812335">
      <w:pPr>
        <w:suppressLineNumbers/>
        <w:ind w:firstLine="720"/>
        <w:jc w:val="both"/>
        <w:rPr>
          <w:rFonts w:ascii="Book Antiqua" w:hAnsi="Book Antiqua" w:cs="Arial"/>
          <w:color w:val="000000" w:themeColor="text1"/>
          <w:lang w:val="es-ES"/>
        </w:rPr>
      </w:pPr>
    </w:p>
    <w:p w14:paraId="2B5C52F0" w14:textId="77777777" w:rsidR="00812335" w:rsidRPr="00DE6C6C" w:rsidRDefault="00812335" w:rsidP="00812335">
      <w:pPr>
        <w:suppressLineNumbers/>
        <w:ind w:firstLine="720"/>
        <w:jc w:val="both"/>
        <w:rPr>
          <w:rFonts w:ascii="Book Antiqua" w:hAnsi="Book Antiqua" w:cs="Arial"/>
          <w:color w:val="000000" w:themeColor="text1"/>
          <w:lang w:val="es-ES"/>
        </w:rPr>
      </w:pPr>
      <w:r w:rsidRPr="00812335">
        <w:rPr>
          <w:rFonts w:ascii="Book Antiqua" w:hAnsi="Book Antiqua" w:cs="Arial"/>
          <w:color w:val="000000" w:themeColor="text1"/>
          <w:lang w:val="es-ES"/>
        </w:rPr>
        <w:t>A modo de recomendación, el Colegio propuso ampliar el impacto de esta legislación mediante campañas educativas durante todo el mes de septiembre, alianzas entre el gobierno y entidades sin fines de lucro especializadas en oncología pediátrica, y la asignación de fondos presupuestarios específicos en el Departamento de Salud para programas de concientización, diagnóstico y apoyo familiar. También exhortó a fomentar investigaciones locales sobre la prevalencia e incidencia de esta enfermedad en Puerto Rico, con el objetivo de fortalecer la política pública en el área de salud pediátrica.</w:t>
      </w:r>
    </w:p>
    <w:p w14:paraId="621C2B78" w14:textId="77777777" w:rsidR="00812335" w:rsidRPr="00812335" w:rsidRDefault="00812335" w:rsidP="00812335">
      <w:pPr>
        <w:suppressLineNumbers/>
        <w:ind w:firstLine="720"/>
        <w:jc w:val="both"/>
        <w:rPr>
          <w:rFonts w:ascii="Book Antiqua" w:hAnsi="Book Antiqua" w:cs="Arial"/>
          <w:color w:val="000000" w:themeColor="text1"/>
          <w:lang w:val="es-ES"/>
        </w:rPr>
      </w:pPr>
    </w:p>
    <w:p w14:paraId="0FE67C29" w14:textId="33C1CB08" w:rsidR="00812335" w:rsidRDefault="00812335" w:rsidP="00812335">
      <w:pPr>
        <w:suppressLineNumbers/>
        <w:ind w:firstLine="720"/>
        <w:jc w:val="both"/>
        <w:rPr>
          <w:rFonts w:ascii="Book Antiqua" w:hAnsi="Book Antiqua" w:cs="Arial"/>
          <w:color w:val="000000" w:themeColor="text1"/>
          <w:lang w:val="es-ES"/>
        </w:rPr>
      </w:pPr>
      <w:r w:rsidRPr="00812335">
        <w:rPr>
          <w:rFonts w:ascii="Book Antiqua" w:hAnsi="Book Antiqua" w:cs="Arial"/>
          <w:color w:val="000000" w:themeColor="text1"/>
          <w:lang w:val="es-ES"/>
        </w:rPr>
        <w:t>Finalmente, el Colegio de Médicos Cirujanos felicitó a la Asamblea Legislativa por su sensibilidad hacia la salud infantil y reafirmó su compromiso de colaborar para mejorar el bienestar de los menores puertorriqueños que enfrentan el diagnóstico de leucemia</w:t>
      </w:r>
      <w:r w:rsidR="00283843">
        <w:rPr>
          <w:rFonts w:ascii="Book Antiqua" w:hAnsi="Book Antiqua" w:cs="Arial"/>
          <w:color w:val="000000" w:themeColor="text1"/>
          <w:lang w:val="es-ES"/>
        </w:rPr>
        <w:t>.</w:t>
      </w:r>
    </w:p>
    <w:p w14:paraId="30E5069E" w14:textId="77777777" w:rsidR="00283843" w:rsidRDefault="00283843" w:rsidP="00812335">
      <w:pPr>
        <w:suppressLineNumbers/>
        <w:ind w:firstLine="720"/>
        <w:jc w:val="both"/>
        <w:rPr>
          <w:rFonts w:ascii="Book Antiqua" w:hAnsi="Book Antiqua" w:cs="Arial"/>
          <w:color w:val="000000" w:themeColor="text1"/>
          <w:lang w:val="es-ES"/>
        </w:rPr>
      </w:pPr>
    </w:p>
    <w:p w14:paraId="577C4D22" w14:textId="55B4A1DD" w:rsidR="00283843" w:rsidRPr="00812335" w:rsidRDefault="00283843" w:rsidP="00812335">
      <w:pPr>
        <w:suppressLineNumbers/>
        <w:ind w:firstLine="720"/>
        <w:jc w:val="both"/>
        <w:rPr>
          <w:rFonts w:ascii="Book Antiqua" w:hAnsi="Book Antiqua" w:cs="Arial"/>
          <w:color w:val="000000" w:themeColor="text1"/>
          <w:lang w:val="es-ES"/>
        </w:rPr>
      </w:pPr>
      <w:r>
        <w:rPr>
          <w:rFonts w:ascii="Book Antiqua" w:hAnsi="Book Antiqua" w:cs="Arial"/>
          <w:color w:val="000000" w:themeColor="text1"/>
          <w:lang w:val="es-ES"/>
        </w:rPr>
        <w:t xml:space="preserve">Por su parte, </w:t>
      </w:r>
      <w:r w:rsidR="00DE1613">
        <w:rPr>
          <w:rFonts w:ascii="Book Antiqua" w:hAnsi="Book Antiqua" w:cs="Arial"/>
          <w:color w:val="000000" w:themeColor="text1"/>
          <w:lang w:val="es-ES"/>
        </w:rPr>
        <w:t>el Capítulo de Pediatría manifestó que ya existen dos fechas</w:t>
      </w:r>
      <w:r w:rsidR="00DE1613">
        <w:rPr>
          <w:rStyle w:val="FootnoteReference"/>
          <w:rFonts w:ascii="Book Antiqua" w:hAnsi="Book Antiqua"/>
          <w:color w:val="000000" w:themeColor="text1"/>
          <w:lang w:val="es-ES"/>
        </w:rPr>
        <w:footnoteReference w:id="1"/>
      </w:r>
      <w:r w:rsidR="00DE1613">
        <w:rPr>
          <w:rFonts w:ascii="Book Antiqua" w:hAnsi="Book Antiqua" w:cs="Arial"/>
          <w:color w:val="000000" w:themeColor="text1"/>
          <w:lang w:val="es-ES"/>
        </w:rPr>
        <w:t xml:space="preserve"> que conmemoran el cáncer infantil, por lo que encuentran la medida repetitiva y la mezcla de los colores de los lazos podría resultar confuso.</w:t>
      </w:r>
    </w:p>
    <w:p w14:paraId="18B694BB" w14:textId="77777777" w:rsidR="00DE1613" w:rsidRDefault="00DE1613" w:rsidP="00F0349C">
      <w:pPr>
        <w:suppressLineNumbers/>
        <w:jc w:val="both"/>
        <w:rPr>
          <w:rFonts w:ascii="Book Antiqua" w:hAnsi="Book Antiqua" w:cs="Arial"/>
          <w:b/>
          <w:bCs/>
          <w:color w:val="000000" w:themeColor="text1"/>
          <w:u w:val="single"/>
          <w:lang w:val="es-ES"/>
        </w:rPr>
      </w:pPr>
    </w:p>
    <w:p w14:paraId="1BC0454C" w14:textId="77777777" w:rsidR="006565C8" w:rsidRDefault="006565C8" w:rsidP="006565C8">
      <w:pPr>
        <w:suppressLineNumbers/>
        <w:jc w:val="center"/>
        <w:rPr>
          <w:rFonts w:ascii="Book Antiqua" w:hAnsi="Book Antiqua" w:cs="Arial"/>
          <w:b/>
          <w:bCs/>
          <w:color w:val="000000" w:themeColor="text1"/>
          <w:u w:val="single"/>
          <w:lang w:val="es-ES"/>
        </w:rPr>
      </w:pPr>
    </w:p>
    <w:p w14:paraId="1708CC95" w14:textId="17B87DD6" w:rsidR="00D61DCA" w:rsidRPr="007C36F5" w:rsidRDefault="00AF56F6" w:rsidP="006565C8">
      <w:pPr>
        <w:suppressLineNumbers/>
        <w:jc w:val="center"/>
        <w:rPr>
          <w:rFonts w:ascii="Book Antiqua" w:hAnsi="Book Antiqua" w:cs="Arial"/>
          <w:color w:val="000000" w:themeColor="text1"/>
          <w:lang w:val="es-ES"/>
        </w:rPr>
      </w:pPr>
      <w:r w:rsidRPr="00AF56F6">
        <w:rPr>
          <w:rFonts w:ascii="Book Antiqua" w:hAnsi="Book Antiqua" w:cs="Arial"/>
          <w:b/>
          <w:bCs/>
          <w:color w:val="000000" w:themeColor="text1"/>
          <w:u w:val="single"/>
          <w:lang w:val="es-ES"/>
        </w:rPr>
        <w:t>Centro Comprensivo de Cáncer de la Universidad de Puerto Rico (CCCUPR)</w:t>
      </w:r>
      <w:r w:rsidR="007C36F5">
        <w:rPr>
          <w:rFonts w:ascii="Book Antiqua" w:hAnsi="Book Antiqua" w:cs="Arial"/>
          <w:color w:val="000000" w:themeColor="text1"/>
          <w:lang w:val="es-ES"/>
        </w:rPr>
        <w:t xml:space="preserve"> (19 de mayo de 2025)</w:t>
      </w:r>
    </w:p>
    <w:p w14:paraId="3A8DC0C9" w14:textId="77777777" w:rsidR="00AF56F6" w:rsidRPr="00DE6C6C" w:rsidRDefault="00AF56F6" w:rsidP="005321E4">
      <w:pPr>
        <w:suppressLineNumbers/>
        <w:ind w:firstLine="720"/>
        <w:jc w:val="both"/>
        <w:rPr>
          <w:rFonts w:ascii="Book Antiqua" w:hAnsi="Book Antiqua" w:cs="Arial"/>
          <w:color w:val="000000" w:themeColor="text1"/>
          <w:lang w:val="es-ES"/>
        </w:rPr>
      </w:pPr>
    </w:p>
    <w:p w14:paraId="77D49CEF" w14:textId="77777777" w:rsidR="00832AC1" w:rsidRPr="00DE6C6C" w:rsidRDefault="00AF56F6" w:rsidP="00832AC1">
      <w:pPr>
        <w:suppressLineNumbers/>
        <w:ind w:firstLine="720"/>
        <w:jc w:val="both"/>
        <w:rPr>
          <w:rFonts w:ascii="Book Antiqua" w:eastAsia="Calibri" w:hAnsi="Book Antiqua"/>
          <w:color w:val="000000"/>
          <w:lang w:val="es-ES"/>
        </w:rPr>
      </w:pPr>
      <w:r w:rsidRPr="00AF56F6">
        <w:rPr>
          <w:rFonts w:ascii="Book Antiqua" w:eastAsia="Calibri" w:hAnsi="Book Antiqua"/>
          <w:color w:val="000000"/>
          <w:lang w:val="es-ES"/>
        </w:rPr>
        <w:t xml:space="preserve">El memorial del Centro Comprensivo de Cáncer de la Universidad de Puerto Rico (CCCUPR) expresa un sólido y entusiasta respaldo al Proyecto de la Cámara 112, que propone declarar el 4 de septiembre como el “Día de la Concientización sobre la Leucemia Infantil”. Desde su rol como entidad líder en el control comprensivo del cáncer en la Isla, el CCCUPR resalta la importancia de </w:t>
      </w:r>
      <w:r w:rsidRPr="00AF56F6">
        <w:rPr>
          <w:rFonts w:ascii="Book Antiqua" w:eastAsia="Calibri" w:hAnsi="Book Antiqua"/>
          <w:color w:val="000000"/>
          <w:lang w:val="es-ES"/>
        </w:rPr>
        <w:lastRenderedPageBreak/>
        <w:t>esta medida por su alineación con su misión institucional de prevenir, orientar, investigar y tratar el cáncer, especialmente en la población pediátrica.</w:t>
      </w:r>
    </w:p>
    <w:p w14:paraId="28A5CCDA" w14:textId="77777777" w:rsidR="00832AC1" w:rsidRPr="00DE6C6C" w:rsidRDefault="00832AC1" w:rsidP="00832AC1">
      <w:pPr>
        <w:suppressLineNumbers/>
        <w:ind w:firstLine="720"/>
        <w:jc w:val="both"/>
        <w:rPr>
          <w:rFonts w:ascii="Book Antiqua" w:eastAsia="Calibri" w:hAnsi="Book Antiqua"/>
          <w:color w:val="000000"/>
          <w:lang w:val="es-ES"/>
        </w:rPr>
      </w:pPr>
    </w:p>
    <w:p w14:paraId="6CC5460C" w14:textId="6F18AA94" w:rsidR="00AF56F6" w:rsidRPr="00AF56F6" w:rsidRDefault="00AF56F6" w:rsidP="00832AC1">
      <w:pPr>
        <w:suppressLineNumbers/>
        <w:ind w:firstLine="720"/>
        <w:jc w:val="both"/>
        <w:rPr>
          <w:rFonts w:ascii="Book Antiqua" w:eastAsia="Calibri" w:hAnsi="Book Antiqua"/>
          <w:color w:val="000000"/>
          <w:lang w:val="es-ES"/>
        </w:rPr>
      </w:pPr>
      <w:r w:rsidRPr="00AF56F6">
        <w:rPr>
          <w:rFonts w:ascii="Book Antiqua" w:eastAsia="Calibri" w:hAnsi="Book Antiqua"/>
          <w:color w:val="000000"/>
          <w:lang w:val="es-ES"/>
        </w:rPr>
        <w:t xml:space="preserve">El memorial </w:t>
      </w:r>
      <w:r w:rsidR="00832AC1" w:rsidRPr="00DE6C6C">
        <w:rPr>
          <w:rFonts w:ascii="Book Antiqua" w:eastAsia="Calibri" w:hAnsi="Book Antiqua"/>
          <w:color w:val="000000"/>
          <w:lang w:val="es-ES"/>
        </w:rPr>
        <w:t>destaca</w:t>
      </w:r>
      <w:r w:rsidRPr="00AF56F6">
        <w:rPr>
          <w:rFonts w:ascii="Book Antiqua" w:eastAsia="Calibri" w:hAnsi="Book Antiqua"/>
          <w:color w:val="000000"/>
          <w:lang w:val="es-ES"/>
        </w:rPr>
        <w:t xml:space="preserve"> que la leucemia es el cáncer más común en menores de edad en Puerto Rico. De acuerdo con datos del Registro Central de Cáncer, entre 2018 y 2022, la leucemia representó el 31.4% de los casos de cáncer pediátrico en la Isla, superando significativamente a otros tipos como los linfomas y los tumores del sistema nervioso central. Este alto porcentaje revela una necesidad urgente de establecer iniciativas específicas de concienciación y educación dirigidas a padres, cuidadores, profesionales de la salud y al público general.</w:t>
      </w:r>
    </w:p>
    <w:p w14:paraId="3DCBF9BB" w14:textId="77777777" w:rsidR="00832AC1" w:rsidRPr="00DE6C6C" w:rsidRDefault="00832AC1" w:rsidP="00AF56F6">
      <w:pPr>
        <w:suppressLineNumbers/>
        <w:ind w:firstLine="720"/>
        <w:jc w:val="both"/>
        <w:rPr>
          <w:rFonts w:ascii="Book Antiqua" w:eastAsia="Calibri" w:hAnsi="Book Antiqua"/>
          <w:color w:val="000000"/>
          <w:lang w:val="es-ES"/>
        </w:rPr>
      </w:pPr>
    </w:p>
    <w:p w14:paraId="671D2714" w14:textId="7BB0842F" w:rsidR="00AF56F6" w:rsidRPr="00AF56F6" w:rsidRDefault="00AF56F6" w:rsidP="00AF56F6">
      <w:pPr>
        <w:suppressLineNumbers/>
        <w:ind w:firstLine="720"/>
        <w:jc w:val="both"/>
        <w:rPr>
          <w:rFonts w:ascii="Book Antiqua" w:eastAsia="Calibri" w:hAnsi="Book Antiqua"/>
          <w:color w:val="000000"/>
          <w:lang w:val="es-ES"/>
        </w:rPr>
      </w:pPr>
      <w:r w:rsidRPr="00AF56F6">
        <w:rPr>
          <w:rFonts w:ascii="Book Antiqua" w:eastAsia="Calibri" w:hAnsi="Book Antiqua"/>
          <w:color w:val="000000"/>
          <w:lang w:val="es-ES"/>
        </w:rPr>
        <w:t>El documento destaca que las formas agudas de leucemia infantil —especialmente la leucemia linfocítica aguda (LLA) y la leucemia mieloide aguda (LMA)— requieren detección temprana debido a su rápida progresión. Como no existen pruebas poblacionales de cernimiento, el reconocimiento de síntomas por parte de los adultos responsables de los menores es crucial. La medida legislativa, al establecer un día particular para fomentar la visibilidad del tema, facilitaría campañas educativas, actividades de apoyo y difusión de información clave para mejorar los resultados clínicos.</w:t>
      </w:r>
    </w:p>
    <w:p w14:paraId="74C357A2" w14:textId="77777777" w:rsidR="00832AC1" w:rsidRPr="00DE6C6C" w:rsidRDefault="00832AC1" w:rsidP="00AF56F6">
      <w:pPr>
        <w:suppressLineNumbers/>
        <w:ind w:firstLine="720"/>
        <w:jc w:val="both"/>
        <w:rPr>
          <w:rFonts w:ascii="Book Antiqua" w:eastAsia="Calibri" w:hAnsi="Book Antiqua"/>
          <w:color w:val="000000"/>
          <w:lang w:val="es-ES"/>
        </w:rPr>
      </w:pPr>
    </w:p>
    <w:p w14:paraId="647119AF" w14:textId="2054EAE0" w:rsidR="00AF56F6" w:rsidRPr="00AF56F6" w:rsidRDefault="00AF56F6" w:rsidP="00AF56F6">
      <w:pPr>
        <w:suppressLineNumbers/>
        <w:ind w:firstLine="720"/>
        <w:jc w:val="both"/>
        <w:rPr>
          <w:rFonts w:ascii="Book Antiqua" w:eastAsia="Calibri" w:hAnsi="Book Antiqua"/>
          <w:color w:val="000000"/>
          <w:lang w:val="es-ES"/>
        </w:rPr>
      </w:pPr>
      <w:r w:rsidRPr="00AF56F6">
        <w:rPr>
          <w:rFonts w:ascii="Book Antiqua" w:eastAsia="Calibri" w:hAnsi="Book Antiqua"/>
          <w:color w:val="000000"/>
          <w:lang w:val="es-ES"/>
        </w:rPr>
        <w:t>El CCCUPR valora que el proyecto ordene una proclama del Gobernador/a y que requiera acciones afirmativas de agencias como Salud, Educación y Familia. También respalda el uso del lazo anaranjado y dorado como símbolo oficial, entendiendo que esta combinación visualiza tanto el cáncer infantil como la leucemia en particular.</w:t>
      </w:r>
    </w:p>
    <w:p w14:paraId="4AB8C7B2" w14:textId="77777777" w:rsidR="00832AC1" w:rsidRPr="00DE6C6C" w:rsidRDefault="00832AC1" w:rsidP="00AF56F6">
      <w:pPr>
        <w:suppressLineNumbers/>
        <w:ind w:firstLine="720"/>
        <w:jc w:val="both"/>
        <w:rPr>
          <w:rFonts w:ascii="Book Antiqua" w:eastAsia="Calibri" w:hAnsi="Book Antiqua"/>
          <w:color w:val="000000"/>
          <w:lang w:val="es-ES"/>
        </w:rPr>
      </w:pPr>
    </w:p>
    <w:p w14:paraId="61F32C3C" w14:textId="0505CDE7" w:rsidR="00AF56F6" w:rsidRPr="00AF56F6" w:rsidRDefault="00AF56F6" w:rsidP="00AF56F6">
      <w:pPr>
        <w:suppressLineNumbers/>
        <w:ind w:firstLine="720"/>
        <w:jc w:val="both"/>
        <w:rPr>
          <w:rFonts w:ascii="Book Antiqua" w:eastAsia="Calibri" w:hAnsi="Book Antiqua"/>
          <w:color w:val="000000"/>
          <w:lang w:val="es-ES"/>
        </w:rPr>
      </w:pPr>
      <w:r w:rsidRPr="00AF56F6">
        <w:rPr>
          <w:rFonts w:ascii="Book Antiqua" w:eastAsia="Calibri" w:hAnsi="Book Antiqua"/>
          <w:color w:val="000000"/>
          <w:lang w:val="es-ES"/>
        </w:rPr>
        <w:t>Además de su endoso, el CCCUPR justifica su apoyo con varios argumentos: la medida responde a una necesidad específica y urgente, complementa otras iniciativas existentes sin ser redundante, y promueve el enfoque integral hacia el paciente y su familia. La entidad expresa su disposición a colaborar directamente en la ejecución de campañas y materiales educativos a través de sus divisiones de adiestramiento, educación y alcance comunitario.</w:t>
      </w:r>
    </w:p>
    <w:p w14:paraId="66CC231C" w14:textId="77777777" w:rsidR="00832AC1" w:rsidRPr="00DE6C6C" w:rsidRDefault="00832AC1" w:rsidP="00AF56F6">
      <w:pPr>
        <w:suppressLineNumbers/>
        <w:ind w:firstLine="720"/>
        <w:jc w:val="both"/>
        <w:rPr>
          <w:rFonts w:ascii="Book Antiqua" w:eastAsia="Calibri" w:hAnsi="Book Antiqua"/>
          <w:color w:val="000000"/>
          <w:lang w:val="es-ES"/>
        </w:rPr>
      </w:pPr>
    </w:p>
    <w:p w14:paraId="48F4D595" w14:textId="2DD1DB05" w:rsidR="00AF56F6" w:rsidRPr="00AF56F6" w:rsidRDefault="00AF56F6" w:rsidP="00AF56F6">
      <w:pPr>
        <w:suppressLineNumbers/>
        <w:ind w:firstLine="720"/>
        <w:jc w:val="both"/>
        <w:rPr>
          <w:rFonts w:ascii="Book Antiqua" w:eastAsia="Calibri" w:hAnsi="Book Antiqua"/>
          <w:color w:val="000000"/>
          <w:lang w:val="es-ES"/>
        </w:rPr>
      </w:pPr>
      <w:r w:rsidRPr="00AF56F6">
        <w:rPr>
          <w:rFonts w:ascii="Book Antiqua" w:eastAsia="Calibri" w:hAnsi="Book Antiqua"/>
          <w:color w:val="000000"/>
          <w:lang w:val="es-ES"/>
        </w:rPr>
        <w:t>Finalmente, el CCCUPR concluye que la aprobación del P. de la C. 112 contribuiría a fortalecer los esfuerzos de educación, prevención, diagnóstico temprano y apoyo psicosocial frente a la leucemia infantil, una de las enfermedades más devastadoras que enfrentan los menores en Puerto Rico</w:t>
      </w:r>
    </w:p>
    <w:p w14:paraId="271247BE" w14:textId="77777777" w:rsidR="00DE1613" w:rsidRDefault="00DE1613" w:rsidP="00BE0B8D">
      <w:pPr>
        <w:suppressLineNumbers/>
        <w:jc w:val="both"/>
        <w:rPr>
          <w:rFonts w:ascii="Book Antiqua" w:eastAsia="Calibri" w:hAnsi="Book Antiqua"/>
          <w:b/>
          <w:bCs/>
          <w:color w:val="000000"/>
          <w:u w:val="single"/>
          <w:lang w:val="es-ES"/>
        </w:rPr>
      </w:pPr>
    </w:p>
    <w:p w14:paraId="4257952B" w14:textId="77777777" w:rsidR="006565C8" w:rsidRDefault="006565C8" w:rsidP="006565C8">
      <w:pPr>
        <w:suppressLineNumbers/>
        <w:jc w:val="center"/>
        <w:rPr>
          <w:rFonts w:ascii="Book Antiqua" w:eastAsia="Calibri" w:hAnsi="Book Antiqua"/>
          <w:b/>
          <w:bCs/>
          <w:color w:val="000000"/>
          <w:u w:val="single"/>
          <w:lang w:val="es-ES"/>
        </w:rPr>
      </w:pPr>
    </w:p>
    <w:p w14:paraId="3755B011" w14:textId="77777777" w:rsidR="006565C8" w:rsidRDefault="006565C8" w:rsidP="006565C8">
      <w:pPr>
        <w:suppressLineNumbers/>
        <w:jc w:val="center"/>
        <w:rPr>
          <w:rFonts w:ascii="Book Antiqua" w:eastAsia="Calibri" w:hAnsi="Book Antiqua"/>
          <w:b/>
          <w:bCs/>
          <w:color w:val="000000"/>
          <w:u w:val="single"/>
          <w:lang w:val="es-ES"/>
        </w:rPr>
      </w:pPr>
    </w:p>
    <w:p w14:paraId="3F343B4A" w14:textId="77777777" w:rsidR="006565C8" w:rsidRDefault="006565C8" w:rsidP="006565C8">
      <w:pPr>
        <w:suppressLineNumbers/>
        <w:jc w:val="center"/>
        <w:rPr>
          <w:rFonts w:ascii="Book Antiqua" w:eastAsia="Calibri" w:hAnsi="Book Antiqua"/>
          <w:b/>
          <w:bCs/>
          <w:color w:val="000000"/>
          <w:u w:val="single"/>
          <w:lang w:val="es-ES"/>
        </w:rPr>
      </w:pPr>
    </w:p>
    <w:p w14:paraId="5A22E491" w14:textId="6D505E08" w:rsidR="006565C8" w:rsidRDefault="002C2A3B" w:rsidP="006565C8">
      <w:pPr>
        <w:suppressLineNumbers/>
        <w:jc w:val="center"/>
        <w:rPr>
          <w:rFonts w:ascii="Book Antiqua" w:eastAsia="Calibri" w:hAnsi="Book Antiqua"/>
          <w:color w:val="000000"/>
          <w:lang w:val="es-ES"/>
        </w:rPr>
      </w:pPr>
      <w:r w:rsidRPr="002C2A3B">
        <w:rPr>
          <w:rFonts w:ascii="Book Antiqua" w:eastAsia="Calibri" w:hAnsi="Book Antiqua"/>
          <w:b/>
          <w:bCs/>
          <w:color w:val="000000"/>
          <w:u w:val="single"/>
          <w:lang w:val="es-ES"/>
        </w:rPr>
        <w:lastRenderedPageBreak/>
        <w:t>Capítulo de Puerto Rico de la Academia Americana de Pediatría (PR-AAP)</w:t>
      </w:r>
      <w:r w:rsidR="007C36F5">
        <w:rPr>
          <w:rFonts w:ascii="Book Antiqua" w:eastAsia="Calibri" w:hAnsi="Book Antiqua"/>
          <w:color w:val="000000"/>
          <w:lang w:val="es-ES"/>
        </w:rPr>
        <w:t xml:space="preserve"> </w:t>
      </w:r>
    </w:p>
    <w:p w14:paraId="55A08B17" w14:textId="64A2F1CB" w:rsidR="002C2A3B" w:rsidRPr="007C36F5" w:rsidRDefault="007C36F5" w:rsidP="006565C8">
      <w:pPr>
        <w:suppressLineNumbers/>
        <w:jc w:val="center"/>
        <w:rPr>
          <w:rFonts w:ascii="Book Antiqua" w:eastAsia="Calibri" w:hAnsi="Book Antiqua"/>
          <w:color w:val="000000"/>
          <w:lang w:val="es-ES"/>
        </w:rPr>
      </w:pPr>
      <w:r>
        <w:rPr>
          <w:rFonts w:ascii="Book Antiqua" w:eastAsia="Calibri" w:hAnsi="Book Antiqua"/>
          <w:color w:val="000000"/>
          <w:lang w:val="es-ES"/>
        </w:rPr>
        <w:t>(7 de mayo de 2025)</w:t>
      </w:r>
    </w:p>
    <w:p w14:paraId="13A65F33" w14:textId="77777777" w:rsidR="00BE0B8D" w:rsidRPr="00DE6C6C" w:rsidRDefault="00BE0B8D" w:rsidP="002C2A3B">
      <w:pPr>
        <w:suppressLineNumbers/>
        <w:ind w:firstLine="720"/>
        <w:jc w:val="both"/>
        <w:rPr>
          <w:rFonts w:ascii="Book Antiqua" w:eastAsia="Calibri" w:hAnsi="Book Antiqua"/>
          <w:color w:val="000000"/>
          <w:lang w:val="es-ES"/>
        </w:rPr>
      </w:pPr>
    </w:p>
    <w:p w14:paraId="674C743C" w14:textId="6B54FB81" w:rsidR="002C2A3B" w:rsidRPr="00DE6C6C" w:rsidRDefault="002C2A3B" w:rsidP="002C2A3B">
      <w:pPr>
        <w:suppressLineNumbers/>
        <w:ind w:firstLine="720"/>
        <w:jc w:val="both"/>
        <w:rPr>
          <w:rFonts w:ascii="Book Antiqua" w:eastAsia="Calibri" w:hAnsi="Book Antiqua"/>
          <w:color w:val="000000"/>
          <w:lang w:val="es-ES"/>
        </w:rPr>
      </w:pPr>
      <w:r w:rsidRPr="002C2A3B">
        <w:rPr>
          <w:rFonts w:ascii="Book Antiqua" w:eastAsia="Calibri" w:hAnsi="Book Antiqua"/>
          <w:color w:val="000000"/>
          <w:lang w:val="es-ES"/>
        </w:rPr>
        <w:t xml:space="preserve">El Capítulo de Puerto Rico de la Academia Americana de Pediatría (PR-AAP) presentó un memorial en respaldo al Proyecto de la Cámara 112, que propone declarar el 4 de septiembre como el “Día de la Concientización sobre la Leucemia Infantil” en Puerto Rico. La organización </w:t>
      </w:r>
      <w:r w:rsidR="00B41917" w:rsidRPr="00DE6C6C">
        <w:rPr>
          <w:rFonts w:ascii="Book Antiqua" w:eastAsia="Calibri" w:hAnsi="Book Antiqua"/>
          <w:color w:val="000000"/>
          <w:lang w:val="es-ES"/>
        </w:rPr>
        <w:t>enfatiza</w:t>
      </w:r>
      <w:r w:rsidRPr="002C2A3B">
        <w:rPr>
          <w:rFonts w:ascii="Book Antiqua" w:eastAsia="Calibri" w:hAnsi="Book Antiqua"/>
          <w:color w:val="000000"/>
          <w:lang w:val="es-ES"/>
        </w:rPr>
        <w:t xml:space="preserve"> que esta iniciativa representa un paso crucial para promover la educación pública, la detección temprana, el tratamiento efectivo y el apoyo integral a los menores diagnosticados con leucemia y a sus familias.</w:t>
      </w:r>
    </w:p>
    <w:p w14:paraId="082FAC0D" w14:textId="77777777" w:rsidR="00B41917" w:rsidRPr="002C2A3B" w:rsidRDefault="00B41917" w:rsidP="002C2A3B">
      <w:pPr>
        <w:suppressLineNumbers/>
        <w:ind w:firstLine="720"/>
        <w:jc w:val="both"/>
        <w:rPr>
          <w:rFonts w:ascii="Book Antiqua" w:eastAsia="Calibri" w:hAnsi="Book Antiqua"/>
          <w:color w:val="000000"/>
          <w:lang w:val="es-ES"/>
        </w:rPr>
      </w:pPr>
    </w:p>
    <w:p w14:paraId="7B141D6D" w14:textId="77777777" w:rsidR="002C2A3B" w:rsidRPr="00DE6C6C" w:rsidRDefault="002C2A3B" w:rsidP="002C2A3B">
      <w:pPr>
        <w:suppressLineNumbers/>
        <w:ind w:firstLine="720"/>
        <w:jc w:val="both"/>
        <w:rPr>
          <w:rFonts w:ascii="Book Antiqua" w:eastAsia="Calibri" w:hAnsi="Book Antiqua"/>
          <w:color w:val="000000"/>
          <w:lang w:val="es-ES"/>
        </w:rPr>
      </w:pPr>
      <w:r w:rsidRPr="002C2A3B">
        <w:rPr>
          <w:rFonts w:ascii="Book Antiqua" w:eastAsia="Calibri" w:hAnsi="Book Antiqua"/>
          <w:color w:val="000000"/>
          <w:lang w:val="es-ES"/>
        </w:rPr>
        <w:t>La PR-AAP destaca que la leucemia aguda infantil es el tipo de cáncer más común entre los niños y niñas menores de 15 años, representando cerca de un tercio de los casos pediátricos de cáncer a nivel mundial. En Puerto Rico, esta enfermedad impacta anualmente a un número significativo de familias, muchas de las cuales enfrentan procesos complejos de tratamiento médico, hospitalizaciones prolongadas y secuelas físicas, cognitivas y emocionales. Entre las principales variantes clínicas se encuentra la leucemia linfoblástica aguda (ALL), que representa del 75 al 80 % de los casos, y la leucemia mieloide aguda (AML), con una incidencia menor pero también de alta complejidad terapéutica. Aunque los avances en tratamientos han mejorado la tasa de supervivencia —alrededor del 90 % para ALL y del 60 % para AML en contextos con acceso a tratamientos avanzados—, los efectos secundarios a largo plazo requieren vigilancia continua y apoyo multidisciplinario.</w:t>
      </w:r>
    </w:p>
    <w:p w14:paraId="3A6F9932" w14:textId="77777777" w:rsidR="00994A5B" w:rsidRPr="002C2A3B" w:rsidRDefault="00994A5B" w:rsidP="002C2A3B">
      <w:pPr>
        <w:suppressLineNumbers/>
        <w:ind w:firstLine="720"/>
        <w:jc w:val="both"/>
        <w:rPr>
          <w:rFonts w:ascii="Book Antiqua" w:eastAsia="Calibri" w:hAnsi="Book Antiqua"/>
          <w:color w:val="000000"/>
          <w:lang w:val="es-ES"/>
        </w:rPr>
      </w:pPr>
    </w:p>
    <w:p w14:paraId="4DB9D38F" w14:textId="2E550582" w:rsidR="002C2A3B" w:rsidRPr="00DE6C6C" w:rsidRDefault="002C2A3B" w:rsidP="002C2A3B">
      <w:pPr>
        <w:suppressLineNumbers/>
        <w:ind w:firstLine="720"/>
        <w:jc w:val="both"/>
        <w:rPr>
          <w:rFonts w:ascii="Book Antiqua" w:eastAsia="Calibri" w:hAnsi="Book Antiqua"/>
          <w:color w:val="000000"/>
          <w:lang w:val="es-ES"/>
        </w:rPr>
      </w:pPr>
      <w:r w:rsidRPr="002C2A3B">
        <w:rPr>
          <w:rFonts w:ascii="Book Antiqua" w:eastAsia="Calibri" w:hAnsi="Book Antiqua"/>
          <w:color w:val="000000"/>
          <w:lang w:val="es-ES"/>
        </w:rPr>
        <w:t xml:space="preserve">El memorial enfatiza el rol clave de la educación y concienciación como herramientas para facilitar diagnósticos tempranos, fortalecer la red de apoyo comunitario y combatir el estigma asociado a la enfermedad. El establecimiento de un día oficial dedicado permitiría institucionalizar campañas educativas, eventos escolares, actividades comunitarias y medios de comunicación orientados a sensibilizar sobre esta condición. Además, </w:t>
      </w:r>
      <w:r w:rsidR="00994A5B" w:rsidRPr="00DE6C6C">
        <w:rPr>
          <w:rFonts w:ascii="Book Antiqua" w:eastAsia="Calibri" w:hAnsi="Book Antiqua"/>
          <w:color w:val="000000"/>
          <w:lang w:val="es-ES"/>
        </w:rPr>
        <w:t>destaca</w:t>
      </w:r>
      <w:r w:rsidRPr="002C2A3B">
        <w:rPr>
          <w:rFonts w:ascii="Book Antiqua" w:eastAsia="Calibri" w:hAnsi="Book Antiqua"/>
          <w:color w:val="000000"/>
          <w:lang w:val="es-ES"/>
        </w:rPr>
        <w:t xml:space="preserve"> que visibilizar esta enfermedad ayuda a reforzar las políticas públicas necesarias para proveer atención integral, incluyendo salud mental, apoyo escolar, rehabilitación y acompañamiento familiar.</w:t>
      </w:r>
    </w:p>
    <w:p w14:paraId="618E229F" w14:textId="77777777" w:rsidR="00994A5B" w:rsidRPr="002C2A3B" w:rsidRDefault="00994A5B" w:rsidP="002C2A3B">
      <w:pPr>
        <w:suppressLineNumbers/>
        <w:ind w:firstLine="720"/>
        <w:jc w:val="both"/>
        <w:rPr>
          <w:rFonts w:ascii="Book Antiqua" w:eastAsia="Calibri" w:hAnsi="Book Antiqua"/>
          <w:color w:val="000000"/>
          <w:lang w:val="es-ES"/>
        </w:rPr>
      </w:pPr>
    </w:p>
    <w:p w14:paraId="6CF6039E" w14:textId="77777777" w:rsidR="002C2A3B" w:rsidRPr="00DE6C6C" w:rsidRDefault="002C2A3B" w:rsidP="002C2A3B">
      <w:pPr>
        <w:suppressLineNumbers/>
        <w:ind w:firstLine="720"/>
        <w:jc w:val="both"/>
        <w:rPr>
          <w:rFonts w:ascii="Book Antiqua" w:eastAsia="Calibri" w:hAnsi="Book Antiqua"/>
          <w:color w:val="000000"/>
          <w:lang w:val="es-ES"/>
        </w:rPr>
      </w:pPr>
      <w:r w:rsidRPr="002C2A3B">
        <w:rPr>
          <w:rFonts w:ascii="Book Antiqua" w:eastAsia="Calibri" w:hAnsi="Book Antiqua"/>
          <w:color w:val="000000"/>
          <w:lang w:val="es-ES"/>
        </w:rPr>
        <w:t xml:space="preserve">La PR-AAP propone que este día tenga como objetivos: educar sobre los signos y tratamientos de la leucemia infantil; visibilizar la experiencia de los pacientes y sus familias; respaldar el fortalecimiento de los servicios de oncología pediátrica; promover la participación en investigaciones clínicas; e impulsar alianzas multisectoriales que incluyan gobierno, academia, sistema de salud y entidades comunitarias. También respaldan la selección del 4 de septiembre en </w:t>
      </w:r>
      <w:r w:rsidRPr="002C2A3B">
        <w:rPr>
          <w:rFonts w:ascii="Book Antiqua" w:eastAsia="Calibri" w:hAnsi="Book Antiqua"/>
          <w:color w:val="000000"/>
          <w:lang w:val="es-ES"/>
        </w:rPr>
        <w:lastRenderedPageBreak/>
        <w:t>armonía con la conmemoración internacional del “World Leukemia Day” y con la legislación local que declara septiembre como el “Mes de la Conciencia sobre la Leucemia, Linfoma y Mieloma”.</w:t>
      </w:r>
    </w:p>
    <w:p w14:paraId="2384E459" w14:textId="77777777" w:rsidR="00994A5B" w:rsidRPr="002C2A3B" w:rsidRDefault="00994A5B" w:rsidP="002C2A3B">
      <w:pPr>
        <w:suppressLineNumbers/>
        <w:ind w:firstLine="720"/>
        <w:jc w:val="both"/>
        <w:rPr>
          <w:rFonts w:ascii="Book Antiqua" w:eastAsia="Calibri" w:hAnsi="Book Antiqua"/>
          <w:color w:val="000000"/>
          <w:lang w:val="es-ES"/>
        </w:rPr>
      </w:pPr>
    </w:p>
    <w:p w14:paraId="34F5A91A" w14:textId="77777777" w:rsidR="002C2A3B" w:rsidRPr="002C2A3B" w:rsidRDefault="002C2A3B" w:rsidP="002C2A3B">
      <w:pPr>
        <w:suppressLineNumbers/>
        <w:ind w:firstLine="720"/>
        <w:jc w:val="both"/>
        <w:rPr>
          <w:rFonts w:ascii="Book Antiqua" w:eastAsia="Calibri" w:hAnsi="Book Antiqua"/>
          <w:color w:val="000000"/>
          <w:lang w:val="es-ES"/>
        </w:rPr>
      </w:pPr>
      <w:r w:rsidRPr="002C2A3B">
        <w:rPr>
          <w:rFonts w:ascii="Book Antiqua" w:eastAsia="Calibri" w:hAnsi="Book Antiqua"/>
          <w:color w:val="000000"/>
          <w:lang w:val="es-ES"/>
        </w:rPr>
        <w:t>En conclusión, la PR-AAP considera que el P. de la C. 112 responde a una necesidad médica, social y ética urgente, y que su aprobación permitirá no solo educar y prevenir, sino también fomentar la solidaridad, justicia social y compromiso colectivo con la niñez puertorriqueña afectada por esta enfermedad</w:t>
      </w:r>
    </w:p>
    <w:p w14:paraId="17563C02" w14:textId="77777777" w:rsidR="00706240" w:rsidRPr="00DE6C6C" w:rsidRDefault="00706240" w:rsidP="00706240">
      <w:pPr>
        <w:jc w:val="both"/>
        <w:rPr>
          <w:rFonts w:ascii="Book Antiqua" w:hAnsi="Book Antiqua"/>
          <w:bCs/>
          <w:lang w:val="es-ES"/>
        </w:rPr>
      </w:pPr>
    </w:p>
    <w:p w14:paraId="557DE2A4" w14:textId="7810D1DB" w:rsidR="00706240" w:rsidRPr="00DE6C6C" w:rsidRDefault="00625485" w:rsidP="007F0F91">
      <w:pPr>
        <w:pStyle w:val="Heading3"/>
        <w:jc w:val="center"/>
        <w:rPr>
          <w:rFonts w:ascii="Book Antiqua" w:hAnsi="Book Antiqua"/>
          <w:b/>
          <w:color w:val="auto"/>
          <w:sz w:val="24"/>
          <w:szCs w:val="24"/>
          <w:lang w:val="es-ES"/>
        </w:rPr>
      </w:pPr>
      <w:r w:rsidRPr="00DE6C6C">
        <w:rPr>
          <w:rFonts w:ascii="Book Antiqua" w:hAnsi="Book Antiqua"/>
          <w:b/>
          <w:color w:val="auto"/>
          <w:sz w:val="24"/>
          <w:szCs w:val="24"/>
          <w:lang w:val="es-ES"/>
        </w:rPr>
        <w:t>IMPACTO FISCAL</w:t>
      </w:r>
    </w:p>
    <w:p w14:paraId="551F0C03" w14:textId="34F8DC96" w:rsidR="00C2251D" w:rsidRPr="00DE6C6C" w:rsidRDefault="00C2251D" w:rsidP="00C2251D">
      <w:pPr>
        <w:ind w:firstLine="720"/>
        <w:jc w:val="both"/>
        <w:rPr>
          <w:rFonts w:ascii="Book Antiqua" w:hAnsi="Book Antiqua"/>
          <w:lang w:val="es-ES"/>
        </w:rPr>
      </w:pPr>
      <w:r w:rsidRPr="00DE6C6C">
        <w:rPr>
          <w:rFonts w:ascii="Book Antiqua" w:hAnsi="Book Antiqua"/>
          <w:lang w:val="es-ES"/>
        </w:rPr>
        <w:t xml:space="preserve">El P. de la C. </w:t>
      </w:r>
      <w:r w:rsidR="00DE6C6C" w:rsidRPr="00DE6C6C">
        <w:rPr>
          <w:rFonts w:ascii="Book Antiqua" w:hAnsi="Book Antiqua"/>
          <w:lang w:val="es-ES"/>
        </w:rPr>
        <w:t>112</w:t>
      </w:r>
      <w:r w:rsidRPr="00DE6C6C">
        <w:rPr>
          <w:rFonts w:ascii="Book Antiqua" w:hAnsi="Book Antiqua"/>
          <w:lang w:val="es-ES"/>
        </w:rPr>
        <w:t xml:space="preserve"> no conlleva impacto fiscal</w:t>
      </w:r>
      <w:r w:rsidR="00727BE6" w:rsidRPr="00DE6C6C">
        <w:rPr>
          <w:rFonts w:ascii="Book Antiqua" w:hAnsi="Book Antiqua"/>
          <w:lang w:val="es-ES"/>
        </w:rPr>
        <w:t xml:space="preserve"> alguno</w:t>
      </w:r>
      <w:r w:rsidRPr="00DE6C6C">
        <w:rPr>
          <w:rFonts w:ascii="Book Antiqua" w:hAnsi="Book Antiqua"/>
          <w:lang w:val="es-ES"/>
        </w:rPr>
        <w:t>, la ley puede ser puesta en vigor y aplicarse con el presupuesto de la agencia concernida</w:t>
      </w:r>
      <w:r w:rsidR="00727BE6" w:rsidRPr="00DE6C6C">
        <w:rPr>
          <w:rFonts w:ascii="Book Antiqua" w:hAnsi="Book Antiqua"/>
          <w:lang w:val="es-ES"/>
        </w:rPr>
        <w:t xml:space="preserve"> de ser necesario</w:t>
      </w:r>
      <w:r w:rsidRPr="00DE6C6C">
        <w:rPr>
          <w:rFonts w:ascii="Book Antiqua" w:hAnsi="Book Antiqua"/>
          <w:lang w:val="es-ES"/>
        </w:rPr>
        <w:t>.</w:t>
      </w:r>
    </w:p>
    <w:p w14:paraId="6544245B" w14:textId="051E2179" w:rsidR="0058217B" w:rsidRPr="00DE6C6C" w:rsidRDefault="0058217B" w:rsidP="00C2251D">
      <w:pPr>
        <w:jc w:val="both"/>
        <w:rPr>
          <w:rFonts w:ascii="Book Antiqua" w:hAnsi="Book Antiqua"/>
          <w:lang w:val="es-ES"/>
        </w:rPr>
      </w:pPr>
    </w:p>
    <w:p w14:paraId="424AFAD5" w14:textId="77777777" w:rsidR="00104EFE" w:rsidRPr="00DE6C6C" w:rsidRDefault="00104EFE" w:rsidP="005E4FED">
      <w:pPr>
        <w:pStyle w:val="Heading3"/>
        <w:jc w:val="center"/>
        <w:rPr>
          <w:rFonts w:ascii="Book Antiqua" w:hAnsi="Book Antiqua"/>
          <w:b/>
          <w:bCs/>
          <w:color w:val="auto"/>
          <w:sz w:val="24"/>
          <w:szCs w:val="24"/>
          <w:lang w:val="es-ES"/>
        </w:rPr>
      </w:pPr>
      <w:r w:rsidRPr="00DE6C6C">
        <w:rPr>
          <w:rFonts w:ascii="Book Antiqua" w:hAnsi="Book Antiqua"/>
          <w:b/>
          <w:bCs/>
          <w:color w:val="auto"/>
          <w:sz w:val="24"/>
          <w:szCs w:val="24"/>
          <w:lang w:val="es-ES"/>
        </w:rPr>
        <w:t>CONCLUSIÓN</w:t>
      </w:r>
    </w:p>
    <w:p w14:paraId="60D56F9A" w14:textId="77777777" w:rsidR="00DE6C6C" w:rsidRPr="00DE6C6C" w:rsidRDefault="00DE6C6C" w:rsidP="00DE6C6C">
      <w:pPr>
        <w:ind w:firstLine="720"/>
        <w:jc w:val="both"/>
        <w:rPr>
          <w:rFonts w:ascii="Book Antiqua" w:hAnsi="Book Antiqua"/>
          <w:lang w:val="es-ES"/>
        </w:rPr>
      </w:pPr>
      <w:r w:rsidRPr="00DE6C6C">
        <w:rPr>
          <w:rFonts w:ascii="Book Antiqua" w:hAnsi="Book Antiqua"/>
          <w:lang w:val="es-ES"/>
        </w:rPr>
        <w:t>La aprobación del Proyecto de la Cámara 112 representa un paso afirmativo y necesario en la protección de la salud de la niñez puertorriqueña, al declarar el 4 de septiembre como el “Día de la Concientización sobre la Leucemia Infantil”. Esta medida ha recibido el respaldo de entidades clave como el Colegio de Médicos Cirujanos, el Centro Comprensivo de Cáncer de la Universidad de Puerto Rico y el Capítulo de Puerto Rico de la Academia Americana de Pediatría, quienes coinciden en que la leucemia es el tipo de cáncer pediátrico más común en la Isla, representando sobre un 30 % de los casos infantiles. Las organizaciones médicas destacan que, por tratarse de una enfermedad de progresión rápida y síntomas inespecíficos, la educación sobre sus signos y factores de riesgo resulta crucial para su detección oportuna, lo que puede marcar una diferencia sustancial en el pronóstico del menor.</w:t>
      </w:r>
    </w:p>
    <w:p w14:paraId="1BA74031" w14:textId="77777777" w:rsidR="00DE6C6C" w:rsidRPr="00DE6C6C" w:rsidRDefault="00DE6C6C" w:rsidP="00DE6C6C">
      <w:pPr>
        <w:ind w:firstLine="720"/>
        <w:jc w:val="both"/>
        <w:rPr>
          <w:rFonts w:ascii="Book Antiqua" w:hAnsi="Book Antiqua"/>
          <w:lang w:val="es-ES"/>
        </w:rPr>
      </w:pPr>
    </w:p>
    <w:p w14:paraId="77273E9C" w14:textId="23374D90" w:rsidR="00DE6C6C" w:rsidRPr="00DE6C6C" w:rsidRDefault="00DE6C6C" w:rsidP="00DE6C6C">
      <w:pPr>
        <w:ind w:firstLine="720"/>
        <w:jc w:val="both"/>
        <w:rPr>
          <w:rFonts w:ascii="Book Antiqua" w:hAnsi="Book Antiqua"/>
          <w:lang w:val="es-ES"/>
        </w:rPr>
      </w:pPr>
      <w:r w:rsidRPr="00DE6C6C">
        <w:rPr>
          <w:rFonts w:ascii="Book Antiqua" w:hAnsi="Book Antiqua"/>
          <w:lang w:val="es-ES"/>
        </w:rPr>
        <w:t>Además de fomentar el conocimiento sobre la enfermedad, la medida institucionaliza un esfuerzo anual de movilización educativa, comunitaria y gubernamental, que puede fortalecer las redes de apoyo, visibilizar las necesidades psicosociales de las familias afectadas e incentivar la investigación clínica en Puerto Rico. La conmemoración del 4 de septiembre, en consonancia con el calendario internacional, permitirá concentrar recursos y atención pública en esta condición, maximizando el impacto de políticas existentes como las promovidas por las leyes 159-2010 y 76-2012. Así, el P. de la C. 112 se convierte en una herramienta de justicia social y salud pública, dirigida a proteger el bienestar de la población infantil más vulnerable del país, y en un símbolo de solidaridad colectiva con los menores que enfrentan el reto de la leucemia.</w:t>
      </w:r>
    </w:p>
    <w:p w14:paraId="44310588" w14:textId="77777777" w:rsidR="00C2251D" w:rsidRPr="00DE6C6C" w:rsidRDefault="00C2251D" w:rsidP="001A4FD1">
      <w:pPr>
        <w:jc w:val="both"/>
        <w:rPr>
          <w:rFonts w:ascii="Book Antiqua" w:hAnsi="Book Antiqua"/>
          <w:b/>
          <w:bCs/>
          <w:color w:val="000000"/>
          <w:lang w:val="es-ES"/>
        </w:rPr>
      </w:pPr>
    </w:p>
    <w:p w14:paraId="4D8E8515" w14:textId="77777777" w:rsidR="006565C8" w:rsidRDefault="006565C8" w:rsidP="006D5C32">
      <w:pPr>
        <w:ind w:firstLine="720"/>
        <w:jc w:val="both"/>
        <w:rPr>
          <w:rFonts w:ascii="Book Antiqua" w:hAnsi="Book Antiqua"/>
          <w:b/>
          <w:bCs/>
          <w:color w:val="000000"/>
          <w:lang w:val="es-ES"/>
        </w:rPr>
      </w:pPr>
    </w:p>
    <w:p w14:paraId="09E7F4F9" w14:textId="1084B132" w:rsidR="00104EFE" w:rsidRPr="00DE6C6C" w:rsidRDefault="006D343E" w:rsidP="006D5C32">
      <w:pPr>
        <w:ind w:firstLine="720"/>
        <w:jc w:val="both"/>
        <w:rPr>
          <w:rFonts w:ascii="Book Antiqua" w:hAnsi="Book Antiqua"/>
          <w:lang w:val="es-ES"/>
        </w:rPr>
      </w:pPr>
      <w:r w:rsidRPr="00DE6C6C">
        <w:rPr>
          <w:rFonts w:ascii="Book Antiqua" w:hAnsi="Book Antiqua"/>
          <w:b/>
          <w:bCs/>
          <w:color w:val="000000"/>
          <w:lang w:val="es-ES"/>
        </w:rPr>
        <w:t>POR</w:t>
      </w:r>
      <w:r w:rsidRPr="00DE6C6C">
        <w:rPr>
          <w:rFonts w:ascii="Book Antiqua" w:hAnsi="Book Antiqua"/>
          <w:lang w:val="es-ES"/>
        </w:rPr>
        <w:t xml:space="preserve"> </w:t>
      </w:r>
      <w:r w:rsidRPr="00DE6C6C">
        <w:rPr>
          <w:rFonts w:ascii="Book Antiqua" w:hAnsi="Book Antiqua"/>
          <w:b/>
          <w:bCs/>
          <w:lang w:val="es-ES"/>
        </w:rPr>
        <w:t>LOS FUNDAMENTOS ANTES ESPUESTOS</w:t>
      </w:r>
      <w:r w:rsidRPr="00DE6C6C">
        <w:rPr>
          <w:rFonts w:ascii="Book Antiqua" w:hAnsi="Book Antiqua"/>
          <w:lang w:val="es-ES"/>
        </w:rPr>
        <w:t xml:space="preserve">, </w:t>
      </w:r>
      <w:r w:rsidR="006D5C32" w:rsidRPr="00DE6C6C">
        <w:rPr>
          <w:rFonts w:ascii="Book Antiqua" w:hAnsi="Book Antiqua"/>
          <w:lang w:val="es-ES"/>
        </w:rPr>
        <w:t>luego de lleva</w:t>
      </w:r>
      <w:r w:rsidR="006565C8">
        <w:rPr>
          <w:rFonts w:ascii="Book Antiqua" w:hAnsi="Book Antiqua"/>
          <w:lang w:val="es-ES"/>
        </w:rPr>
        <w:t>r</w:t>
      </w:r>
      <w:r w:rsidR="006D5C32" w:rsidRPr="00DE6C6C">
        <w:rPr>
          <w:rFonts w:ascii="Book Antiqua" w:hAnsi="Book Antiqua"/>
          <w:lang w:val="es-ES"/>
        </w:rPr>
        <w:t xml:space="preserve"> a cabo un análisis y evaluación sobre todos los elementos </w:t>
      </w:r>
      <w:r w:rsidR="006565C8">
        <w:rPr>
          <w:rFonts w:ascii="Book Antiqua" w:hAnsi="Book Antiqua"/>
          <w:lang w:val="es-ES"/>
        </w:rPr>
        <w:t xml:space="preserve">de esta </w:t>
      </w:r>
      <w:r w:rsidR="006D5C32" w:rsidRPr="00DE6C6C">
        <w:rPr>
          <w:rFonts w:ascii="Book Antiqua" w:hAnsi="Book Antiqua"/>
          <w:lang w:val="es-ES"/>
        </w:rPr>
        <w:t xml:space="preserve">pieza legislativa, </w:t>
      </w:r>
      <w:r w:rsidR="00104EFE" w:rsidRPr="00DE6C6C">
        <w:rPr>
          <w:rFonts w:ascii="Book Antiqua" w:hAnsi="Book Antiqua"/>
          <w:lang w:val="es-ES"/>
        </w:rPr>
        <w:t xml:space="preserve">la Comisión de </w:t>
      </w:r>
      <w:r w:rsidR="005E4FED" w:rsidRPr="00DE6C6C">
        <w:rPr>
          <w:rFonts w:ascii="Book Antiqua" w:hAnsi="Book Antiqua"/>
          <w:lang w:val="es-ES"/>
        </w:rPr>
        <w:t>Salud</w:t>
      </w:r>
      <w:r w:rsidR="00104EFE" w:rsidRPr="00DE6C6C">
        <w:rPr>
          <w:rFonts w:ascii="Book Antiqua" w:hAnsi="Book Antiqua"/>
          <w:lang w:val="es-ES"/>
        </w:rPr>
        <w:t xml:space="preserve"> somete el presente Informe Positivo en el que recomiendan a este Augusto Cuerpo la aprobación</w:t>
      </w:r>
      <w:r w:rsidR="006D5C32" w:rsidRPr="00DE6C6C">
        <w:rPr>
          <w:rFonts w:ascii="Book Antiqua" w:hAnsi="Book Antiqua"/>
          <w:lang w:val="es-ES"/>
        </w:rPr>
        <w:t xml:space="preserve"> del P. de la C. </w:t>
      </w:r>
      <w:r w:rsidR="00073BCC" w:rsidRPr="00DE6C6C">
        <w:rPr>
          <w:rFonts w:ascii="Book Antiqua" w:hAnsi="Book Antiqua"/>
          <w:lang w:val="es-ES"/>
        </w:rPr>
        <w:t>1</w:t>
      </w:r>
      <w:r w:rsidR="001A4FD1">
        <w:rPr>
          <w:rFonts w:ascii="Book Antiqua" w:hAnsi="Book Antiqua"/>
          <w:lang w:val="es-ES"/>
        </w:rPr>
        <w:t>12</w:t>
      </w:r>
      <w:r w:rsidR="00104EFE" w:rsidRPr="00DE6C6C">
        <w:rPr>
          <w:rFonts w:ascii="Book Antiqua" w:hAnsi="Book Antiqua"/>
          <w:lang w:val="es-ES"/>
        </w:rPr>
        <w:t xml:space="preserve">, </w:t>
      </w:r>
      <w:r w:rsidR="00C65406" w:rsidRPr="00DE6C6C">
        <w:rPr>
          <w:rFonts w:ascii="Book Antiqua" w:hAnsi="Book Antiqua"/>
          <w:lang w:val="es-ES"/>
        </w:rPr>
        <w:t>con las</w:t>
      </w:r>
      <w:r w:rsidR="003167FA" w:rsidRPr="00DE6C6C">
        <w:rPr>
          <w:rFonts w:ascii="Book Antiqua" w:hAnsi="Book Antiqua"/>
          <w:lang w:val="es-ES"/>
        </w:rPr>
        <w:t xml:space="preserve"> </w:t>
      </w:r>
      <w:r w:rsidR="00104EFE" w:rsidRPr="00DE6C6C">
        <w:rPr>
          <w:rFonts w:ascii="Book Antiqua" w:hAnsi="Book Antiqua"/>
          <w:lang w:val="es-ES"/>
        </w:rPr>
        <w:t>enmiendas</w:t>
      </w:r>
      <w:r w:rsidR="00C65406" w:rsidRPr="00DE6C6C">
        <w:rPr>
          <w:rFonts w:ascii="Book Antiqua" w:hAnsi="Book Antiqua"/>
          <w:lang w:val="es-ES"/>
        </w:rPr>
        <w:t xml:space="preserve"> contenidas en el entirillado electrónico que se aneja</w:t>
      </w:r>
      <w:r w:rsidR="006D5C32" w:rsidRPr="00DE6C6C">
        <w:rPr>
          <w:rFonts w:ascii="Book Antiqua" w:hAnsi="Book Antiqua"/>
          <w:lang w:val="es-ES"/>
        </w:rPr>
        <w:t>.</w:t>
      </w:r>
      <w:r w:rsidR="00104EFE" w:rsidRPr="00DE6C6C">
        <w:rPr>
          <w:rFonts w:ascii="Book Antiqua" w:hAnsi="Book Antiqua"/>
          <w:lang w:val="es-ES"/>
        </w:rPr>
        <w:t xml:space="preserve"> </w:t>
      </w:r>
    </w:p>
    <w:p w14:paraId="22ADA23E" w14:textId="77777777" w:rsidR="00104EFE" w:rsidRPr="00DE6C6C" w:rsidRDefault="00104EFE" w:rsidP="00104EFE">
      <w:pPr>
        <w:pStyle w:val="BodyText"/>
        <w:jc w:val="left"/>
        <w:rPr>
          <w:rFonts w:ascii="Book Antiqua" w:hAnsi="Book Antiqua"/>
          <w:sz w:val="22"/>
          <w:lang w:val="es-ES"/>
        </w:rPr>
      </w:pPr>
    </w:p>
    <w:p w14:paraId="7A35D752" w14:textId="77777777" w:rsidR="00104EFE" w:rsidRPr="00DE6C6C" w:rsidRDefault="00104EFE" w:rsidP="00104EFE">
      <w:pPr>
        <w:pStyle w:val="BodyText"/>
        <w:jc w:val="left"/>
        <w:rPr>
          <w:rFonts w:ascii="Book Antiqua" w:hAnsi="Book Antiqua"/>
          <w:lang w:val="es-ES"/>
        </w:rPr>
      </w:pPr>
      <w:r w:rsidRPr="00DE6C6C">
        <w:rPr>
          <w:rFonts w:ascii="Book Antiqua" w:hAnsi="Book Antiqua"/>
          <w:lang w:val="es-ES"/>
        </w:rPr>
        <w:t>Respetuosamente sometido,</w:t>
      </w:r>
    </w:p>
    <w:p w14:paraId="7E926AD5" w14:textId="77777777" w:rsidR="00104EFE" w:rsidRPr="00DE6C6C" w:rsidRDefault="00104EFE" w:rsidP="00104EFE">
      <w:pPr>
        <w:pStyle w:val="BodyText"/>
        <w:jc w:val="left"/>
        <w:rPr>
          <w:rFonts w:ascii="Book Antiqua" w:hAnsi="Book Antiqua"/>
          <w:lang w:val="es-ES"/>
        </w:rPr>
      </w:pPr>
    </w:p>
    <w:p w14:paraId="52196BEF" w14:textId="77777777" w:rsidR="00104EFE" w:rsidRPr="00DE6C6C" w:rsidRDefault="00104EFE" w:rsidP="00104EFE">
      <w:pPr>
        <w:pStyle w:val="BodyText"/>
        <w:jc w:val="left"/>
        <w:rPr>
          <w:rFonts w:ascii="Book Antiqua" w:hAnsi="Book Antiqua"/>
          <w:lang w:val="es-ES"/>
        </w:rPr>
      </w:pPr>
    </w:p>
    <w:p w14:paraId="344E81B9" w14:textId="77777777" w:rsidR="00104EFE" w:rsidRPr="00DE6C6C" w:rsidRDefault="00104EFE" w:rsidP="00104EFE">
      <w:pPr>
        <w:pStyle w:val="BodyText"/>
        <w:jc w:val="left"/>
        <w:rPr>
          <w:rFonts w:ascii="Book Antiqua" w:hAnsi="Book Antiqua"/>
          <w:lang w:val="es-ES"/>
        </w:rPr>
      </w:pPr>
    </w:p>
    <w:p w14:paraId="42D35E23" w14:textId="23231BFC" w:rsidR="00104EFE" w:rsidRPr="00DE6C6C" w:rsidRDefault="00E602E9" w:rsidP="00104EFE">
      <w:pPr>
        <w:pStyle w:val="BodyText"/>
        <w:jc w:val="left"/>
        <w:rPr>
          <w:rFonts w:ascii="Book Antiqua" w:hAnsi="Book Antiqua"/>
          <w:b/>
          <w:bCs/>
          <w:i/>
          <w:iCs/>
          <w:lang w:val="es-ES"/>
        </w:rPr>
      </w:pPr>
      <w:r w:rsidRPr="00DE6C6C">
        <w:rPr>
          <w:rFonts w:ascii="Book Antiqua" w:hAnsi="Book Antiqua"/>
          <w:b/>
          <w:bCs/>
          <w:i/>
          <w:iCs/>
          <w:lang w:val="es-ES"/>
        </w:rPr>
        <w:t xml:space="preserve">Hon. </w:t>
      </w:r>
      <w:r w:rsidR="005E4FED" w:rsidRPr="00DE6C6C">
        <w:rPr>
          <w:rFonts w:ascii="Book Antiqua" w:hAnsi="Book Antiqua"/>
          <w:b/>
          <w:bCs/>
          <w:i/>
          <w:iCs/>
          <w:lang w:val="es-ES"/>
        </w:rPr>
        <w:t>Gabriel Rodríguez Aguiló</w:t>
      </w:r>
      <w:r w:rsidR="00104EFE" w:rsidRPr="00DE6C6C">
        <w:rPr>
          <w:rFonts w:ascii="Book Antiqua" w:hAnsi="Book Antiqua"/>
          <w:b/>
          <w:bCs/>
          <w:i/>
          <w:iCs/>
          <w:lang w:val="es-ES"/>
        </w:rPr>
        <w:tab/>
      </w:r>
      <w:r w:rsidR="00104EFE" w:rsidRPr="00DE6C6C">
        <w:rPr>
          <w:rFonts w:ascii="Book Antiqua" w:hAnsi="Book Antiqua"/>
          <w:b/>
          <w:bCs/>
          <w:i/>
          <w:iCs/>
          <w:lang w:val="es-ES"/>
        </w:rPr>
        <w:tab/>
        <w:t xml:space="preserve"> </w:t>
      </w:r>
    </w:p>
    <w:p w14:paraId="41CF4CF1" w14:textId="77777777" w:rsidR="00104EFE" w:rsidRPr="00DE6C6C" w:rsidRDefault="00104EFE" w:rsidP="00104EFE">
      <w:pPr>
        <w:pStyle w:val="BodyText"/>
        <w:jc w:val="left"/>
        <w:rPr>
          <w:rFonts w:ascii="Book Antiqua" w:hAnsi="Book Antiqua"/>
          <w:lang w:val="es-ES"/>
        </w:rPr>
      </w:pPr>
      <w:r w:rsidRPr="00DE6C6C">
        <w:rPr>
          <w:rFonts w:ascii="Book Antiqua" w:hAnsi="Book Antiqua"/>
          <w:lang w:val="es-ES"/>
        </w:rPr>
        <w:t>Presidente</w:t>
      </w:r>
      <w:r w:rsidRPr="00DE6C6C">
        <w:rPr>
          <w:rFonts w:ascii="Book Antiqua" w:hAnsi="Book Antiqua"/>
          <w:lang w:val="es-ES"/>
        </w:rPr>
        <w:tab/>
      </w:r>
      <w:r w:rsidRPr="00DE6C6C">
        <w:rPr>
          <w:rFonts w:ascii="Book Antiqua" w:hAnsi="Book Antiqua"/>
          <w:lang w:val="es-ES"/>
        </w:rPr>
        <w:tab/>
      </w:r>
      <w:r w:rsidRPr="00DE6C6C">
        <w:rPr>
          <w:rFonts w:ascii="Book Antiqua" w:hAnsi="Book Antiqua"/>
          <w:lang w:val="es-ES"/>
        </w:rPr>
        <w:tab/>
      </w:r>
      <w:r w:rsidRPr="00DE6C6C">
        <w:rPr>
          <w:rFonts w:ascii="Book Antiqua" w:hAnsi="Book Antiqua"/>
          <w:lang w:val="es-ES"/>
        </w:rPr>
        <w:tab/>
      </w:r>
      <w:r w:rsidRPr="00DE6C6C">
        <w:rPr>
          <w:rFonts w:ascii="Book Antiqua" w:hAnsi="Book Antiqua"/>
          <w:lang w:val="es-ES"/>
        </w:rPr>
        <w:tab/>
      </w:r>
      <w:r w:rsidRPr="00DE6C6C">
        <w:rPr>
          <w:rFonts w:ascii="Book Antiqua" w:hAnsi="Book Antiqua"/>
          <w:lang w:val="es-ES"/>
        </w:rPr>
        <w:tab/>
      </w:r>
      <w:r w:rsidRPr="00DE6C6C">
        <w:rPr>
          <w:rFonts w:ascii="Book Antiqua" w:hAnsi="Book Antiqua"/>
          <w:lang w:val="es-ES"/>
        </w:rPr>
        <w:tab/>
      </w:r>
      <w:r w:rsidRPr="00DE6C6C">
        <w:rPr>
          <w:rFonts w:ascii="Book Antiqua" w:hAnsi="Book Antiqua"/>
          <w:lang w:val="es-ES"/>
        </w:rPr>
        <w:tab/>
      </w:r>
      <w:r w:rsidRPr="00DE6C6C">
        <w:rPr>
          <w:rFonts w:ascii="Book Antiqua" w:hAnsi="Book Antiqua"/>
          <w:lang w:val="es-ES"/>
        </w:rPr>
        <w:tab/>
      </w:r>
      <w:r w:rsidRPr="00DE6C6C">
        <w:rPr>
          <w:rFonts w:ascii="Book Antiqua" w:hAnsi="Book Antiqua"/>
          <w:lang w:val="es-ES"/>
        </w:rPr>
        <w:tab/>
      </w:r>
    </w:p>
    <w:p w14:paraId="48C7866D" w14:textId="012C0253" w:rsidR="00104EFE" w:rsidRPr="00DE6C6C" w:rsidRDefault="00104EFE" w:rsidP="00104EFE">
      <w:pPr>
        <w:pStyle w:val="BodyText"/>
        <w:ind w:left="5760" w:hanging="5760"/>
        <w:jc w:val="left"/>
        <w:rPr>
          <w:rFonts w:ascii="Book Antiqua" w:hAnsi="Book Antiqua"/>
          <w:lang w:val="es-ES"/>
        </w:rPr>
      </w:pPr>
      <w:r w:rsidRPr="00DE6C6C">
        <w:rPr>
          <w:rFonts w:ascii="Book Antiqua" w:hAnsi="Book Antiqua"/>
          <w:lang w:val="es-ES"/>
        </w:rPr>
        <w:t xml:space="preserve">Comisión de </w:t>
      </w:r>
      <w:r w:rsidR="005E4FED" w:rsidRPr="00DE6C6C">
        <w:rPr>
          <w:rFonts w:ascii="Book Antiqua" w:hAnsi="Book Antiqua"/>
          <w:lang w:val="es-ES"/>
        </w:rPr>
        <w:t>Salud</w:t>
      </w:r>
    </w:p>
    <w:p w14:paraId="386EF6A3" w14:textId="77777777" w:rsidR="00511CA3" w:rsidRPr="00DE6C6C" w:rsidRDefault="00511CA3">
      <w:pPr>
        <w:rPr>
          <w:lang w:val="es-ES"/>
        </w:rPr>
      </w:pPr>
    </w:p>
    <w:sectPr w:rsidR="00511CA3" w:rsidRPr="00DE6C6C" w:rsidSect="00104EFE">
      <w:headerReference w:type="even" r:id="rId10"/>
      <w:headerReference w:type="default" r:id="rId11"/>
      <w:footerReference w:type="default" r:id="rId12"/>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49C35" w14:textId="77777777" w:rsidR="00D36717" w:rsidRDefault="00D36717" w:rsidP="00104EFE">
      <w:r>
        <w:separator/>
      </w:r>
    </w:p>
  </w:endnote>
  <w:endnote w:type="continuationSeparator" w:id="0">
    <w:p w14:paraId="607C357B" w14:textId="77777777" w:rsidR="00D36717" w:rsidRDefault="00D36717"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2895F" w14:textId="0841870F" w:rsidR="005F0666" w:rsidRPr="001B60B0" w:rsidRDefault="005F0666" w:rsidP="00A75C6F">
    <w:pPr>
      <w:pStyle w:val="Footer"/>
      <w:pBdr>
        <w:top w:val="thinThickSmallGap" w:sz="24" w:space="1" w:color="622423"/>
      </w:pBdr>
      <w:tabs>
        <w:tab w:val="clear" w:pos="4680"/>
        <w:tab w:val="clear" w:pos="9360"/>
        <w:tab w:val="right" w:pos="8640"/>
      </w:tabs>
      <w:rPr>
        <w:rFonts w:ascii="Book Antiqua" w:hAnsi="Book Antiqua"/>
        <w:i/>
        <w:sz w:val="18"/>
        <w:szCs w:val="18"/>
        <w:lang w:val="es-ES"/>
      </w:rPr>
    </w:pPr>
    <w:r w:rsidRPr="00474CA0">
      <w:rPr>
        <w:rFonts w:ascii="Book Antiqua" w:hAnsi="Book Antiqua"/>
        <w:i/>
        <w:sz w:val="18"/>
        <w:szCs w:val="18"/>
        <w:lang w:val="es-ES"/>
      </w:rPr>
      <w:t xml:space="preserve">Comisión </w:t>
    </w:r>
    <w:r>
      <w:rPr>
        <w:rFonts w:ascii="Book Antiqua" w:hAnsi="Book Antiqua"/>
        <w:i/>
        <w:sz w:val="18"/>
        <w:szCs w:val="18"/>
        <w:lang w:val="es-ES"/>
      </w:rPr>
      <w:t xml:space="preserve">de </w:t>
    </w:r>
    <w:r w:rsidR="005E4FED">
      <w:rPr>
        <w:rFonts w:ascii="Book Antiqua" w:hAnsi="Book Antiqua"/>
        <w:i/>
        <w:sz w:val="18"/>
        <w:szCs w:val="18"/>
        <w:lang w:val="es-ES"/>
      </w:rPr>
      <w:t>Salud</w:t>
    </w:r>
    <w:r w:rsidRPr="006148EA">
      <w:rPr>
        <w:rFonts w:ascii="Book Antiqua" w:hAnsi="Book Antiqua"/>
        <w:i/>
        <w:sz w:val="18"/>
        <w:szCs w:val="18"/>
      </w:rPr>
      <w:tab/>
    </w:r>
  </w:p>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6F6BA" w14:textId="77777777" w:rsidR="00D36717" w:rsidRDefault="00D36717" w:rsidP="00104EFE">
      <w:r>
        <w:separator/>
      </w:r>
    </w:p>
  </w:footnote>
  <w:footnote w:type="continuationSeparator" w:id="0">
    <w:p w14:paraId="10273993" w14:textId="77777777" w:rsidR="00D36717" w:rsidRDefault="00D36717" w:rsidP="00104EFE">
      <w:r>
        <w:continuationSeparator/>
      </w:r>
    </w:p>
  </w:footnote>
  <w:footnote w:id="1">
    <w:p w14:paraId="0DB26DA2" w14:textId="609CB0C7" w:rsidR="00DE1613" w:rsidRPr="00DE1613" w:rsidRDefault="00DE1613" w:rsidP="00DE1613">
      <w:pPr>
        <w:pStyle w:val="FootnoteText"/>
        <w:jc w:val="both"/>
        <w:rPr>
          <w:rFonts w:ascii="Book Antiqua" w:hAnsi="Book Antiqua"/>
        </w:rPr>
      </w:pPr>
      <w:r w:rsidRPr="00DE1613">
        <w:rPr>
          <w:rStyle w:val="FootnoteReference"/>
          <w:rFonts w:ascii="Book Antiqua" w:hAnsi="Book Antiqua"/>
        </w:rPr>
        <w:footnoteRef/>
      </w:r>
      <w:r w:rsidRPr="00DE1613">
        <w:rPr>
          <w:rFonts w:ascii="Book Antiqua" w:hAnsi="Book Antiqua"/>
        </w:rPr>
        <w:t xml:space="preserve"> </w:t>
      </w:r>
      <w:r w:rsidRPr="00DE1613">
        <w:rPr>
          <w:rFonts w:ascii="Book Antiqua" w:hAnsi="Book Antiqua"/>
          <w:lang w:val="es-ES"/>
        </w:rPr>
        <w:t>Ley 159-2010: Mes de septiembre: “Mes de la Conciencia y Conocimiento sobre la Leucemia, Linfoma y Mieloma” y Ley 76-2012: que declara el 15 de febrero de cada año como el “Día Internacional del Cáncer Infantil”.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1941CABB" w14:textId="426163C3" w:rsidR="005F0666" w:rsidRDefault="005F066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C806BB">
          <w:rPr>
            <w:b/>
            <w:bCs/>
            <w:noProof/>
          </w:rPr>
          <w:t>2</w:t>
        </w:r>
        <w:r>
          <w:rPr>
            <w:b/>
            <w:bCs/>
            <w:noProof/>
          </w:rPr>
          <w:fldChar w:fldCharType="end"/>
        </w:r>
      </w:p>
    </w:sdtContent>
  </w:sdt>
  <w:p w14:paraId="0C0B1485" w14:textId="77777777" w:rsidR="005F0666" w:rsidRPr="00C9740A" w:rsidRDefault="005F0666" w:rsidP="00F66E15">
    <w:pPr>
      <w:pStyle w:val="Header"/>
      <w:pBdr>
        <w:bottom w:val="single" w:sz="4" w:space="1" w:color="D9D9D9"/>
      </w:pBdr>
      <w:rPr>
        <w:rFonts w:ascii="Book Antiqua" w:hAnsi="Book Antiqua"/>
        <w:b/>
        <w:i/>
        <w:sz w:val="22"/>
        <w:szCs w:val="22"/>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23736"/>
    <w:rsid w:val="0002765C"/>
    <w:rsid w:val="00044E95"/>
    <w:rsid w:val="00066509"/>
    <w:rsid w:val="00073BCC"/>
    <w:rsid w:val="00076393"/>
    <w:rsid w:val="00080550"/>
    <w:rsid w:val="00083BAB"/>
    <w:rsid w:val="000A2203"/>
    <w:rsid w:val="000D154E"/>
    <w:rsid w:val="000E1EB1"/>
    <w:rsid w:val="000F6E1A"/>
    <w:rsid w:val="00104EFE"/>
    <w:rsid w:val="00107B07"/>
    <w:rsid w:val="00145B5D"/>
    <w:rsid w:val="00160381"/>
    <w:rsid w:val="001727B8"/>
    <w:rsid w:val="00185425"/>
    <w:rsid w:val="001A4FD1"/>
    <w:rsid w:val="001B60B0"/>
    <w:rsid w:val="001D041C"/>
    <w:rsid w:val="001E05E2"/>
    <w:rsid w:val="00201210"/>
    <w:rsid w:val="002167EF"/>
    <w:rsid w:val="00227349"/>
    <w:rsid w:val="00233E4B"/>
    <w:rsid w:val="0023667D"/>
    <w:rsid w:val="00274B1E"/>
    <w:rsid w:val="00283843"/>
    <w:rsid w:val="002C2A3B"/>
    <w:rsid w:val="002C7E23"/>
    <w:rsid w:val="002F364B"/>
    <w:rsid w:val="002F48CF"/>
    <w:rsid w:val="00300EC8"/>
    <w:rsid w:val="00315B39"/>
    <w:rsid w:val="003167FA"/>
    <w:rsid w:val="0033678E"/>
    <w:rsid w:val="00364E07"/>
    <w:rsid w:val="00381685"/>
    <w:rsid w:val="003D7623"/>
    <w:rsid w:val="0041089B"/>
    <w:rsid w:val="0044796A"/>
    <w:rsid w:val="004522B5"/>
    <w:rsid w:val="00454296"/>
    <w:rsid w:val="0049533B"/>
    <w:rsid w:val="004A415E"/>
    <w:rsid w:val="004A7D54"/>
    <w:rsid w:val="004B19D7"/>
    <w:rsid w:val="004C640F"/>
    <w:rsid w:val="004D2A1F"/>
    <w:rsid w:val="00505C9B"/>
    <w:rsid w:val="0051060B"/>
    <w:rsid w:val="00511CA3"/>
    <w:rsid w:val="005321E4"/>
    <w:rsid w:val="005353CA"/>
    <w:rsid w:val="005444BF"/>
    <w:rsid w:val="005536F7"/>
    <w:rsid w:val="00556CB7"/>
    <w:rsid w:val="0058217B"/>
    <w:rsid w:val="0059325A"/>
    <w:rsid w:val="0059537A"/>
    <w:rsid w:val="005E4FED"/>
    <w:rsid w:val="005F0666"/>
    <w:rsid w:val="005F768E"/>
    <w:rsid w:val="00601F37"/>
    <w:rsid w:val="006238DB"/>
    <w:rsid w:val="00625485"/>
    <w:rsid w:val="00630645"/>
    <w:rsid w:val="00635B9E"/>
    <w:rsid w:val="00637231"/>
    <w:rsid w:val="006565C8"/>
    <w:rsid w:val="00661B64"/>
    <w:rsid w:val="006A7691"/>
    <w:rsid w:val="006D343E"/>
    <w:rsid w:val="006D5C32"/>
    <w:rsid w:val="00706240"/>
    <w:rsid w:val="00727BE6"/>
    <w:rsid w:val="0074614A"/>
    <w:rsid w:val="00747269"/>
    <w:rsid w:val="0075027F"/>
    <w:rsid w:val="0078468F"/>
    <w:rsid w:val="00787B54"/>
    <w:rsid w:val="007C36F5"/>
    <w:rsid w:val="007C79A4"/>
    <w:rsid w:val="007D04AD"/>
    <w:rsid w:val="007F0F91"/>
    <w:rsid w:val="00811E3C"/>
    <w:rsid w:val="00812335"/>
    <w:rsid w:val="008246AC"/>
    <w:rsid w:val="00832AC1"/>
    <w:rsid w:val="00851E39"/>
    <w:rsid w:val="00856DC8"/>
    <w:rsid w:val="008A3AAC"/>
    <w:rsid w:val="008A62E9"/>
    <w:rsid w:val="008B277F"/>
    <w:rsid w:val="008E0A43"/>
    <w:rsid w:val="00907D4A"/>
    <w:rsid w:val="00942884"/>
    <w:rsid w:val="00960807"/>
    <w:rsid w:val="00994A5B"/>
    <w:rsid w:val="009A3270"/>
    <w:rsid w:val="009E1009"/>
    <w:rsid w:val="009F3D97"/>
    <w:rsid w:val="00A06E48"/>
    <w:rsid w:val="00A3293B"/>
    <w:rsid w:val="00A4037C"/>
    <w:rsid w:val="00A56234"/>
    <w:rsid w:val="00A65E27"/>
    <w:rsid w:val="00A72789"/>
    <w:rsid w:val="00A73769"/>
    <w:rsid w:val="00AB1ABB"/>
    <w:rsid w:val="00AE2361"/>
    <w:rsid w:val="00AE7A24"/>
    <w:rsid w:val="00AF56F6"/>
    <w:rsid w:val="00B023E9"/>
    <w:rsid w:val="00B41917"/>
    <w:rsid w:val="00B440BC"/>
    <w:rsid w:val="00B61528"/>
    <w:rsid w:val="00B65B50"/>
    <w:rsid w:val="00B97F33"/>
    <w:rsid w:val="00BE0B8D"/>
    <w:rsid w:val="00BE5FFB"/>
    <w:rsid w:val="00C2251D"/>
    <w:rsid w:val="00C4700C"/>
    <w:rsid w:val="00C55246"/>
    <w:rsid w:val="00C65406"/>
    <w:rsid w:val="00C833B9"/>
    <w:rsid w:val="00C850BC"/>
    <w:rsid w:val="00CC2FA1"/>
    <w:rsid w:val="00CE5D87"/>
    <w:rsid w:val="00D06E07"/>
    <w:rsid w:val="00D12020"/>
    <w:rsid w:val="00D34322"/>
    <w:rsid w:val="00D36717"/>
    <w:rsid w:val="00D61DCA"/>
    <w:rsid w:val="00D933A0"/>
    <w:rsid w:val="00DB15AD"/>
    <w:rsid w:val="00DB2C8A"/>
    <w:rsid w:val="00DE1613"/>
    <w:rsid w:val="00DE6C6C"/>
    <w:rsid w:val="00E32836"/>
    <w:rsid w:val="00E438BF"/>
    <w:rsid w:val="00E602E9"/>
    <w:rsid w:val="00E755C2"/>
    <w:rsid w:val="00E83541"/>
    <w:rsid w:val="00EB2A38"/>
    <w:rsid w:val="00F0349C"/>
    <w:rsid w:val="00F705E6"/>
    <w:rsid w:val="00F865AD"/>
    <w:rsid w:val="00FD3085"/>
    <w:rsid w:val="00FD4469"/>
    <w:rsid w:val="00FE6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semiHidden/>
    <w:unhideWhenUsed/>
    <w:rsid w:val="00227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98568836">
      <w:bodyDiv w:val="1"/>
      <w:marLeft w:val="0"/>
      <w:marRight w:val="0"/>
      <w:marTop w:val="0"/>
      <w:marBottom w:val="0"/>
      <w:divBdr>
        <w:top w:val="none" w:sz="0" w:space="0" w:color="auto"/>
        <w:left w:val="none" w:sz="0" w:space="0" w:color="auto"/>
        <w:bottom w:val="none" w:sz="0" w:space="0" w:color="auto"/>
        <w:right w:val="none" w:sz="0" w:space="0" w:color="auto"/>
      </w:divBdr>
    </w:div>
    <w:div w:id="205459069">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02317737">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54580297">
      <w:bodyDiv w:val="1"/>
      <w:marLeft w:val="0"/>
      <w:marRight w:val="0"/>
      <w:marTop w:val="0"/>
      <w:marBottom w:val="0"/>
      <w:divBdr>
        <w:top w:val="none" w:sz="0" w:space="0" w:color="auto"/>
        <w:left w:val="none" w:sz="0" w:space="0" w:color="auto"/>
        <w:bottom w:val="none" w:sz="0" w:space="0" w:color="auto"/>
        <w:right w:val="none" w:sz="0" w:space="0" w:color="auto"/>
      </w:divBdr>
    </w:div>
    <w:div w:id="50806104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43891621">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033269536">
      <w:bodyDiv w:val="1"/>
      <w:marLeft w:val="0"/>
      <w:marRight w:val="0"/>
      <w:marTop w:val="0"/>
      <w:marBottom w:val="0"/>
      <w:divBdr>
        <w:top w:val="none" w:sz="0" w:space="0" w:color="auto"/>
        <w:left w:val="none" w:sz="0" w:space="0" w:color="auto"/>
        <w:bottom w:val="none" w:sz="0" w:space="0" w:color="auto"/>
        <w:right w:val="none" w:sz="0" w:space="0" w:color="auto"/>
      </w:divBdr>
    </w:div>
    <w:div w:id="118602000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38794599">
      <w:bodyDiv w:val="1"/>
      <w:marLeft w:val="0"/>
      <w:marRight w:val="0"/>
      <w:marTop w:val="0"/>
      <w:marBottom w:val="0"/>
      <w:divBdr>
        <w:top w:val="none" w:sz="0" w:space="0" w:color="auto"/>
        <w:left w:val="none" w:sz="0" w:space="0" w:color="auto"/>
        <w:bottom w:val="none" w:sz="0" w:space="0" w:color="auto"/>
        <w:right w:val="none" w:sz="0" w:space="0" w:color="auto"/>
      </w:divBdr>
    </w:div>
    <w:div w:id="144083737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42997336">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12357776">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31215036">
      <w:bodyDiv w:val="1"/>
      <w:marLeft w:val="0"/>
      <w:marRight w:val="0"/>
      <w:marTop w:val="0"/>
      <w:marBottom w:val="0"/>
      <w:divBdr>
        <w:top w:val="none" w:sz="0" w:space="0" w:color="auto"/>
        <w:left w:val="none" w:sz="0" w:space="0" w:color="auto"/>
        <w:bottom w:val="none" w:sz="0" w:space="0" w:color="auto"/>
        <w:right w:val="none" w:sz="0" w:space="0" w:color="auto"/>
      </w:divBdr>
    </w:div>
    <w:div w:id="1857572923">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1925608930">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 w:id="20639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f19a1c7-8445-4c03-97a6-b11ea9a907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44183F039548428C0270EF949E9882" ma:contentTypeVersion="6" ma:contentTypeDescription="Create a new document." ma:contentTypeScope="" ma:versionID="981f036aa5bb494b6c938c1c76d6ec55">
  <xsd:schema xmlns:xsd="http://www.w3.org/2001/XMLSchema" xmlns:xs="http://www.w3.org/2001/XMLSchema" xmlns:p="http://schemas.microsoft.com/office/2006/metadata/properties" xmlns:ns3="7f19a1c7-8445-4c03-97a6-b11ea9a9076c" targetNamespace="http://schemas.microsoft.com/office/2006/metadata/properties" ma:root="true" ma:fieldsID="84e7748997ace214c23dc6e5ffca6b82" ns3:_="">
    <xsd:import namespace="7f19a1c7-8445-4c03-97a6-b11ea9a9076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19a1c7-8445-4c03-97a6-b11ea9a9076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2603D2-7AC4-41B0-98B9-D038798CC3BF}">
  <ds:schemaRefs>
    <ds:schemaRef ds:uri="http://schemas.openxmlformats.org/officeDocument/2006/bibliography"/>
  </ds:schemaRefs>
</ds:datastoreItem>
</file>

<file path=customXml/itemProps2.xml><?xml version="1.0" encoding="utf-8"?>
<ds:datastoreItem xmlns:ds="http://schemas.openxmlformats.org/officeDocument/2006/customXml" ds:itemID="{21083188-ED44-4B57-A3EF-937C289A365A}">
  <ds:schemaRefs>
    <ds:schemaRef ds:uri="http://purl.org/dc/elements/1.1/"/>
    <ds:schemaRef ds:uri="http://purl.org/dc/terms/"/>
    <ds:schemaRef ds:uri="http://www.w3.org/XML/1998/namespace"/>
    <ds:schemaRef ds:uri="http://schemas.microsoft.com/office/2006/documentManagement/types"/>
    <ds:schemaRef ds:uri="7f19a1c7-8445-4c03-97a6-b11ea9a9076c"/>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BE7262DC-1CA9-43F8-B206-E3957C9EEF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19a1c7-8445-4c03-97a6-b11ea9a907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2D2EF8-63E7-4854-870D-6BA9F1363E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2049</Words>
  <Characters>11681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Gloria de Jesús Maldonado</cp:lastModifiedBy>
  <cp:revision>3</cp:revision>
  <cp:lastPrinted>2025-05-28T22:52:00Z</cp:lastPrinted>
  <dcterms:created xsi:type="dcterms:W3CDTF">2025-05-29T21:10:00Z</dcterms:created>
  <dcterms:modified xsi:type="dcterms:W3CDTF">2025-05-29T21:11:00Z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0x010100E644183F039548428C0270EF949E9882</vt:lpwstr>
  </property>
</Properties>
</file>