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2FC78BC2"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161B3C">
        <w:rPr>
          <w:rFonts w:ascii="Book Antiqua" w:hAnsi="Book Antiqua"/>
          <w:b/>
          <w:sz w:val="52"/>
          <w:lang w:val="es-ES_tradnl"/>
        </w:rPr>
        <w:t>171</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3057C65E" w:rsidR="001B5218" w:rsidRPr="005E150B" w:rsidRDefault="000177BB"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ED2188">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729CA558" w:rsidR="005B2884" w:rsidRPr="00A11ED0" w:rsidRDefault="00A52CD9" w:rsidP="00ED2188">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161B3C">
        <w:rPr>
          <w:rFonts w:ascii="Book Antiqua" w:hAnsi="Book Antiqua"/>
          <w:spacing w:val="-3"/>
          <w:lang w:val="es-ES_tradnl"/>
        </w:rPr>
        <w:t>Proyecto del Senado 171</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7E16D9">
        <w:rPr>
          <w:rFonts w:ascii="Book Antiqua" w:hAnsi="Book Antiqua"/>
          <w:spacing w:val="-3"/>
          <w:lang w:val="es-ES_tradnl"/>
        </w:rPr>
        <w:t>con las enmiendas contenidas en el entirillado electrónico que se acompaña</w:t>
      </w:r>
      <w:r w:rsidR="007E16D9" w:rsidRPr="007E16D9">
        <w:rPr>
          <w:rFonts w:ascii="Book Antiqua" w:hAnsi="Book Antiqua"/>
          <w:spacing w:val="-3"/>
          <w:lang w:val="es-ES_tradnl"/>
        </w:rPr>
        <w:t>.</w:t>
      </w:r>
    </w:p>
    <w:p w14:paraId="1C36686D" w14:textId="77777777" w:rsidR="000C52A1" w:rsidRPr="00A11ED0" w:rsidRDefault="000C52A1" w:rsidP="00ED2188">
      <w:pPr>
        <w:suppressAutoHyphens/>
        <w:spacing w:line="276" w:lineRule="auto"/>
        <w:jc w:val="both"/>
        <w:rPr>
          <w:rFonts w:ascii="Book Antiqua" w:hAnsi="Book Antiqua"/>
          <w:spacing w:val="-3"/>
          <w:lang w:val="es-ES_tradnl"/>
        </w:rPr>
      </w:pPr>
    </w:p>
    <w:p w14:paraId="632423B1" w14:textId="77777777" w:rsidR="0024131E" w:rsidRPr="00A11ED0" w:rsidRDefault="001B5218" w:rsidP="00ED2188">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ED2188">
      <w:pPr>
        <w:tabs>
          <w:tab w:val="left" w:pos="-720"/>
        </w:tabs>
        <w:suppressAutoHyphens/>
        <w:spacing w:line="276" w:lineRule="auto"/>
        <w:rPr>
          <w:rFonts w:ascii="Book Antiqua" w:hAnsi="Book Antiqua"/>
          <w:b/>
          <w:bCs/>
          <w:szCs w:val="24"/>
          <w:lang w:val="es-ES_tradnl"/>
        </w:rPr>
      </w:pPr>
    </w:p>
    <w:p w14:paraId="7C7A3389" w14:textId="6CBDFE47" w:rsidR="006F51A8" w:rsidRPr="00A11ED0" w:rsidRDefault="009F427F" w:rsidP="00ED2188">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7E16D9">
        <w:rPr>
          <w:rFonts w:ascii="Book Antiqua" w:hAnsi="Book Antiqua"/>
          <w:lang w:val="es-PR"/>
        </w:rPr>
        <w:t>171</w:t>
      </w:r>
      <w:r w:rsidRPr="00A11ED0">
        <w:rPr>
          <w:rFonts w:ascii="Book Antiqua" w:hAnsi="Book Antiqua"/>
          <w:lang w:val="es-PR"/>
        </w:rPr>
        <w:t xml:space="preserve"> </w:t>
      </w:r>
      <w:r w:rsidRPr="00337BB7">
        <w:rPr>
          <w:rFonts w:ascii="Book Antiqua" w:hAnsi="Book Antiqua"/>
          <w:lang w:val="es-PR"/>
        </w:rPr>
        <w:t xml:space="preserve">(en adelante, P. del S. </w:t>
      </w:r>
      <w:r w:rsidR="007E16D9">
        <w:rPr>
          <w:rFonts w:ascii="Book Antiqua" w:hAnsi="Book Antiqua"/>
          <w:lang w:val="es-PR"/>
        </w:rPr>
        <w:t>171</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7F5075">
        <w:rPr>
          <w:rFonts w:ascii="Book Antiqua" w:hAnsi="Book Antiqua"/>
          <w:lang w:val="es-PR"/>
        </w:rPr>
        <w:t xml:space="preserve"> </w:t>
      </w:r>
      <w:r w:rsidR="007F5075" w:rsidRPr="003718FB">
        <w:rPr>
          <w:rFonts w:ascii="Book Antiqua" w:eastAsia="Book Antiqua" w:hAnsi="Book Antiqua" w:cs="Book Antiqua"/>
          <w:lang w:val="es-ES"/>
        </w:rPr>
        <w:t>enmendar el Artículo 250 de la Ley 146-2012, según enmendada, conocida como “Código Penal de Puerto Rico”, a los fines de hacer mandatorio la imposición de la pena de restitución contra toda persona que resulte convicta por el delito de enriquecimiento ilícito</w:t>
      </w:r>
      <w:r w:rsidR="007F5075">
        <w:rPr>
          <w:rFonts w:ascii="Book Antiqua" w:eastAsia="Book Antiqua" w:hAnsi="Book Antiqua" w:cs="Book Antiqua"/>
          <w:lang w:val="es-ES"/>
        </w:rPr>
        <w:t>.</w:t>
      </w:r>
    </w:p>
    <w:bookmarkEnd w:id="4"/>
    <w:p w14:paraId="771800BC" w14:textId="77777777" w:rsidR="00A06A16" w:rsidRPr="00A11ED0" w:rsidRDefault="00A06A16" w:rsidP="00ED2188">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ED2188">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ED2188">
      <w:pPr>
        <w:tabs>
          <w:tab w:val="left" w:pos="-720"/>
        </w:tabs>
        <w:suppressAutoHyphens/>
        <w:spacing w:line="276" w:lineRule="auto"/>
        <w:ind w:firstLine="360"/>
        <w:jc w:val="center"/>
        <w:rPr>
          <w:rFonts w:ascii="Book Antiqua" w:hAnsi="Book Antiqua"/>
          <w:b/>
          <w:bCs/>
          <w:lang w:val="es-PR"/>
        </w:rPr>
      </w:pPr>
    </w:p>
    <w:p w14:paraId="15C8AFDE" w14:textId="04B97E0C" w:rsidR="00D962DF" w:rsidRPr="00D962DF" w:rsidRDefault="009F524F"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962DF" w:rsidRPr="00D962DF">
        <w:rPr>
          <w:rFonts w:ascii="Book Antiqua" w:hAnsi="Book Antiqua"/>
          <w:lang w:val="es-PR"/>
        </w:rPr>
        <w:t>El P. del S. 17</w:t>
      </w:r>
      <w:r w:rsidR="00D962DF">
        <w:rPr>
          <w:rFonts w:ascii="Book Antiqua" w:hAnsi="Book Antiqua"/>
          <w:lang w:val="es-PR"/>
        </w:rPr>
        <w:t xml:space="preserve">1 </w:t>
      </w:r>
      <w:r w:rsidR="00D962DF" w:rsidRPr="00D962DF">
        <w:rPr>
          <w:rFonts w:ascii="Book Antiqua" w:hAnsi="Book Antiqua"/>
          <w:lang w:val="es-PR"/>
        </w:rPr>
        <w:t xml:space="preserve"> </w:t>
      </w:r>
      <w:r w:rsidR="00D962DF">
        <w:rPr>
          <w:rFonts w:ascii="Book Antiqua" w:hAnsi="Book Antiqua"/>
          <w:lang w:val="es-PR"/>
        </w:rPr>
        <w:t xml:space="preserve">tiene como </w:t>
      </w:r>
      <w:r w:rsidR="00D962DF" w:rsidRPr="00D962DF">
        <w:rPr>
          <w:rFonts w:ascii="Book Antiqua" w:hAnsi="Book Antiqua"/>
          <w:lang w:val="es-PR"/>
        </w:rPr>
        <w:t>objetivo principal hacer mandatoria la imposición de la pena de restitución contra toda persona que resulte convicta por el delito de enriquecimiento ilícito.</w:t>
      </w:r>
    </w:p>
    <w:p w14:paraId="4F0F96D0" w14:textId="5B253559" w:rsidR="00D962DF" w:rsidRPr="00D962DF" w:rsidRDefault="00D962DF"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962DF">
        <w:rPr>
          <w:rFonts w:ascii="Book Antiqua" w:hAnsi="Book Antiqua"/>
          <w:lang w:val="es-PR"/>
        </w:rPr>
        <w:t xml:space="preserve">La Exposición de Motivos del proyecto explica que los Artículos 250 al 263 del Código Penal de Puerto Rico detallan los delitos contra el ejercicio del cargo público. Aunque la Ley Núm. 76-2022 enmendó varios artículos, como el 252 (Aprovechamiento ilícito de trabajos o servicios públicos), el 257 (Alteración o mutilación de propiedad) y el 259 (Soborno), para eliminar la discreción judicial en la </w:t>
      </w:r>
      <w:r w:rsidRPr="00D962DF">
        <w:rPr>
          <w:rFonts w:ascii="Book Antiqua" w:hAnsi="Book Antiqua"/>
          <w:lang w:val="es-PR"/>
        </w:rPr>
        <w:lastRenderedPageBreak/>
        <w:t>imposición de la pena de restitución para esos delitos, el Artículo 250 (Enriquecimiento ilícito) se mantuvo inalterado por inadvertencia. Por lo tanto, actualmente, el tribunal aún posee discreción para imponer o no la pena de restitución en casos de enriquecimiento ilícito. El P. del S. 171 busca corregir esta situación, instituyendo la obligatoriedad de la restitución cuando se haya obtenido el beneficio perseguido.</w:t>
      </w:r>
    </w:p>
    <w:p w14:paraId="24198820" w14:textId="6338DA0D" w:rsidR="00D962DF" w:rsidRPr="00D962DF" w:rsidRDefault="00D962DF"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962DF">
        <w:rPr>
          <w:rFonts w:ascii="Book Antiqua" w:hAnsi="Book Antiqua"/>
          <w:lang w:val="es-PR"/>
        </w:rPr>
        <w:t xml:space="preserve">El delito de enriquecimiento ilícito se configura cuando un funcionario o empleado público, exfuncionario o exempleado público, utiliza información o datos que solo pudo conocer por razón de su cargo, empleo o encomienda, para beneficio personal o de un tercero. La pena actual para este delito es de reclusión por un término fijo de tres (3) años. Sin embargo, si la persona obtiene el beneficio perseguido, la pena de reclusión es por un término fijo de ocho (8) años, y el tribunal </w:t>
      </w:r>
      <w:r w:rsidRPr="00484531">
        <w:rPr>
          <w:rFonts w:ascii="Book Antiqua" w:hAnsi="Book Antiqua"/>
          <w:b/>
          <w:bCs/>
          <w:lang w:val="es-PR"/>
        </w:rPr>
        <w:t>podrá</w:t>
      </w:r>
      <w:r w:rsidRPr="00D962DF">
        <w:rPr>
          <w:rFonts w:ascii="Book Antiqua" w:hAnsi="Book Antiqua"/>
          <w:lang w:val="es-PR"/>
        </w:rPr>
        <w:t xml:space="preserve"> imponer la pena de restitución. La enmienda propuesta en el P. del S. 171 establece que, si se obtiene el beneficio perseguido, la sanción será de reclusión por ocho (8) años y restitución de forma </w:t>
      </w:r>
      <w:r w:rsidRPr="00484531">
        <w:rPr>
          <w:rFonts w:ascii="Book Antiqua" w:hAnsi="Book Antiqua"/>
          <w:b/>
          <w:bCs/>
          <w:lang w:val="es-PR"/>
        </w:rPr>
        <w:t>obligatoria</w:t>
      </w:r>
      <w:r w:rsidRPr="00D962DF">
        <w:rPr>
          <w:rFonts w:ascii="Book Antiqua" w:hAnsi="Book Antiqua"/>
          <w:lang w:val="es-PR"/>
        </w:rPr>
        <w:t>, eliminando la discreción judicial.</w:t>
      </w:r>
    </w:p>
    <w:p w14:paraId="7A21EE65" w14:textId="7596549F" w:rsidR="006239E8" w:rsidRDefault="00484531"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962DF" w:rsidRPr="00D962DF">
        <w:rPr>
          <w:rFonts w:ascii="Book Antiqua" w:hAnsi="Book Antiqua"/>
          <w:lang w:val="es-PR"/>
        </w:rPr>
        <w:t>La restitución, según el Código Penal</w:t>
      </w:r>
      <w:r>
        <w:rPr>
          <w:rFonts w:ascii="Book Antiqua" w:hAnsi="Book Antiqua"/>
          <w:lang w:val="es-PR"/>
        </w:rPr>
        <w:t xml:space="preserve"> de Puerto Rico</w:t>
      </w:r>
      <w:r w:rsidR="00D962DF" w:rsidRPr="00D962DF">
        <w:rPr>
          <w:rFonts w:ascii="Book Antiqua" w:hAnsi="Book Antiqua"/>
          <w:lang w:val="es-PR"/>
        </w:rPr>
        <w:t>, es la obligación impuesta por el tribunal de compensar a la víctima por los daños o pérdidas ocasionadas a su persona o propiedad como consecuencia del delito. No incluye sufrimientos ni angustias mentales. La forma de pago puede ser en dinero, mediante la prestación de servicios, o la entrega de los bienes ilegalmente apropiados o su equivalente si no están disponibles. Cuando la víctima es la función pública, la restitución busca asegurar que el autor del delito repare con sus propios medios el menoscabo a la propiedad pública, lo que también contribuye a la satisfacción social al ver el daño material y social reparado.</w:t>
      </w:r>
    </w:p>
    <w:p w14:paraId="634BDB99" w14:textId="5288681C" w:rsidR="00393CA6" w:rsidRDefault="009F524F"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B93970">
        <w:rPr>
          <w:rFonts w:ascii="Book Antiqua" w:hAnsi="Book Antiqua"/>
          <w:spacing w:val="-3"/>
          <w:lang w:val="es-ES_tradnl"/>
        </w:rPr>
        <w:t>P. del S. 171</w:t>
      </w:r>
      <w:r w:rsidR="00481C39" w:rsidRPr="00A11ED0">
        <w:rPr>
          <w:rFonts w:ascii="Book Antiqua" w:hAnsi="Book Antiqua"/>
          <w:lang w:val="es-PR"/>
        </w:rPr>
        <w:t xml:space="preserve"> </w:t>
      </w:r>
      <w:r>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9154BD" w:rsidRPr="00337BB7">
        <w:rPr>
          <w:rFonts w:ascii="Book Antiqua" w:hAnsi="Book Antiqua"/>
          <w:lang w:val="es-PR"/>
        </w:rPr>
        <w:t>a las siguientes agencias y entidades</w:t>
      </w:r>
      <w:r w:rsidR="009313EE">
        <w:rPr>
          <w:rFonts w:ascii="Book Antiqua" w:hAnsi="Book Antiqua"/>
          <w:lang w:val="es-PR"/>
        </w:rPr>
        <w:t>:</w:t>
      </w:r>
      <w:r w:rsidR="00393CA6">
        <w:rPr>
          <w:rFonts w:ascii="Book Antiqua" w:hAnsi="Book Antiqua"/>
          <w:lang w:val="es-PR"/>
        </w:rPr>
        <w:t xml:space="preserve"> </w:t>
      </w:r>
      <w:r w:rsidR="00B93970">
        <w:rPr>
          <w:rFonts w:ascii="Book Antiqua" w:hAnsi="Book Antiqua"/>
          <w:lang w:val="es-PR"/>
        </w:rPr>
        <w:t>Oficina del Contralor de Puerto Rico, Departamento de Justicia y Oficina de Ética Gubernamental.</w:t>
      </w:r>
    </w:p>
    <w:p w14:paraId="7D81C205" w14:textId="0A79EB58" w:rsidR="006D5838" w:rsidRPr="00337BB7" w:rsidRDefault="009F524F"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ED2188">
      <w:pPr>
        <w:tabs>
          <w:tab w:val="left" w:pos="-720"/>
        </w:tabs>
        <w:suppressAutoHyphens/>
        <w:spacing w:line="276" w:lineRule="auto"/>
        <w:jc w:val="both"/>
        <w:rPr>
          <w:rFonts w:ascii="Book Antiqua" w:hAnsi="Book Antiqua"/>
          <w:b/>
          <w:bCs/>
          <w:u w:val="single"/>
          <w:lang w:val="es-PR"/>
        </w:rPr>
      </w:pPr>
    </w:p>
    <w:p w14:paraId="103BFC09" w14:textId="7EDE7913" w:rsidR="00B93970" w:rsidRPr="00B93970" w:rsidRDefault="00B93970" w:rsidP="00ED2188">
      <w:pPr>
        <w:tabs>
          <w:tab w:val="left" w:pos="-720"/>
        </w:tabs>
        <w:suppressAutoHyphens/>
        <w:spacing w:line="276" w:lineRule="auto"/>
        <w:jc w:val="center"/>
        <w:rPr>
          <w:rFonts w:ascii="Book Antiqua" w:hAnsi="Book Antiqua"/>
          <w:b/>
          <w:bCs/>
          <w:lang w:val="es-PR"/>
        </w:rPr>
      </w:pPr>
      <w:r w:rsidRPr="00B93970">
        <w:rPr>
          <w:rFonts w:ascii="Book Antiqua" w:hAnsi="Book Antiqua"/>
          <w:b/>
          <w:bCs/>
          <w:lang w:val="es-PR"/>
        </w:rPr>
        <w:t>OFICINA DEL CONTRALOR DE PUERTO RICO</w:t>
      </w:r>
    </w:p>
    <w:p w14:paraId="11280973" w14:textId="77777777" w:rsidR="00B93970" w:rsidRDefault="00B93970" w:rsidP="00ED2188">
      <w:pPr>
        <w:tabs>
          <w:tab w:val="left" w:pos="-720"/>
        </w:tabs>
        <w:suppressAutoHyphens/>
        <w:spacing w:line="276" w:lineRule="auto"/>
        <w:jc w:val="both"/>
        <w:rPr>
          <w:rFonts w:ascii="Book Antiqua" w:hAnsi="Book Antiqua"/>
          <w:lang w:val="es-PR"/>
        </w:rPr>
      </w:pPr>
    </w:p>
    <w:p w14:paraId="31D0722C" w14:textId="327A131E" w:rsidR="00B93970" w:rsidRPr="00B93970" w:rsidRDefault="00B93970" w:rsidP="00ED2188">
      <w:pPr>
        <w:tabs>
          <w:tab w:val="left" w:pos="-720"/>
        </w:tabs>
        <w:suppressAutoHyphens/>
        <w:spacing w:line="276" w:lineRule="auto"/>
        <w:jc w:val="both"/>
        <w:rPr>
          <w:rFonts w:ascii="Book Antiqua" w:hAnsi="Book Antiqua"/>
          <w:lang w:val="es-PR"/>
        </w:rPr>
      </w:pPr>
      <w:r>
        <w:rPr>
          <w:rFonts w:ascii="Book Antiqua" w:hAnsi="Book Antiqua"/>
          <w:lang w:val="es-PR"/>
        </w:rPr>
        <w:tab/>
      </w:r>
      <w:r w:rsidRPr="00B93970">
        <w:rPr>
          <w:rFonts w:ascii="Book Antiqua" w:hAnsi="Book Antiqua"/>
          <w:lang w:val="es-PR"/>
        </w:rPr>
        <w:t xml:space="preserve">La Oficina del Contralor de Puerto Rico (OCPR), cuya función ministerial es fiscalizar las transacciones relacionadas con la propiedad y los fondos públicos para asegurar su uso conforme a la ley y las normas de sana administración, ha respaldado las medidas que promueven la transparencia, la integridad y el buen uso de los fondos públicos. Por lo tanto, en principio, la OCPR concurre con los propósitos del P. del S. </w:t>
      </w:r>
      <w:r w:rsidRPr="00B93970">
        <w:rPr>
          <w:rFonts w:ascii="Book Antiqua" w:hAnsi="Book Antiqua"/>
          <w:lang w:val="es-PR"/>
        </w:rPr>
        <w:lastRenderedPageBreak/>
        <w:t>171. Sin embargo, la OCPR también señala que la medida contiene disposiciones de política pública que son ajenas a su deber ministerial, ya que esta oficina no define ni promulga política pública. En este sentido, la OCPR recomienda que se tomen en consideración los comentarios que puedan emitir el Departamento de Justicia, la Oficina de Ética Gubernamental y la Oficina del Panel sobre el Fiscal Especial Independiente en relación con los méritos del proyecto.</w:t>
      </w:r>
    </w:p>
    <w:p w14:paraId="72BF2352" w14:textId="77777777" w:rsidR="00B93970" w:rsidRDefault="00B93970" w:rsidP="00ED2188">
      <w:pPr>
        <w:tabs>
          <w:tab w:val="left" w:pos="-720"/>
        </w:tabs>
        <w:suppressAutoHyphens/>
        <w:spacing w:line="276" w:lineRule="auto"/>
        <w:jc w:val="both"/>
        <w:rPr>
          <w:rFonts w:ascii="Book Antiqua" w:hAnsi="Book Antiqua"/>
          <w:lang w:val="es-PR"/>
        </w:rPr>
      </w:pPr>
    </w:p>
    <w:p w14:paraId="042AD895" w14:textId="5C2ABEE7" w:rsidR="00B93970" w:rsidRPr="00B93970" w:rsidRDefault="00B93970" w:rsidP="00ED2188">
      <w:pPr>
        <w:tabs>
          <w:tab w:val="left" w:pos="-720"/>
        </w:tabs>
        <w:suppressAutoHyphens/>
        <w:spacing w:line="276" w:lineRule="auto"/>
        <w:jc w:val="center"/>
        <w:rPr>
          <w:rFonts w:ascii="Book Antiqua" w:hAnsi="Book Antiqua"/>
          <w:b/>
          <w:bCs/>
          <w:lang w:val="es-PR"/>
        </w:rPr>
      </w:pPr>
      <w:r w:rsidRPr="00B93970">
        <w:rPr>
          <w:rFonts w:ascii="Book Antiqua" w:hAnsi="Book Antiqua"/>
          <w:b/>
          <w:bCs/>
          <w:lang w:val="es-PR"/>
        </w:rPr>
        <w:t>DEPARTAMENTO DE JUSTICIA</w:t>
      </w:r>
    </w:p>
    <w:p w14:paraId="37C9DD14" w14:textId="77777777" w:rsidR="00B93970" w:rsidRDefault="00B93970" w:rsidP="00ED2188">
      <w:pPr>
        <w:tabs>
          <w:tab w:val="left" w:pos="-720"/>
        </w:tabs>
        <w:suppressAutoHyphens/>
        <w:spacing w:line="276" w:lineRule="auto"/>
        <w:jc w:val="both"/>
        <w:rPr>
          <w:rFonts w:ascii="Book Antiqua" w:hAnsi="Book Antiqua"/>
          <w:lang w:val="es-PR"/>
        </w:rPr>
      </w:pPr>
    </w:p>
    <w:p w14:paraId="24B8C127" w14:textId="56331691" w:rsidR="00B93970" w:rsidRPr="00B93970" w:rsidRDefault="00B93970" w:rsidP="00ED2188">
      <w:pPr>
        <w:tabs>
          <w:tab w:val="left" w:pos="-720"/>
        </w:tabs>
        <w:suppressAutoHyphens/>
        <w:spacing w:line="276" w:lineRule="auto"/>
        <w:jc w:val="both"/>
        <w:rPr>
          <w:rFonts w:ascii="Book Antiqua" w:hAnsi="Book Antiqua"/>
          <w:lang w:val="es-PR"/>
        </w:rPr>
      </w:pPr>
      <w:r>
        <w:rPr>
          <w:rFonts w:ascii="Book Antiqua" w:hAnsi="Book Antiqua"/>
          <w:lang w:val="es-PR"/>
        </w:rPr>
        <w:tab/>
      </w:r>
      <w:r w:rsidRPr="00B93970">
        <w:rPr>
          <w:rFonts w:ascii="Book Antiqua" w:hAnsi="Book Antiqua"/>
          <w:lang w:val="es-PR"/>
        </w:rPr>
        <w:t>El Departamento de Justicia reconoce que la creación y aprobación de política pública, como la propuesta en el P. del S. 171, es una tarea inherente y legítima de la Asamblea Legislativa. El Departamento destaca la necesidad apremiante de combatir la corrupción y de obligar a quienes defraudan la confianza pública a resarcir al erario lo que ilegalmente se han apropiado. Considera que la medida es adecuada para reivindicar la pérdida económica causada por funcionarios inescrupulosos y que sirve como un disuasivo adicional contra este tipo de conducta delictiva. El Departamento enfatiza que la responsabilidad de velar por el buen uso de los bienes y la propiedad pública recae sobre el Estado, siendo un mandato constitucional asegurar que los fondos públicos se utilicen para el bienestar de los ciudadanos. Por todas estas razones, el Departamento de Justicia no identifica impedimento legal para la aprobación del P. del S. 171.</w:t>
      </w:r>
    </w:p>
    <w:p w14:paraId="64B3BB9C" w14:textId="77777777" w:rsidR="00B93970" w:rsidRDefault="00B93970" w:rsidP="00ED2188">
      <w:pPr>
        <w:tabs>
          <w:tab w:val="left" w:pos="-720"/>
        </w:tabs>
        <w:suppressAutoHyphens/>
        <w:spacing w:line="276" w:lineRule="auto"/>
        <w:jc w:val="both"/>
        <w:rPr>
          <w:rFonts w:ascii="Book Antiqua" w:hAnsi="Book Antiqua"/>
          <w:lang w:val="es-PR"/>
        </w:rPr>
      </w:pPr>
    </w:p>
    <w:p w14:paraId="69B33934" w14:textId="0FB38B50" w:rsidR="00B93970" w:rsidRPr="00B93970" w:rsidRDefault="00B93970" w:rsidP="00ED2188">
      <w:pPr>
        <w:tabs>
          <w:tab w:val="left" w:pos="-720"/>
        </w:tabs>
        <w:suppressAutoHyphens/>
        <w:spacing w:line="276" w:lineRule="auto"/>
        <w:jc w:val="center"/>
        <w:rPr>
          <w:rFonts w:ascii="Book Antiqua" w:hAnsi="Book Antiqua"/>
          <w:b/>
          <w:bCs/>
          <w:lang w:val="es-PR"/>
        </w:rPr>
      </w:pPr>
      <w:r w:rsidRPr="00B93970">
        <w:rPr>
          <w:rFonts w:ascii="Book Antiqua" w:hAnsi="Book Antiqua"/>
          <w:b/>
          <w:bCs/>
          <w:lang w:val="es-PR"/>
        </w:rPr>
        <w:t xml:space="preserve">OFICINA DE ÉTICA GUBERNAMENTAL </w:t>
      </w:r>
    </w:p>
    <w:p w14:paraId="5D2E0EA8" w14:textId="77777777" w:rsidR="00B93970" w:rsidRDefault="00B93970" w:rsidP="00ED2188">
      <w:pPr>
        <w:tabs>
          <w:tab w:val="left" w:pos="-720"/>
        </w:tabs>
        <w:suppressAutoHyphens/>
        <w:spacing w:line="276" w:lineRule="auto"/>
        <w:jc w:val="both"/>
        <w:rPr>
          <w:rFonts w:ascii="Book Antiqua" w:hAnsi="Book Antiqua"/>
          <w:lang w:val="es-PR"/>
        </w:rPr>
      </w:pPr>
    </w:p>
    <w:p w14:paraId="35931FC5" w14:textId="75F4457D" w:rsidR="00940E84" w:rsidRDefault="00B93970" w:rsidP="00ED2188">
      <w:pPr>
        <w:tabs>
          <w:tab w:val="left" w:pos="-720"/>
        </w:tabs>
        <w:suppressAutoHyphens/>
        <w:spacing w:line="276" w:lineRule="auto"/>
        <w:jc w:val="both"/>
        <w:rPr>
          <w:rFonts w:ascii="Book Antiqua" w:hAnsi="Book Antiqua"/>
          <w:lang w:val="es-PR"/>
        </w:rPr>
      </w:pPr>
      <w:r>
        <w:rPr>
          <w:rFonts w:ascii="Book Antiqua" w:hAnsi="Book Antiqua"/>
          <w:lang w:val="es-PR"/>
        </w:rPr>
        <w:tab/>
      </w:r>
      <w:r w:rsidRPr="00B93970">
        <w:rPr>
          <w:rFonts w:ascii="Book Antiqua" w:hAnsi="Book Antiqua"/>
          <w:lang w:val="es-PR"/>
        </w:rPr>
        <w:t>La Oficina de Ética Gubernamental de Puerto Rico (OEG) avala toda medida que tenga como objetivo principal evitar la corrupción en todas sus manifestaciones. La OEG considera que la imposición de la pena de restitución es una medida reparadora y esencial para el Gobierno, además de ser disuasiva para aquellos que hacen uso indebido de la propiedad y los fondos públicos. La OEG había expresado previamente, en 2022, que el delito de enriquecimiento ilícito debía incluirse en la restitución obligatoria, ya que en ese momento el proyecto de ley que originó la Ley Núm. 76-2022 no consideró la eliminación de la discreción judicial para este delito, a pesar de que la OEG lo había sugerido. Por lo tanto, la OEG favorece la enmienda propuesta en el P. del S. 171. Adicionalmente, la OEG recomienda que también se incluya la restitución obligatoria en el delito de Daño Agravado cuando el daño se causa a la propiedad pública.</w:t>
      </w:r>
    </w:p>
    <w:p w14:paraId="5F3FCDE2" w14:textId="77777777" w:rsidR="00981C99" w:rsidRPr="00B93970" w:rsidRDefault="00981C99" w:rsidP="00ED2188">
      <w:pPr>
        <w:tabs>
          <w:tab w:val="left" w:pos="-720"/>
        </w:tabs>
        <w:suppressAutoHyphens/>
        <w:spacing w:line="276" w:lineRule="auto"/>
        <w:jc w:val="both"/>
        <w:rPr>
          <w:rFonts w:ascii="Book Antiqua" w:hAnsi="Book Antiqua"/>
          <w:lang w:val="es-PR"/>
        </w:rPr>
      </w:pPr>
    </w:p>
    <w:p w14:paraId="7D886316" w14:textId="77777777" w:rsidR="00ED2188" w:rsidRDefault="00ED2188" w:rsidP="00ED2188">
      <w:pPr>
        <w:tabs>
          <w:tab w:val="left" w:pos="-720"/>
        </w:tabs>
        <w:suppressAutoHyphens/>
        <w:spacing w:line="276" w:lineRule="auto"/>
        <w:ind w:firstLine="360"/>
        <w:jc w:val="center"/>
        <w:rPr>
          <w:rFonts w:ascii="Book Antiqua" w:hAnsi="Book Antiqua"/>
          <w:b/>
          <w:bCs/>
          <w:lang w:val="es-PR"/>
        </w:rPr>
      </w:pPr>
    </w:p>
    <w:p w14:paraId="76F6839E" w14:textId="77777777" w:rsidR="00ED2188" w:rsidRDefault="00ED2188" w:rsidP="00ED2188">
      <w:pPr>
        <w:tabs>
          <w:tab w:val="left" w:pos="-720"/>
        </w:tabs>
        <w:suppressAutoHyphens/>
        <w:spacing w:line="276" w:lineRule="auto"/>
        <w:ind w:firstLine="360"/>
        <w:jc w:val="center"/>
        <w:rPr>
          <w:rFonts w:ascii="Book Antiqua" w:hAnsi="Book Antiqua"/>
          <w:b/>
          <w:bCs/>
          <w:lang w:val="es-PR"/>
        </w:rPr>
      </w:pPr>
    </w:p>
    <w:p w14:paraId="0C855867" w14:textId="77777777" w:rsidR="00ED2188" w:rsidRDefault="00ED2188" w:rsidP="00ED2188">
      <w:pPr>
        <w:tabs>
          <w:tab w:val="left" w:pos="-720"/>
        </w:tabs>
        <w:suppressAutoHyphens/>
        <w:spacing w:line="276" w:lineRule="auto"/>
        <w:ind w:firstLine="360"/>
        <w:jc w:val="center"/>
        <w:rPr>
          <w:rFonts w:ascii="Book Antiqua" w:hAnsi="Book Antiqua"/>
          <w:b/>
          <w:bCs/>
          <w:lang w:val="es-PR"/>
        </w:rPr>
      </w:pPr>
    </w:p>
    <w:p w14:paraId="302CAC3A" w14:textId="6A244559" w:rsidR="00D13D23" w:rsidRDefault="0096171F" w:rsidP="00ED2188">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ED2188">
      <w:pPr>
        <w:tabs>
          <w:tab w:val="left" w:pos="-720"/>
        </w:tabs>
        <w:suppressAutoHyphens/>
        <w:spacing w:line="276" w:lineRule="auto"/>
        <w:ind w:firstLine="360"/>
        <w:jc w:val="center"/>
        <w:rPr>
          <w:rFonts w:ascii="Book Antiqua" w:hAnsi="Book Antiqua"/>
          <w:b/>
          <w:bCs/>
          <w:lang w:val="es-PR"/>
        </w:rPr>
      </w:pPr>
    </w:p>
    <w:p w14:paraId="3CD7EB56" w14:textId="113DC3AF" w:rsidR="002C402D" w:rsidRPr="00DF45DC" w:rsidRDefault="004F6E72"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981C99">
        <w:rPr>
          <w:rFonts w:ascii="Book Antiqua" w:hAnsi="Book Antiqua"/>
          <w:lang w:val="es-PR"/>
        </w:rPr>
        <w:t>171</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ED2188">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ED2188">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ED2188">
      <w:pPr>
        <w:tabs>
          <w:tab w:val="left" w:pos="-720"/>
        </w:tabs>
        <w:suppressAutoHyphens/>
        <w:spacing w:line="276" w:lineRule="auto"/>
        <w:ind w:firstLine="360"/>
        <w:jc w:val="center"/>
        <w:rPr>
          <w:rFonts w:ascii="Book Antiqua" w:hAnsi="Book Antiqua"/>
          <w:b/>
          <w:bCs/>
          <w:lang w:val="es-PR"/>
        </w:rPr>
      </w:pPr>
    </w:p>
    <w:p w14:paraId="2D81B2DA" w14:textId="2992C915" w:rsidR="000B071A" w:rsidRDefault="00006DDC"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981C99">
        <w:rPr>
          <w:rFonts w:ascii="Book Antiqua" w:hAnsi="Book Antiqua"/>
          <w:lang w:val="es-PR"/>
        </w:rPr>
        <w:t>171,</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981C99">
        <w:rPr>
          <w:rFonts w:ascii="Book Antiqua" w:hAnsi="Book Antiqua"/>
          <w:lang w:val="es-PR"/>
        </w:rPr>
        <w:t>el Código Penal de Puerto Rico de 2012 y los memoriales recibidos.</w:t>
      </w:r>
    </w:p>
    <w:p w14:paraId="4A01ECDD" w14:textId="4E555718" w:rsidR="00981C99" w:rsidRPr="00981C99" w:rsidRDefault="006E54C9" w:rsidP="00ED218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 xml:space="preserve">coincide en </w:t>
      </w:r>
      <w:r w:rsidR="00981C99" w:rsidRPr="00981C99">
        <w:rPr>
          <w:rFonts w:ascii="Book Antiqua" w:hAnsi="Book Antiqua"/>
          <w:lang w:val="es-PR"/>
        </w:rPr>
        <w:t>que la formulación y aprobación de política pública para responder a los cambios sociales que impulsan la actualización del ordenamiento jurídico en Puerto Rico constituye una función propia de la Asamblea Legislativa.</w:t>
      </w:r>
      <w:r w:rsidR="0017168F">
        <w:rPr>
          <w:rFonts w:ascii="Book Antiqua" w:hAnsi="Book Antiqua"/>
          <w:lang w:val="es-PR"/>
        </w:rPr>
        <w:t xml:space="preserve"> </w:t>
      </w:r>
      <w:r w:rsidR="00981C99" w:rsidRPr="00981C99">
        <w:rPr>
          <w:rFonts w:ascii="Book Antiqua" w:hAnsi="Book Antiqua"/>
          <w:lang w:val="es-PR"/>
        </w:rPr>
        <w:t>Ciertamente, lo que propone la presente medida se enmarca dentro de esa amplia facultad, dirigida a ajustar los estatutos actuales a las circunstancias y necesidades del momento.</w:t>
      </w:r>
      <w:r w:rsidR="0017168F">
        <w:rPr>
          <w:rFonts w:ascii="Book Antiqua" w:hAnsi="Book Antiqua"/>
          <w:lang w:val="es-PR"/>
        </w:rPr>
        <w:t xml:space="preserve"> </w:t>
      </w:r>
      <w:r w:rsidR="00981C99" w:rsidRPr="00981C99">
        <w:rPr>
          <w:rFonts w:ascii="Book Antiqua" w:hAnsi="Book Antiqua"/>
          <w:lang w:val="es-PR"/>
        </w:rPr>
        <w:t>Asimismo, es ampliamente conocido que la Asamblea Legislativa posee la autoridad exclusiva para tipificar delitos y fijar sanciones, estando limitada únicamente por ciertos principios constitucionales en el ámbito penal.</w:t>
      </w:r>
      <w:r w:rsidR="00FF10A3">
        <w:rPr>
          <w:rStyle w:val="FootnoteReference"/>
          <w:rFonts w:ascii="Book Antiqua" w:hAnsi="Book Antiqua"/>
          <w:lang w:val="es-PR"/>
        </w:rPr>
        <w:footnoteReference w:id="1"/>
      </w:r>
      <w:r w:rsidR="00E11002">
        <w:rPr>
          <w:rFonts w:ascii="Book Antiqua" w:hAnsi="Book Antiqua"/>
          <w:lang w:val="es-PR"/>
        </w:rPr>
        <w:t xml:space="preserve"> </w:t>
      </w:r>
      <w:r w:rsidR="00981C99" w:rsidRPr="00981C99">
        <w:rPr>
          <w:rFonts w:ascii="Book Antiqua" w:hAnsi="Book Antiqua"/>
          <w:lang w:val="es-PR"/>
        </w:rPr>
        <w:t>Bajo el principio de legalidad establecido en el Artículo 2 del Código Penal vigente, se dispone que “[n]o se instará acción penal contra persona alguna por un hecho que no esté expresamente definido como delito en este Código o mediante ley especial, ni se impondrá pena o medida de seguridad que la ley no establezca con anterioridad a los hechos”.</w:t>
      </w:r>
    </w:p>
    <w:p w14:paraId="7BDD79F8" w14:textId="026D2CB0" w:rsidR="00A12823" w:rsidRPr="00DF45DC" w:rsidRDefault="00ED2188" w:rsidP="00ED2188">
      <w:pPr>
        <w:tabs>
          <w:tab w:val="left" w:pos="-720"/>
        </w:tabs>
        <w:suppressAutoHyphens/>
        <w:spacing w:line="276" w:lineRule="auto"/>
        <w:jc w:val="both"/>
        <w:rPr>
          <w:rFonts w:ascii="Book Antiqua" w:hAnsi="Book Antiqua"/>
          <w:lang w:val="es-PR"/>
        </w:rPr>
      </w:pPr>
      <w:r>
        <w:rPr>
          <w:rFonts w:ascii="Book Antiqua" w:hAnsi="Book Antiqua"/>
          <w:lang w:val="es-PR"/>
        </w:rPr>
        <w:tab/>
      </w:r>
      <w:r w:rsidR="00981C99" w:rsidRPr="00981C99">
        <w:rPr>
          <w:rFonts w:ascii="Book Antiqua" w:hAnsi="Book Antiqua"/>
          <w:lang w:val="es-PR"/>
        </w:rPr>
        <w:t xml:space="preserve">En vista de ello, la Comisión de lo Jurídico entiende que lo planteado </w:t>
      </w:r>
      <w:r>
        <w:rPr>
          <w:rFonts w:ascii="Book Antiqua" w:hAnsi="Book Antiqua"/>
          <w:lang w:val="es-PR"/>
        </w:rPr>
        <w:t xml:space="preserve">por el P. del S. 171 </w:t>
      </w:r>
      <w:r w:rsidR="00981C99" w:rsidRPr="00981C99">
        <w:rPr>
          <w:rFonts w:ascii="Book Antiqua" w:hAnsi="Book Antiqua"/>
          <w:lang w:val="es-PR"/>
        </w:rPr>
        <w:t xml:space="preserve">representa un uso legítimo de la facultad legislativa de aprobar leyes en beneficio de la ciudadanía, y observa que esta iniciativa constituye un esfuerzo adicional de la Asamblea Legislativa para proteger los bienes y propiedades públicas, </w:t>
      </w:r>
      <w:r w:rsidR="00981C99" w:rsidRPr="00981C99">
        <w:rPr>
          <w:rFonts w:ascii="Book Antiqua" w:hAnsi="Book Antiqua"/>
          <w:lang w:val="es-PR"/>
        </w:rPr>
        <w:lastRenderedPageBreak/>
        <w:t>a la vez que dota de más herramientas para combatir de manera más efectiva los delitos que afectan la función gubernamental.</w:t>
      </w:r>
    </w:p>
    <w:p w14:paraId="12984714" w14:textId="77777777" w:rsidR="000B071A" w:rsidRDefault="000B071A" w:rsidP="00ED2188">
      <w:pPr>
        <w:tabs>
          <w:tab w:val="left" w:pos="-720"/>
        </w:tabs>
        <w:suppressAutoHyphens/>
        <w:spacing w:line="276" w:lineRule="auto"/>
        <w:ind w:firstLine="360"/>
        <w:jc w:val="both"/>
        <w:rPr>
          <w:rFonts w:ascii="Book Antiqua" w:hAnsi="Book Antiqua"/>
          <w:b/>
          <w:bCs/>
          <w:lang w:val="es-PR"/>
        </w:rPr>
      </w:pPr>
    </w:p>
    <w:p w14:paraId="7885E90D" w14:textId="7EC09DA9" w:rsidR="00DF45DC" w:rsidRPr="00DF45DC" w:rsidRDefault="0096171F" w:rsidP="00ED2188">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ED2188">
        <w:rPr>
          <w:rFonts w:ascii="Book Antiqua" w:hAnsi="Book Antiqua"/>
          <w:b/>
          <w:bCs/>
          <w:lang w:val="es-PR"/>
        </w:rPr>
        <w:t>Proyecto del Senado 171</w:t>
      </w:r>
      <w:r w:rsidR="00006DDC" w:rsidRPr="00DF45DC">
        <w:rPr>
          <w:rFonts w:ascii="Book Antiqua" w:hAnsi="Book Antiqua"/>
          <w:lang w:val="es-PR"/>
        </w:rPr>
        <w:t xml:space="preserve"> recomendando su aprobación </w:t>
      </w:r>
      <w:r w:rsidR="00006DDC" w:rsidRPr="00ED2188">
        <w:rPr>
          <w:rFonts w:ascii="Book Antiqua" w:hAnsi="Book Antiqua"/>
          <w:lang w:val="es-PR"/>
        </w:rPr>
        <w:t>con las enmiendas contenidas en el entirillado electrónico que se acompaña</w:t>
      </w:r>
      <w:r w:rsidR="00ED2188" w:rsidRPr="00ED2188">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4B1388FB" w:rsidR="000B3411" w:rsidRPr="00E11002" w:rsidRDefault="001D12A7" w:rsidP="00E11002">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E11002"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D9F35" w14:textId="77777777" w:rsidR="00C510B5" w:rsidRDefault="00C510B5">
      <w:r>
        <w:separator/>
      </w:r>
    </w:p>
  </w:endnote>
  <w:endnote w:type="continuationSeparator" w:id="0">
    <w:p w14:paraId="1B5FE88A" w14:textId="77777777" w:rsidR="00C510B5" w:rsidRDefault="00C51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5553B" w14:textId="77777777" w:rsidR="00C510B5" w:rsidRDefault="00C510B5">
      <w:r>
        <w:separator/>
      </w:r>
    </w:p>
  </w:footnote>
  <w:footnote w:type="continuationSeparator" w:id="0">
    <w:p w14:paraId="4B88DCAA" w14:textId="77777777" w:rsidR="00C510B5" w:rsidRDefault="00C510B5">
      <w:r>
        <w:continuationSeparator/>
      </w:r>
    </w:p>
  </w:footnote>
  <w:footnote w:id="1">
    <w:p w14:paraId="5E0E6964" w14:textId="5545AFE8" w:rsidR="00FF10A3" w:rsidRPr="00E11002" w:rsidRDefault="00FF10A3" w:rsidP="00FF10A3">
      <w:pPr>
        <w:pStyle w:val="FootnoteText"/>
        <w:rPr>
          <w:rFonts w:ascii="Book Antiqua" w:hAnsi="Book Antiqua"/>
          <w:lang/>
        </w:rPr>
      </w:pPr>
      <w:r w:rsidRPr="00FF10A3">
        <w:rPr>
          <w:rStyle w:val="FootnoteReference"/>
          <w:rFonts w:ascii="Book Antiqua" w:hAnsi="Book Antiqua"/>
        </w:rPr>
        <w:footnoteRef/>
      </w:r>
      <w:r w:rsidRPr="00FF10A3">
        <w:rPr>
          <w:rFonts w:ascii="Book Antiqua" w:hAnsi="Book Antiqua"/>
          <w:lang w:val="es-ES"/>
        </w:rPr>
        <w:t xml:space="preserve"> </w:t>
      </w:r>
      <w:r w:rsidR="00E11002" w:rsidRPr="00E11002">
        <w:rPr>
          <w:rFonts w:ascii="Book Antiqua" w:hAnsi="Book Antiqua"/>
          <w:i/>
          <w:iCs/>
          <w:lang w:val="es-ES"/>
        </w:rPr>
        <w:t>Véanse</w:t>
      </w:r>
      <w:r w:rsidR="00E11002">
        <w:rPr>
          <w:rFonts w:ascii="Book Antiqua" w:hAnsi="Book Antiqua"/>
          <w:lang w:val="es-ES"/>
        </w:rPr>
        <w:t xml:space="preserve"> </w:t>
      </w:r>
      <w:r w:rsidRPr="00FF10A3">
        <w:rPr>
          <w:rFonts w:ascii="Book Antiqua" w:hAnsi="Book Antiqua"/>
          <w:lang w:val="es-ES"/>
        </w:rPr>
        <w:t>Rodríguez Rodríguez v. ELA, 130 DPR 562, (1992), (citando a Pueblo v. Martínez Torres, 116 DPR 793, 796</w:t>
      </w:r>
      <w:r w:rsidR="00DC07E1">
        <w:rPr>
          <w:rFonts w:ascii="Book Antiqua" w:hAnsi="Book Antiqua"/>
          <w:lang w:val="es-ES"/>
        </w:rPr>
        <w:t xml:space="preserve"> </w:t>
      </w:r>
      <w:r w:rsidRPr="00FF10A3">
        <w:rPr>
          <w:rFonts w:ascii="Book Antiqua" w:hAnsi="Book Antiqua"/>
          <w:lang w:val="es-ES"/>
        </w:rPr>
        <w:t xml:space="preserve">(1986)), Pueblo v. Lucret </w:t>
      </w:r>
      <w:r w:rsidR="00DC07E1">
        <w:rPr>
          <w:rFonts w:ascii="Book Antiqua" w:hAnsi="Book Antiqua"/>
          <w:lang w:val="es-ES"/>
        </w:rPr>
        <w:t>Quiñonez</w:t>
      </w:r>
      <w:r w:rsidRPr="00FF10A3">
        <w:rPr>
          <w:rFonts w:ascii="Book Antiqua" w:hAnsi="Book Antiqua"/>
          <w:lang w:val="es-ES"/>
        </w:rPr>
        <w:t>, 111 DPR 716 (1981), Meléndez v. Tribunal Superior, 90 DPR 656 (1964)</w:t>
      </w:r>
      <w:r w:rsidR="00E11002">
        <w:rPr>
          <w:rFonts w:ascii="Book Antiqua" w:hAnsi="Book Antiqua"/>
          <w:lang w:val="es-ES"/>
        </w:rPr>
        <w:t>, P</w:t>
      </w:r>
      <w:r w:rsidR="00E11002" w:rsidRPr="00E11002">
        <w:rPr>
          <w:rFonts w:ascii="Book Antiqua" w:hAnsi="Book Antiqua"/>
          <w:lang w:val="es-ES"/>
        </w:rPr>
        <w:t>ueblo v. Reyes Morán, 123 DPR 786, 797 (1989), Pueblo v. Pérez Zayas, 116 DPR 197 (1985)</w:t>
      </w:r>
      <w:r w:rsidR="00E11002">
        <w:rPr>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167CE600"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D962DF">
      <w:rPr>
        <w:rFonts w:ascii="Book Antiqua" w:hAnsi="Book Antiqua"/>
        <w:i/>
        <w:iCs/>
        <w:sz w:val="20"/>
        <w:lang w:val="es-PR"/>
      </w:rPr>
      <w:t>P. del S. 171</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B0D8C5A"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B93970">
      <w:rPr>
        <w:rFonts w:ascii="Book Antiqua" w:hAnsi="Book Antiqua"/>
        <w:i/>
        <w:iCs/>
        <w:sz w:val="20"/>
        <w:lang w:val="es-PR"/>
      </w:rPr>
      <w:t>P. del S. 171</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177BB"/>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61B3C"/>
    <w:rsid w:val="0017168F"/>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4531"/>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4C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6D9"/>
    <w:rsid w:val="007E17BE"/>
    <w:rsid w:val="007E3B6D"/>
    <w:rsid w:val="007F0829"/>
    <w:rsid w:val="007F5075"/>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1C99"/>
    <w:rsid w:val="00984F56"/>
    <w:rsid w:val="009A08E8"/>
    <w:rsid w:val="009A4A2C"/>
    <w:rsid w:val="009A4FB3"/>
    <w:rsid w:val="009B5669"/>
    <w:rsid w:val="009B619C"/>
    <w:rsid w:val="009C455C"/>
    <w:rsid w:val="009D291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C5834"/>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93970"/>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510B5"/>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2DF"/>
    <w:rsid w:val="00D96D40"/>
    <w:rsid w:val="00DA0051"/>
    <w:rsid w:val="00DA1E64"/>
    <w:rsid w:val="00DB25BF"/>
    <w:rsid w:val="00DB3451"/>
    <w:rsid w:val="00DB4C88"/>
    <w:rsid w:val="00DC07E1"/>
    <w:rsid w:val="00DC2909"/>
    <w:rsid w:val="00DC7D84"/>
    <w:rsid w:val="00DD122E"/>
    <w:rsid w:val="00DD48C9"/>
    <w:rsid w:val="00DD58BD"/>
    <w:rsid w:val="00DE189A"/>
    <w:rsid w:val="00DE6362"/>
    <w:rsid w:val="00DF0352"/>
    <w:rsid w:val="00DF45DC"/>
    <w:rsid w:val="00E11002"/>
    <w:rsid w:val="00E14B9C"/>
    <w:rsid w:val="00E17E3B"/>
    <w:rsid w:val="00E251EA"/>
    <w:rsid w:val="00E35157"/>
    <w:rsid w:val="00E35171"/>
    <w:rsid w:val="00E36FA6"/>
    <w:rsid w:val="00E63FA4"/>
    <w:rsid w:val="00E722CA"/>
    <w:rsid w:val="00E73DB1"/>
    <w:rsid w:val="00E930DD"/>
    <w:rsid w:val="00E9570B"/>
    <w:rsid w:val="00EA477A"/>
    <w:rsid w:val="00EA554B"/>
    <w:rsid w:val="00EA5757"/>
    <w:rsid w:val="00EB0B16"/>
    <w:rsid w:val="00EB1664"/>
    <w:rsid w:val="00EC5454"/>
    <w:rsid w:val="00EC56E8"/>
    <w:rsid w:val="00ED218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10A3"/>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0075">
      <w:bodyDiv w:val="1"/>
      <w:marLeft w:val="0"/>
      <w:marRight w:val="0"/>
      <w:marTop w:val="0"/>
      <w:marBottom w:val="0"/>
      <w:divBdr>
        <w:top w:val="none" w:sz="0" w:space="0" w:color="auto"/>
        <w:left w:val="none" w:sz="0" w:space="0" w:color="auto"/>
        <w:bottom w:val="none" w:sz="0" w:space="0" w:color="auto"/>
        <w:right w:val="none" w:sz="0" w:space="0" w:color="auto"/>
      </w:divBdr>
    </w:div>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4SQX5P7U7WPY-958212181-817435</_dlc_DocId>
    <_dlc_DocIdUrl xmlns="c890fddd-4e87-4e08-8b51-545f2a3f7b06">
      <Url>https://senpr.sharepoint.com/sites/obralegislativa/_layouts/15/DocIdRedir.aspx?ID=4SQX5P7U7WPY-958212181-817435</Url>
      <Description>4SQX5P7U7WPY-958212181-817435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FF09CB4-6DFA-4E62-9C96-ABC870FF32FD}"/>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6096521A-99E3-4A75-9D6F-8CE6FD1E3899}"/>
</file>

<file path=docProps/app.xml><?xml version="1.0" encoding="utf-8"?>
<Properties xmlns="http://schemas.openxmlformats.org/officeDocument/2006/extended-properties" xmlns:vt="http://schemas.openxmlformats.org/officeDocument/2006/docPropsVTypes">
  <Template>Medida-V2009</Template>
  <TotalTime>0</TotalTime>
  <Pages>5</Pages>
  <Words>1425</Words>
  <Characters>7589</Characters>
  <Application>Microsoft Office Word</Application>
  <DocSecurity>0</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3</cp:revision>
  <cp:lastPrinted>2025-03-06T13:07:00Z</cp:lastPrinted>
  <dcterms:created xsi:type="dcterms:W3CDTF">2025-08-14T15:27:00Z</dcterms:created>
  <dcterms:modified xsi:type="dcterms:W3CDTF">2025-08-14T22:57:00Z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26a1b4de-fbd0-4292-abc7-d56eb057e942</vt:lpwstr>
  </property>
  <property fmtid="{D5CDD505-2E9C-101B-9397-08002B2CF9AE}" pid="4" name="MediaServiceImageTags">
    <vt:lpwstr/>
  </property>
</Properties>
</file>