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F955FA" w:rsidRDefault="00FD6CB7" w:rsidP="001A4A89">
      <w:pPr>
        <w:jc w:val="center"/>
        <w:rPr>
          <w:rFonts w:ascii="Book Antiqua" w:hAnsi="Book Antiqua"/>
          <w:sz w:val="28"/>
          <w:lang w:val="es-ES_tradnl"/>
        </w:rPr>
      </w:pPr>
      <w:r w:rsidRPr="00F955FA">
        <w:rPr>
          <w:rFonts w:ascii="Book Antiqua" w:hAnsi="Book Antiqua"/>
          <w:sz w:val="28"/>
          <w:lang w:val="es-ES_tradnl"/>
        </w:rPr>
        <w:t>GOBIERNO</w:t>
      </w:r>
      <w:r w:rsidR="001A4A89" w:rsidRPr="00F955FA">
        <w:rPr>
          <w:rFonts w:ascii="Book Antiqua" w:hAnsi="Book Antiqua"/>
          <w:sz w:val="28"/>
          <w:lang w:val="es-ES_tradnl"/>
        </w:rPr>
        <w:t xml:space="preserve"> DE PUERTO RICO</w:t>
      </w:r>
    </w:p>
    <w:p w14:paraId="05A6BEFB" w14:textId="68F95FA6" w:rsidR="001A4A89" w:rsidRPr="00F955FA" w:rsidRDefault="001A4A89" w:rsidP="001A4A89">
      <w:pPr>
        <w:jc w:val="center"/>
        <w:rPr>
          <w:rFonts w:ascii="Book Antiqua" w:hAnsi="Book Antiqua"/>
          <w:sz w:val="28"/>
          <w:lang w:val="es-ES_tradnl"/>
        </w:rPr>
      </w:pPr>
    </w:p>
    <w:p w14:paraId="41D7538C" w14:textId="5D395420" w:rsidR="001A4A89" w:rsidRPr="00F955FA" w:rsidRDefault="00FD6CB7" w:rsidP="001A4A89">
      <w:pPr>
        <w:pStyle w:val="Title2"/>
        <w:rPr>
          <w:rFonts w:ascii="Book Antiqua" w:hAnsi="Book Antiqua"/>
          <w:lang w:val="es-ES_tradnl"/>
        </w:rPr>
      </w:pPr>
      <w:r w:rsidRPr="00F955FA">
        <w:rPr>
          <w:rFonts w:ascii="Book Antiqua" w:hAnsi="Book Antiqua"/>
          <w:lang w:val="es-ES_tradnl"/>
        </w:rPr>
        <w:t xml:space="preserve">20 </w:t>
      </w:r>
      <w:proofErr w:type="spellStart"/>
      <w:r w:rsidRPr="00F955FA">
        <w:rPr>
          <w:rFonts w:ascii="Book Antiqua" w:hAnsi="Book Antiqua"/>
          <w:vertAlign w:val="superscript"/>
          <w:lang w:val="es-ES_tradnl"/>
        </w:rPr>
        <w:t>ma</w:t>
      </w:r>
      <w:proofErr w:type="spellEnd"/>
      <w:r w:rsidR="001A4A89" w:rsidRPr="00F955FA">
        <w:rPr>
          <w:rFonts w:ascii="Book Antiqua" w:hAnsi="Book Antiqua"/>
          <w:lang w:val="es-ES_tradnl"/>
        </w:rPr>
        <w:tab/>
        <w:t>Asamblea</w:t>
      </w:r>
      <w:r w:rsidR="001A4A89" w:rsidRPr="00F955FA">
        <w:rPr>
          <w:rFonts w:ascii="Book Antiqua" w:hAnsi="Book Antiqua"/>
          <w:lang w:val="es-ES_tradnl"/>
        </w:rPr>
        <w:tab/>
      </w:r>
      <w:r w:rsidRPr="00F955FA">
        <w:rPr>
          <w:rFonts w:ascii="Book Antiqua" w:hAnsi="Book Antiqua"/>
          <w:lang w:val="es-ES_tradnl"/>
        </w:rPr>
        <w:t>1</w:t>
      </w:r>
      <w:r w:rsidR="001A4A89" w:rsidRPr="00F955FA">
        <w:rPr>
          <w:rFonts w:ascii="Book Antiqua" w:hAnsi="Book Antiqua"/>
          <w:lang w:val="es-ES_tradnl"/>
        </w:rPr>
        <w:t xml:space="preserve"> </w:t>
      </w:r>
      <w:proofErr w:type="spellStart"/>
      <w:r w:rsidRPr="00F955FA">
        <w:rPr>
          <w:rFonts w:ascii="Book Antiqua" w:hAnsi="Book Antiqua"/>
          <w:vertAlign w:val="superscript"/>
          <w:lang w:val="es-ES_tradnl"/>
        </w:rPr>
        <w:t>r</w:t>
      </w:r>
      <w:r w:rsidR="001A4A89" w:rsidRPr="00F955FA">
        <w:rPr>
          <w:rFonts w:ascii="Book Antiqua" w:hAnsi="Book Antiqua"/>
          <w:vertAlign w:val="superscript"/>
          <w:lang w:val="es-ES_tradnl"/>
        </w:rPr>
        <w:t>a</w:t>
      </w:r>
      <w:proofErr w:type="spellEnd"/>
      <w:r w:rsidR="001A4A89" w:rsidRPr="00F955FA">
        <w:rPr>
          <w:rFonts w:ascii="Book Antiqua" w:hAnsi="Book Antiqua"/>
          <w:lang w:val="es-ES_tradnl"/>
        </w:rPr>
        <w:tab/>
        <w:t>Sesión</w:t>
      </w:r>
    </w:p>
    <w:p w14:paraId="235CD652" w14:textId="252CDCBE" w:rsidR="001A4A89" w:rsidRPr="00F955FA" w:rsidRDefault="001A4A89" w:rsidP="001A4A89">
      <w:pPr>
        <w:pStyle w:val="Title2"/>
        <w:rPr>
          <w:rFonts w:ascii="Book Antiqua" w:hAnsi="Book Antiqua"/>
          <w:lang w:val="es-ES_tradnl"/>
        </w:rPr>
      </w:pPr>
      <w:r w:rsidRPr="00F955FA">
        <w:rPr>
          <w:rFonts w:ascii="Book Antiqua" w:hAnsi="Book Antiqua"/>
          <w:lang w:val="es-ES_tradnl"/>
        </w:rPr>
        <w:tab/>
        <w:t>Legislativa</w:t>
      </w:r>
      <w:r w:rsidRPr="00F955FA">
        <w:rPr>
          <w:rFonts w:ascii="Book Antiqua" w:hAnsi="Book Antiqua"/>
          <w:lang w:val="es-ES_tradnl"/>
        </w:rPr>
        <w:tab/>
      </w:r>
      <w:r w:rsidRPr="00F955FA">
        <w:rPr>
          <w:rFonts w:ascii="Book Antiqua" w:hAnsi="Book Antiqua"/>
          <w:lang w:val="es-ES_tradnl"/>
        </w:rPr>
        <w:tab/>
        <w:t>Ordinaria</w:t>
      </w:r>
    </w:p>
    <w:p w14:paraId="451D22C4" w14:textId="09CB8675" w:rsidR="001A4A89" w:rsidRPr="00F955FA" w:rsidRDefault="001A4A89" w:rsidP="001A4A89">
      <w:pPr>
        <w:rPr>
          <w:rFonts w:ascii="Book Antiqua" w:hAnsi="Book Antiqua"/>
          <w:lang w:val="es-ES_tradnl"/>
        </w:rPr>
      </w:pPr>
    </w:p>
    <w:p w14:paraId="5FF1F465" w14:textId="1E0410C1" w:rsidR="001A4A89" w:rsidRPr="00F955FA" w:rsidRDefault="001A4A89" w:rsidP="00F14A41">
      <w:pPr>
        <w:jc w:val="center"/>
        <w:rPr>
          <w:rFonts w:ascii="Book Antiqua" w:hAnsi="Book Antiqua"/>
          <w:b/>
          <w:sz w:val="36"/>
          <w:lang w:val="es-ES_tradnl"/>
        </w:rPr>
      </w:pPr>
      <w:r w:rsidRPr="00F955FA">
        <w:rPr>
          <w:rFonts w:ascii="Book Antiqua" w:hAnsi="Book Antiqua"/>
          <w:b/>
          <w:sz w:val="36"/>
          <w:lang w:val="es-ES_tradnl"/>
        </w:rPr>
        <w:t>CÁMARA DE REPRESENTANTES</w:t>
      </w:r>
    </w:p>
    <w:p w14:paraId="1D0371B1" w14:textId="282D41E8" w:rsidR="001A4A89" w:rsidRPr="00F955FA" w:rsidRDefault="001A4A89" w:rsidP="00F14A41">
      <w:pPr>
        <w:jc w:val="center"/>
        <w:rPr>
          <w:rFonts w:ascii="Book Antiqua" w:hAnsi="Book Antiqua"/>
          <w:b/>
          <w:sz w:val="36"/>
          <w:lang w:val="es-ES_tradnl"/>
        </w:rPr>
      </w:pPr>
    </w:p>
    <w:p w14:paraId="6B463A5E" w14:textId="507B9BF3" w:rsidR="001A4A89" w:rsidRPr="00F955FA" w:rsidRDefault="001A4A89" w:rsidP="00F14A41">
      <w:pPr>
        <w:jc w:val="center"/>
        <w:rPr>
          <w:rFonts w:ascii="Book Antiqua" w:hAnsi="Book Antiqua"/>
          <w:b/>
          <w:sz w:val="52"/>
          <w:lang w:val="es-PR"/>
        </w:rPr>
      </w:pPr>
      <w:r w:rsidRPr="00F955FA">
        <w:rPr>
          <w:rFonts w:ascii="Book Antiqua" w:hAnsi="Book Antiqua"/>
          <w:b/>
          <w:sz w:val="52"/>
          <w:lang w:val="es-ES_tradnl"/>
        </w:rPr>
        <w:t>P.</w:t>
      </w:r>
      <w:r w:rsidR="00A10113" w:rsidRPr="00F955FA">
        <w:rPr>
          <w:rFonts w:ascii="Book Antiqua" w:hAnsi="Book Antiqua"/>
          <w:b/>
          <w:sz w:val="52"/>
          <w:lang w:val="es-ES_tradnl"/>
        </w:rPr>
        <w:t xml:space="preserve"> de la C. </w:t>
      </w:r>
      <w:r w:rsidR="00D15EE1" w:rsidRPr="00F955FA">
        <w:rPr>
          <w:rFonts w:ascii="Book Antiqua" w:hAnsi="Book Antiqua"/>
          <w:b/>
          <w:sz w:val="52"/>
          <w:lang w:val="es-ES_tradnl"/>
        </w:rPr>
        <w:t>124</w:t>
      </w:r>
    </w:p>
    <w:p w14:paraId="3F152183" w14:textId="77777777" w:rsidR="00091A87" w:rsidRPr="00F955FA"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Pr="00F955FA" w:rsidRDefault="001A4A89" w:rsidP="00091A87">
      <w:pPr>
        <w:spacing w:before="100" w:beforeAutospacing="1" w:after="100" w:afterAutospacing="1" w:line="360" w:lineRule="auto"/>
        <w:jc w:val="center"/>
        <w:rPr>
          <w:rFonts w:ascii="Book Antiqua" w:hAnsi="Book Antiqua"/>
          <w:b/>
          <w:sz w:val="28"/>
          <w:lang w:val="es-ES_tradnl"/>
        </w:rPr>
      </w:pPr>
      <w:r w:rsidRPr="00F955FA">
        <w:rPr>
          <w:rFonts w:ascii="Book Antiqua" w:hAnsi="Book Antiqua"/>
          <w:b/>
          <w:sz w:val="28"/>
          <w:lang w:val="es-ES_tradnl"/>
        </w:rPr>
        <w:t>INFORME POSITIVO</w:t>
      </w:r>
    </w:p>
    <w:p w14:paraId="7E659FF4" w14:textId="59EF8B64" w:rsidR="00D71003" w:rsidRPr="00F955FA" w:rsidRDefault="00FD00C4"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7</w:t>
      </w:r>
      <w:r w:rsidR="00D71003" w:rsidRPr="00F955FA">
        <w:rPr>
          <w:rFonts w:ascii="Book Antiqua" w:hAnsi="Book Antiqua"/>
          <w:color w:val="000000" w:themeColor="text1"/>
          <w:sz w:val="22"/>
          <w:szCs w:val="18"/>
          <w:lang w:val="es-PR"/>
        </w:rPr>
        <w:t xml:space="preserve"> DE </w:t>
      </w:r>
      <w:r w:rsidR="00D15EE1" w:rsidRPr="00F955FA">
        <w:rPr>
          <w:rFonts w:ascii="Book Antiqua" w:hAnsi="Book Antiqua"/>
          <w:color w:val="000000" w:themeColor="text1"/>
          <w:sz w:val="22"/>
          <w:szCs w:val="18"/>
          <w:lang w:val="es-PR"/>
        </w:rPr>
        <w:t>MAYO</w:t>
      </w:r>
      <w:r w:rsidR="00D71003" w:rsidRPr="00F955FA">
        <w:rPr>
          <w:rFonts w:ascii="Book Antiqua" w:hAnsi="Book Antiqua"/>
          <w:color w:val="000000" w:themeColor="text1"/>
          <w:sz w:val="22"/>
          <w:szCs w:val="18"/>
          <w:lang w:val="es-PR"/>
        </w:rPr>
        <w:t xml:space="preserve"> DE 2025</w:t>
      </w:r>
    </w:p>
    <w:p w14:paraId="2E4D5FEA" w14:textId="77777777" w:rsidR="001F5064" w:rsidRPr="006620CE" w:rsidRDefault="001F5064" w:rsidP="00F14A41">
      <w:pPr>
        <w:spacing w:before="100" w:beforeAutospacing="1" w:after="100" w:afterAutospacing="1"/>
        <w:jc w:val="center"/>
        <w:rPr>
          <w:rFonts w:ascii="Book Antiqua" w:hAnsi="Book Antiqua"/>
          <w:sz w:val="16"/>
          <w:szCs w:val="12"/>
          <w:lang w:val="es-ES_tradnl"/>
        </w:rPr>
      </w:pPr>
    </w:p>
    <w:p w14:paraId="4FF6A66F" w14:textId="61585F92" w:rsidR="001A4A89" w:rsidRPr="00F955FA" w:rsidRDefault="001A4A89" w:rsidP="00F955FA">
      <w:pPr>
        <w:spacing w:before="100" w:beforeAutospacing="1" w:after="100" w:afterAutospacing="1"/>
        <w:jc w:val="both"/>
        <w:rPr>
          <w:rFonts w:ascii="Book Antiqua" w:hAnsi="Book Antiqua"/>
          <w:lang w:val="es-ES_tradnl"/>
        </w:rPr>
      </w:pPr>
      <w:r w:rsidRPr="00F955FA">
        <w:rPr>
          <w:rFonts w:ascii="Book Antiqua" w:hAnsi="Book Antiqua"/>
          <w:b/>
          <w:lang w:val="es-ES_tradnl"/>
        </w:rPr>
        <w:t>A LA CÁMARA DE REPRESENTANTES</w:t>
      </w:r>
      <w:r w:rsidR="00F14A41" w:rsidRPr="00F955FA">
        <w:rPr>
          <w:rFonts w:ascii="Book Antiqua" w:hAnsi="Book Antiqua"/>
          <w:b/>
          <w:lang w:val="es-ES_tradnl"/>
        </w:rPr>
        <w:t xml:space="preserve"> DE PUERTO RICO</w:t>
      </w:r>
      <w:r w:rsidRPr="00F955FA">
        <w:rPr>
          <w:rFonts w:ascii="Book Antiqua" w:hAnsi="Book Antiqua"/>
          <w:b/>
          <w:lang w:val="es-ES_tradnl"/>
        </w:rPr>
        <w:t>:</w:t>
      </w:r>
    </w:p>
    <w:p w14:paraId="421485C8" w14:textId="0F2EE3FE" w:rsidR="00FD6CB7" w:rsidRPr="00F955FA" w:rsidRDefault="00091A87" w:rsidP="00F955FA">
      <w:pPr>
        <w:spacing w:before="100" w:beforeAutospacing="1" w:after="100" w:afterAutospacing="1"/>
        <w:ind w:firstLine="720"/>
        <w:jc w:val="both"/>
        <w:rPr>
          <w:rFonts w:ascii="Book Antiqua" w:hAnsi="Book Antiqua"/>
          <w:lang w:val="es-PR"/>
        </w:rPr>
      </w:pPr>
      <w:r w:rsidRPr="00F955FA">
        <w:rPr>
          <w:rFonts w:ascii="Book Antiqua" w:hAnsi="Book Antiqua"/>
          <w:lang w:val="es-PR"/>
        </w:rPr>
        <w:t>La Comisión de Educación</w:t>
      </w:r>
      <w:r w:rsidR="002C430F">
        <w:rPr>
          <w:rFonts w:ascii="Book Antiqua" w:hAnsi="Book Antiqua"/>
          <w:lang w:val="es-PR"/>
        </w:rPr>
        <w:t xml:space="preserve"> de la Cámara de Representantes</w:t>
      </w:r>
      <w:r w:rsidRPr="00F955FA">
        <w:rPr>
          <w:rFonts w:ascii="Book Antiqua" w:hAnsi="Book Antiqua"/>
          <w:lang w:val="es-PR"/>
        </w:rPr>
        <w:t xml:space="preserve">, tras un exhaustivo análisis y evaluación, recomienda respetuosamente a este Honorable Cuerpo Legislativo </w:t>
      </w:r>
      <w:r w:rsidR="00FD6CB7" w:rsidRPr="00F955FA">
        <w:rPr>
          <w:rFonts w:ascii="Book Antiqua" w:hAnsi="Book Antiqua"/>
          <w:lang w:val="es-PR"/>
        </w:rPr>
        <w:t xml:space="preserve">la aprobación del Proyecto de la Cámara </w:t>
      </w:r>
      <w:r w:rsidR="00D15EE1" w:rsidRPr="00F955FA">
        <w:rPr>
          <w:rFonts w:ascii="Book Antiqua" w:hAnsi="Book Antiqua"/>
          <w:lang w:val="es-PR"/>
        </w:rPr>
        <w:t>124</w:t>
      </w:r>
      <w:r w:rsidR="002C430F">
        <w:rPr>
          <w:rFonts w:ascii="Book Antiqua" w:hAnsi="Book Antiqua"/>
          <w:lang w:val="es-PR"/>
        </w:rPr>
        <w:t>,</w:t>
      </w:r>
      <w:r w:rsidR="00FD6CB7" w:rsidRPr="00F955FA">
        <w:rPr>
          <w:rFonts w:ascii="Book Antiqua" w:hAnsi="Book Antiqua"/>
          <w:lang w:val="es-PR"/>
        </w:rPr>
        <w:t xml:space="preserve"> incorporando las enmiendas sugeridas que se detallan en el</w:t>
      </w:r>
      <w:r w:rsidR="00FD6CB7" w:rsidRPr="00F955FA">
        <w:rPr>
          <w:rFonts w:ascii="Book Antiqua" w:hAnsi="Book Antiqua"/>
          <w:lang w:val="es-ES_tradnl"/>
        </w:rPr>
        <w:t xml:space="preserve"> </w:t>
      </w:r>
      <w:r w:rsidR="003963BE" w:rsidRPr="00F955FA">
        <w:rPr>
          <w:rFonts w:ascii="Book Antiqua" w:hAnsi="Book Antiqua"/>
          <w:lang w:val="es-ES_tradnl"/>
        </w:rPr>
        <w:t>entrillado</w:t>
      </w:r>
      <w:r w:rsidR="00FD6CB7" w:rsidRPr="00F955FA">
        <w:rPr>
          <w:rFonts w:ascii="Book Antiqua" w:hAnsi="Book Antiqua"/>
          <w:lang w:val="es-ES_tradnl"/>
        </w:rPr>
        <w:t xml:space="preserve"> electrónico que se acompaña</w:t>
      </w:r>
      <w:r w:rsidR="00FD6CB7" w:rsidRPr="00F955FA">
        <w:rPr>
          <w:rFonts w:ascii="Book Antiqua" w:hAnsi="Book Antiqua"/>
          <w:lang w:val="es-PR"/>
        </w:rPr>
        <w:t>.</w:t>
      </w:r>
    </w:p>
    <w:p w14:paraId="43AC1EAF" w14:textId="77777777" w:rsidR="006620CE" w:rsidRPr="006620CE" w:rsidRDefault="006620CE" w:rsidP="00F955FA">
      <w:pPr>
        <w:spacing w:before="100" w:beforeAutospacing="1" w:after="100" w:afterAutospacing="1"/>
        <w:jc w:val="center"/>
        <w:rPr>
          <w:rFonts w:ascii="Book Antiqua" w:hAnsi="Book Antiqua"/>
          <w:b/>
          <w:bCs/>
          <w:sz w:val="16"/>
          <w:szCs w:val="12"/>
          <w:lang w:val="es-ES_tradnl"/>
        </w:rPr>
      </w:pPr>
      <w:bookmarkStart w:id="0" w:name="_Hlk191047724"/>
    </w:p>
    <w:p w14:paraId="49988954" w14:textId="6B981009" w:rsidR="00FD6CB7" w:rsidRPr="00F955FA" w:rsidRDefault="001A4A89" w:rsidP="00F955FA">
      <w:pPr>
        <w:spacing w:before="100" w:beforeAutospacing="1" w:after="100" w:afterAutospacing="1"/>
        <w:jc w:val="center"/>
        <w:rPr>
          <w:rFonts w:ascii="Book Antiqua" w:hAnsi="Book Antiqua"/>
          <w:b/>
          <w:bCs/>
          <w:lang w:val="es-ES_tradnl"/>
        </w:rPr>
      </w:pPr>
      <w:r w:rsidRPr="00F955FA">
        <w:rPr>
          <w:rFonts w:ascii="Book Antiqua" w:hAnsi="Book Antiqua"/>
          <w:b/>
          <w:bCs/>
          <w:lang w:val="es-ES_tradnl"/>
        </w:rPr>
        <w:t>ALCANCE DE LA MEDIDA</w:t>
      </w:r>
    </w:p>
    <w:bookmarkEnd w:id="0"/>
    <w:p w14:paraId="46C735FA" w14:textId="47C14CF0" w:rsidR="00D15EE1" w:rsidRDefault="00D15EE1" w:rsidP="00F955FA">
      <w:pPr>
        <w:spacing w:before="100" w:beforeAutospacing="1" w:after="100" w:afterAutospacing="1"/>
        <w:jc w:val="both"/>
        <w:rPr>
          <w:rFonts w:ascii="Book Antiqua" w:hAnsi="Book Antiqua"/>
          <w:lang w:val="es-PR"/>
        </w:rPr>
      </w:pPr>
      <w:r w:rsidRPr="00F955FA">
        <w:rPr>
          <w:rFonts w:ascii="Book Antiqua" w:hAnsi="Book Antiqua"/>
          <w:lang w:val="es-ES_tradnl"/>
        </w:rPr>
        <w:t xml:space="preserve">           </w:t>
      </w:r>
      <w:r w:rsidR="007D12D4" w:rsidRPr="00F955FA">
        <w:rPr>
          <w:rFonts w:ascii="Book Antiqua" w:hAnsi="Book Antiqua"/>
          <w:lang w:val="es-PR"/>
        </w:rPr>
        <w:t>Para enmendar la Ley 85-2018, según enmendada, conocida como “Ley de Reforma Educativa de Puerto Rico”, en su Artículo 1.02(e)(2); enmendar su Artículo 1.03, para añadir un nuevo inciso 17, y para renumerar los subsiguientes; enmendar su Artículo 2.04(b)(36); enmendar su Artículo 2.08, incisos (m) y (n), y añadir un nuevo inciso (x); enmendar el Artículo 2.12(e) y (q)(5); enmendar sus artículos 2.14(l), 3.01(a), 3.04, y 6.02; enmendar su Artículo 6.05 para añadir un inciso (o); y, enmendar los artículos 9.02(g) y 11.01(a); a los fines de establecer como parte de la política pública del sistema educativo la concientización sobre el edadismo, incentivar la erradicación del discrimen por edad, y establecer tanto los deberes como las responsabilidades de la comunidad escolar en torno al edadismo; definir el edadismo; establecer dentro del currículo general, actividades para concientizar sobre el edadismo y la necesidad de erradicar cualquier tipo de discrimen, incluyendo el que surge por razón de edad; y para otros fines relacionados.</w:t>
      </w:r>
    </w:p>
    <w:p w14:paraId="386914AB" w14:textId="77777777" w:rsidR="006620CE" w:rsidRPr="006620CE" w:rsidRDefault="006620CE" w:rsidP="00F955FA">
      <w:pPr>
        <w:spacing w:before="100" w:beforeAutospacing="1" w:after="100" w:afterAutospacing="1"/>
        <w:jc w:val="both"/>
        <w:rPr>
          <w:rFonts w:ascii="Book Antiqua" w:hAnsi="Book Antiqua"/>
          <w:sz w:val="16"/>
          <w:szCs w:val="12"/>
          <w:lang w:val="es-ES_tradnl"/>
        </w:rPr>
      </w:pPr>
    </w:p>
    <w:p w14:paraId="26C62843" w14:textId="1CAA27D7" w:rsidR="00364902" w:rsidRPr="00F955FA" w:rsidRDefault="00364902" w:rsidP="00F955FA">
      <w:pPr>
        <w:spacing w:before="100" w:beforeAutospacing="1" w:after="100" w:afterAutospacing="1"/>
        <w:jc w:val="center"/>
        <w:rPr>
          <w:rFonts w:ascii="Book Antiqua" w:hAnsi="Book Antiqua"/>
          <w:b/>
          <w:bCs/>
          <w:lang w:val="es-ES_tradnl"/>
        </w:rPr>
      </w:pPr>
      <w:r w:rsidRPr="00F955FA">
        <w:rPr>
          <w:rFonts w:ascii="Book Antiqua" w:hAnsi="Book Antiqua"/>
          <w:b/>
          <w:bCs/>
          <w:lang w:val="es-ES_tradnl"/>
        </w:rPr>
        <w:lastRenderedPageBreak/>
        <w:t>INTRODUCCIÓN</w:t>
      </w:r>
    </w:p>
    <w:p w14:paraId="602EB306" w14:textId="77777777" w:rsidR="00FA201E" w:rsidRPr="00FA201E" w:rsidRDefault="00D15EE1" w:rsidP="00FA201E">
      <w:pPr>
        <w:spacing w:before="100" w:beforeAutospacing="1" w:after="100" w:afterAutospacing="1"/>
        <w:jc w:val="both"/>
        <w:rPr>
          <w:rFonts w:ascii="Book Antiqua" w:hAnsi="Book Antiqua"/>
          <w:szCs w:val="24"/>
          <w:lang w:val="es-PR"/>
        </w:rPr>
      </w:pPr>
      <w:r w:rsidRPr="00F955FA">
        <w:rPr>
          <w:rFonts w:ascii="Book Antiqua" w:hAnsi="Book Antiqua"/>
          <w:szCs w:val="24"/>
          <w:lang w:val="es-ES_tradnl"/>
        </w:rPr>
        <w:t xml:space="preserve">            </w:t>
      </w:r>
      <w:r w:rsidR="00FA201E" w:rsidRPr="00FA201E">
        <w:rPr>
          <w:rFonts w:ascii="Book Antiqua" w:hAnsi="Book Antiqua"/>
          <w:szCs w:val="24"/>
          <w:lang w:val="es-PR"/>
        </w:rPr>
        <w:t xml:space="preserve">En 2021, la Organización de las Naciones Unidas (ONU) publicó el </w:t>
      </w:r>
      <w:r w:rsidR="00FA201E" w:rsidRPr="00FA201E">
        <w:rPr>
          <w:rFonts w:ascii="Book Antiqua" w:hAnsi="Book Antiqua"/>
          <w:i/>
          <w:iCs/>
          <w:szCs w:val="24"/>
          <w:lang w:val="es-PR"/>
        </w:rPr>
        <w:t>Informe Mundial sobre el Edadismo</w:t>
      </w:r>
      <w:r w:rsidR="00FA201E" w:rsidRPr="00FA201E">
        <w:rPr>
          <w:rFonts w:ascii="Book Antiqua" w:hAnsi="Book Antiqua"/>
          <w:szCs w:val="24"/>
          <w:lang w:val="es-PR"/>
        </w:rPr>
        <w:t xml:space="preserve">, documento que marcó un hito en la </w:t>
      </w:r>
      <w:proofErr w:type="spellStart"/>
      <w:r w:rsidR="00FA201E" w:rsidRPr="00FA201E">
        <w:rPr>
          <w:rFonts w:ascii="Book Antiqua" w:hAnsi="Book Antiqua"/>
          <w:szCs w:val="24"/>
          <w:lang w:val="es-PR"/>
        </w:rPr>
        <w:t>visibilización</w:t>
      </w:r>
      <w:proofErr w:type="spellEnd"/>
      <w:r w:rsidR="00FA201E" w:rsidRPr="00FA201E">
        <w:rPr>
          <w:rFonts w:ascii="Book Antiqua" w:hAnsi="Book Antiqua"/>
          <w:szCs w:val="24"/>
          <w:lang w:val="es-PR"/>
        </w:rPr>
        <w:t xml:space="preserve"> de una forma de discriminación que, aunque común, ha sido históricamente ignorada: el edadismo. Este se define como el conjunto de estereotipos, prejuicios y prácticas discriminatorias dirigidas a una persona o grupo basándose exclusivamente en su edad. Puede manifestarse de manera institucional, interpersonal o incluso internalizarse por quienes lo padecen. Lo más preocupante es que el edadismo comienza a formarse desde edades tempranas y se afianza a lo largo de la vida. Según el informe, una de cada dos personas en el mundo tiene actitudes </w:t>
      </w:r>
      <w:proofErr w:type="spellStart"/>
      <w:r w:rsidR="00FA201E" w:rsidRPr="00FA201E">
        <w:rPr>
          <w:rFonts w:ascii="Book Antiqua" w:hAnsi="Book Antiqua"/>
          <w:szCs w:val="24"/>
          <w:lang w:val="es-PR"/>
        </w:rPr>
        <w:t>edadistas</w:t>
      </w:r>
      <w:proofErr w:type="spellEnd"/>
      <w:r w:rsidR="00FA201E" w:rsidRPr="00FA201E">
        <w:rPr>
          <w:rFonts w:ascii="Book Antiqua" w:hAnsi="Book Antiqua"/>
          <w:szCs w:val="24"/>
          <w:lang w:val="es-PR"/>
        </w:rPr>
        <w:t xml:space="preserve"> hacia las personas mayores, lo que revela la magnitud y la naturalización del problema a escala global.</w:t>
      </w:r>
    </w:p>
    <w:p w14:paraId="7A96DFE4" w14:textId="77777777" w:rsidR="00FA201E" w:rsidRPr="00FA201E" w:rsidRDefault="00FA201E" w:rsidP="00FA201E">
      <w:pPr>
        <w:spacing w:before="100" w:beforeAutospacing="1" w:after="100" w:afterAutospacing="1"/>
        <w:ind w:firstLine="720"/>
        <w:jc w:val="both"/>
        <w:rPr>
          <w:rFonts w:ascii="Book Antiqua" w:hAnsi="Book Antiqua"/>
          <w:szCs w:val="24"/>
          <w:lang w:val="es-PR"/>
        </w:rPr>
      </w:pPr>
      <w:r w:rsidRPr="00FA201E">
        <w:rPr>
          <w:rFonts w:ascii="Book Antiqua" w:hAnsi="Book Antiqua"/>
          <w:szCs w:val="24"/>
          <w:lang w:val="es-PR"/>
        </w:rPr>
        <w:t>Este fenómeno no es meramente social o cultural, sino que tiene consecuencias tangibles y profundamente nocivas para la salud y el bienestar. Entre las personas mayores, el edadismo se asocia con mayor incidencia de enfermedades físicas y mentales, aislamiento social, inseguridad económica, disminución de oportunidades y una reducción significativa de la calidad de vida. Se estima que al menos 6.3 millones de casos de depresión en el mundo están vinculados directa o indirectamente al edadismo. Además, el problema se ve agravado cuando se entrelaza con otros tipos de discriminación, como el racismo, el sexismo o la xenofobia, generando formas de exclusión múltiples y complejas.</w:t>
      </w:r>
    </w:p>
    <w:p w14:paraId="0918318E" w14:textId="7434A449" w:rsidR="00FA201E" w:rsidRPr="00FA201E" w:rsidRDefault="00FA201E" w:rsidP="00FA201E">
      <w:pPr>
        <w:spacing w:before="100" w:beforeAutospacing="1" w:after="100" w:afterAutospacing="1"/>
        <w:jc w:val="both"/>
        <w:rPr>
          <w:rFonts w:ascii="Book Antiqua" w:hAnsi="Book Antiqua"/>
          <w:szCs w:val="24"/>
          <w:lang w:val="es-PR"/>
        </w:rPr>
      </w:pPr>
      <w:r w:rsidRPr="00FA201E">
        <w:rPr>
          <w:rFonts w:ascii="Book Antiqua" w:hAnsi="Book Antiqua"/>
          <w:szCs w:val="24"/>
          <w:lang w:val="es-PR"/>
        </w:rPr>
        <w:t>Ante este panorama, el informe de la ONU plantea una serie de estrategias eficaces para abordar y reducir el edadismo. Entre ellas, se destaca la educación como uno de los mecanismos más potentes para transformar actitudes y promover una cultura de respeto intergeneracional. Incluir contenidos educativos que aborden el envejecimiento saludable, los derechos humanos y la diversidad etaria en todos los niveles del sistema educativo desde la escuela primaria hasta la universidad</w:t>
      </w:r>
      <w:r>
        <w:rPr>
          <w:rFonts w:ascii="Book Antiqua" w:hAnsi="Book Antiqua"/>
          <w:szCs w:val="24"/>
          <w:lang w:val="es-PR"/>
        </w:rPr>
        <w:t xml:space="preserve"> </w:t>
      </w:r>
      <w:r w:rsidRPr="00FA201E">
        <w:rPr>
          <w:rFonts w:ascii="Book Antiqua" w:hAnsi="Book Antiqua"/>
          <w:szCs w:val="24"/>
          <w:lang w:val="es-PR"/>
        </w:rPr>
        <w:t xml:space="preserve">puede fomentar la empatía, desmontar prejuicios y cultivar una visión positiva sobre la vejez. Como bien expresa María-Francesca </w:t>
      </w:r>
      <w:proofErr w:type="spellStart"/>
      <w:r w:rsidRPr="00FA201E">
        <w:rPr>
          <w:rFonts w:ascii="Book Antiqua" w:hAnsi="Book Antiqua"/>
          <w:szCs w:val="24"/>
          <w:lang w:val="es-PR"/>
        </w:rPr>
        <w:t>Spatolisano</w:t>
      </w:r>
      <w:proofErr w:type="spellEnd"/>
      <w:r w:rsidRPr="00FA201E">
        <w:rPr>
          <w:rFonts w:ascii="Book Antiqua" w:hAnsi="Book Antiqua"/>
          <w:szCs w:val="24"/>
          <w:lang w:val="es-PR"/>
        </w:rPr>
        <w:t>, alta funcionaria de la ONU, eliminar el edadismo no solo es una necesidad ética y social, sino también una inversión en el desarrollo económico sostenible y en la cohesión de nuestras sociedades.</w:t>
      </w:r>
    </w:p>
    <w:p w14:paraId="0031D4A7" w14:textId="77777777" w:rsidR="00FA201E" w:rsidRPr="00FA201E" w:rsidRDefault="00FA201E" w:rsidP="00FA201E">
      <w:pPr>
        <w:spacing w:before="100" w:beforeAutospacing="1" w:after="100" w:afterAutospacing="1"/>
        <w:ind w:firstLine="720"/>
        <w:jc w:val="both"/>
        <w:rPr>
          <w:rFonts w:ascii="Book Antiqua" w:hAnsi="Book Antiqua"/>
          <w:szCs w:val="24"/>
          <w:lang w:val="es-PR"/>
        </w:rPr>
      </w:pPr>
      <w:r w:rsidRPr="00FA201E">
        <w:rPr>
          <w:rFonts w:ascii="Book Antiqua" w:hAnsi="Book Antiqua"/>
          <w:szCs w:val="24"/>
          <w:lang w:val="es-PR"/>
        </w:rPr>
        <w:t>A nivel normativo, el informe enfatiza la importancia de promulgar políticas y leyes que protejan a las personas de todas las edades frente al discrimen por edad, así como impulsar actividades intergeneracionales que promuevan el entendimiento y la cooperación entre generaciones. Líderes como Claudia Mahler y Michelle Bachelet han señalado que garantizar los derechos humanos de las personas mayores requiere un cambio de paradigma: pasar de una narrativa negativa o asistencialista, hacia una que reconozca su dignidad, capacidades y contribuciones.</w:t>
      </w:r>
    </w:p>
    <w:p w14:paraId="12B7C9C3" w14:textId="1F825F95" w:rsidR="00FA201E" w:rsidRPr="00FA201E" w:rsidRDefault="00FA201E" w:rsidP="00FA201E">
      <w:pPr>
        <w:spacing w:before="100" w:beforeAutospacing="1" w:after="100" w:afterAutospacing="1"/>
        <w:ind w:firstLine="720"/>
        <w:jc w:val="both"/>
        <w:rPr>
          <w:rFonts w:ascii="Book Antiqua" w:hAnsi="Book Antiqua"/>
          <w:szCs w:val="24"/>
          <w:lang w:val="es-PR"/>
        </w:rPr>
      </w:pPr>
      <w:r w:rsidRPr="00FA201E">
        <w:rPr>
          <w:rFonts w:ascii="Book Antiqua" w:hAnsi="Book Antiqua"/>
          <w:szCs w:val="24"/>
          <w:lang w:val="es-PR"/>
        </w:rPr>
        <w:t xml:space="preserve">Puerto Rico no es ajeno a esta realidad. De hecho, enfrenta un crecimiento sostenido de su población adulta mayor, lo que exige respuestas urgentes e integrales. En ese sentido, figuras como el </w:t>
      </w:r>
      <w:proofErr w:type="gramStart"/>
      <w:r>
        <w:rPr>
          <w:rFonts w:ascii="Book Antiqua" w:hAnsi="Book Antiqua"/>
          <w:szCs w:val="24"/>
          <w:lang w:val="es-PR"/>
        </w:rPr>
        <w:t>Director</w:t>
      </w:r>
      <w:proofErr w:type="gramEnd"/>
      <w:r>
        <w:rPr>
          <w:rFonts w:ascii="Book Antiqua" w:hAnsi="Book Antiqua"/>
          <w:szCs w:val="24"/>
          <w:lang w:val="es-PR"/>
        </w:rPr>
        <w:t xml:space="preserve"> de la Comisión de Derechos Civiles de Puerto Rico, </w:t>
      </w:r>
      <w:r w:rsidRPr="00FA201E">
        <w:rPr>
          <w:rFonts w:ascii="Book Antiqua" w:hAnsi="Book Antiqua"/>
          <w:szCs w:val="24"/>
          <w:lang w:val="es-PR"/>
        </w:rPr>
        <w:lastRenderedPageBreak/>
        <w:t xml:space="preserve">Lcdo. </w:t>
      </w:r>
      <w:proofErr w:type="spellStart"/>
      <w:r w:rsidRPr="00FA201E">
        <w:rPr>
          <w:rFonts w:ascii="Book Antiqua" w:hAnsi="Book Antiqua"/>
          <w:szCs w:val="24"/>
          <w:lang w:val="es-PR"/>
        </w:rPr>
        <w:t>Ever</w:t>
      </w:r>
      <w:proofErr w:type="spellEnd"/>
      <w:r w:rsidRPr="00FA201E">
        <w:rPr>
          <w:rFonts w:ascii="Book Antiqua" w:hAnsi="Book Antiqua"/>
          <w:szCs w:val="24"/>
          <w:lang w:val="es-PR"/>
        </w:rPr>
        <w:t xml:space="preserve"> Padilla</w:t>
      </w:r>
      <w:r>
        <w:rPr>
          <w:rFonts w:ascii="Book Antiqua" w:hAnsi="Book Antiqua"/>
          <w:szCs w:val="24"/>
          <w:lang w:val="es-PR"/>
        </w:rPr>
        <w:t xml:space="preserve"> </w:t>
      </w:r>
      <w:r w:rsidR="00213D7E">
        <w:rPr>
          <w:rFonts w:ascii="Book Antiqua" w:hAnsi="Book Antiqua"/>
          <w:szCs w:val="24"/>
          <w:lang w:val="es-PR"/>
        </w:rPr>
        <w:t xml:space="preserve">Ruiz, </w:t>
      </w:r>
      <w:r w:rsidR="00213D7E" w:rsidRPr="00FA201E">
        <w:rPr>
          <w:rFonts w:ascii="Book Antiqua" w:hAnsi="Book Antiqua"/>
          <w:szCs w:val="24"/>
          <w:lang w:val="es-PR"/>
        </w:rPr>
        <w:t>han</w:t>
      </w:r>
      <w:r w:rsidRPr="00FA201E">
        <w:rPr>
          <w:rFonts w:ascii="Book Antiqua" w:hAnsi="Book Antiqua"/>
          <w:szCs w:val="24"/>
          <w:lang w:val="es-PR"/>
        </w:rPr>
        <w:t xml:space="preserve"> resaltado la normalización del edadismo en múltiples esferas de la vida diaria, desde el ámbito laboral hasta el educativo, y han abogado por una transformación cultural iniciada desde el sistema escolar. La </w:t>
      </w:r>
      <w:r w:rsidRPr="00FA201E">
        <w:rPr>
          <w:rFonts w:ascii="Book Antiqua" w:hAnsi="Book Antiqua"/>
          <w:i/>
          <w:iCs/>
          <w:szCs w:val="24"/>
          <w:lang w:val="es-PR"/>
        </w:rPr>
        <w:t>Declaración de Asunción de 2017</w:t>
      </w:r>
      <w:r w:rsidRPr="00FA201E">
        <w:rPr>
          <w:rFonts w:ascii="Book Antiqua" w:hAnsi="Book Antiqua"/>
          <w:szCs w:val="24"/>
          <w:lang w:val="es-PR"/>
        </w:rPr>
        <w:t>, respaldada por múltiples países latinoamericanos, incluyendo a Puerto Rico, reafirma el compromiso con los derechos de las personas mayores y establece la educación intergeneracional como una prioridad estratégica.</w:t>
      </w:r>
    </w:p>
    <w:p w14:paraId="2FC3EF12" w14:textId="77777777" w:rsidR="00FA201E" w:rsidRPr="00FA201E" w:rsidRDefault="00FA201E" w:rsidP="00FA201E">
      <w:pPr>
        <w:spacing w:before="100" w:beforeAutospacing="1" w:after="100" w:afterAutospacing="1"/>
        <w:ind w:firstLine="720"/>
        <w:jc w:val="both"/>
        <w:rPr>
          <w:rFonts w:ascii="Book Antiqua" w:hAnsi="Book Antiqua"/>
          <w:szCs w:val="24"/>
          <w:lang w:val="es-PR"/>
        </w:rPr>
      </w:pPr>
      <w:r w:rsidRPr="00FA201E">
        <w:rPr>
          <w:rFonts w:ascii="Book Antiqua" w:hAnsi="Book Antiqua"/>
          <w:szCs w:val="24"/>
          <w:lang w:val="es-PR"/>
        </w:rPr>
        <w:t xml:space="preserve">La Ley de Reforma Educativa de Puerto Rico establece que toda persona tiene derecho a una educación que no solo desarrolle su potencial académico, sino que también promueva el respeto por los derechos humanos, la equidad y la inclusión. Esto convierte al sistema educativo en una herramienta clave para erradicar actitudes </w:t>
      </w:r>
      <w:proofErr w:type="spellStart"/>
      <w:r w:rsidRPr="00FA201E">
        <w:rPr>
          <w:rFonts w:ascii="Book Antiqua" w:hAnsi="Book Antiqua"/>
          <w:szCs w:val="24"/>
          <w:lang w:val="es-PR"/>
        </w:rPr>
        <w:t>edadistas</w:t>
      </w:r>
      <w:proofErr w:type="spellEnd"/>
      <w:r w:rsidRPr="00FA201E">
        <w:rPr>
          <w:rFonts w:ascii="Book Antiqua" w:hAnsi="Book Antiqua"/>
          <w:szCs w:val="24"/>
          <w:lang w:val="es-PR"/>
        </w:rPr>
        <w:t xml:space="preserve"> desde la infancia, formar ciudadanos empáticos y comprometidos, y fortalecer una cultura de respeto a la dignidad de todas las personas, sin importar su edad.</w:t>
      </w:r>
    </w:p>
    <w:p w14:paraId="0AB75459" w14:textId="77777777" w:rsidR="00FA201E" w:rsidRPr="00FA201E" w:rsidRDefault="00FA201E" w:rsidP="00FA201E">
      <w:pPr>
        <w:spacing w:before="100" w:beforeAutospacing="1" w:after="100" w:afterAutospacing="1"/>
        <w:ind w:firstLine="720"/>
        <w:jc w:val="both"/>
        <w:rPr>
          <w:rFonts w:ascii="Book Antiqua" w:hAnsi="Book Antiqua"/>
          <w:szCs w:val="24"/>
          <w:lang w:val="es-PR"/>
        </w:rPr>
      </w:pPr>
      <w:r w:rsidRPr="00FA201E">
        <w:rPr>
          <w:rFonts w:ascii="Book Antiqua" w:hAnsi="Book Antiqua"/>
          <w:szCs w:val="24"/>
          <w:lang w:val="es-PR"/>
        </w:rPr>
        <w:t>Por tanto, la Asamblea Legislativa de Puerto Rico tiene ante sí la oportunidad y la responsabilidad de actuar. Incorporar el tema del edadismo en los currículos escolares no es solo una respuesta a un problema urgente, sino una afirmación clara del compromiso con una sociedad más justa, solidaria y consciente del valor inherente de todas las etapas de la vida.</w:t>
      </w:r>
    </w:p>
    <w:p w14:paraId="411FD751" w14:textId="362B98F9" w:rsidR="00DF1752" w:rsidRPr="006620CE" w:rsidRDefault="00DF1752" w:rsidP="00FA201E">
      <w:pPr>
        <w:spacing w:before="100" w:beforeAutospacing="1" w:after="100" w:afterAutospacing="1"/>
        <w:jc w:val="both"/>
        <w:rPr>
          <w:rFonts w:ascii="Book Antiqua" w:hAnsi="Book Antiqua" w:cs="AngsanaUPC"/>
          <w:sz w:val="16"/>
          <w:szCs w:val="12"/>
          <w:lang w:val="es-PR"/>
        </w:rPr>
      </w:pPr>
      <w:r w:rsidRPr="00F955FA">
        <w:rPr>
          <w:rFonts w:ascii="Book Antiqua" w:hAnsi="Book Antiqua" w:cs="AngsanaUPC"/>
          <w:lang w:val="es-PR"/>
        </w:rPr>
        <w:t xml:space="preserve">              </w:t>
      </w:r>
    </w:p>
    <w:p w14:paraId="748C3EEB" w14:textId="5308B508" w:rsidR="00B7320F" w:rsidRPr="00F955FA" w:rsidRDefault="00D15EE1" w:rsidP="00F955FA">
      <w:pPr>
        <w:spacing w:before="100" w:beforeAutospacing="1" w:after="100" w:afterAutospacing="1"/>
        <w:rPr>
          <w:rFonts w:ascii="Book Antiqua" w:hAnsi="Book Antiqua"/>
          <w:b/>
          <w:bCs/>
          <w:szCs w:val="24"/>
          <w:lang w:val="es-PR"/>
        </w:rPr>
      </w:pPr>
      <w:r w:rsidRPr="00F955FA">
        <w:rPr>
          <w:rFonts w:ascii="Book Antiqua" w:hAnsi="Book Antiqua" w:cs="AngsanaUPC"/>
          <w:lang w:val="es-PR"/>
        </w:rPr>
        <w:t xml:space="preserve">                                                 </w:t>
      </w:r>
      <w:r w:rsidR="00B7320F" w:rsidRPr="00F955FA">
        <w:rPr>
          <w:rFonts w:ascii="Book Antiqua" w:hAnsi="Book Antiqua"/>
          <w:b/>
          <w:bCs/>
          <w:szCs w:val="24"/>
          <w:lang w:val="es-PR"/>
        </w:rPr>
        <w:t>ANÁLISIS DE LA MEDIDA</w:t>
      </w:r>
    </w:p>
    <w:p w14:paraId="30F71BF4" w14:textId="48EEB8AE" w:rsidR="0001561B" w:rsidRPr="00F955FA" w:rsidRDefault="00B7320F" w:rsidP="00F955FA">
      <w:pPr>
        <w:spacing w:before="100" w:beforeAutospacing="1" w:after="100" w:afterAutospacing="1"/>
        <w:ind w:firstLine="720"/>
        <w:jc w:val="both"/>
        <w:rPr>
          <w:rFonts w:ascii="Book Antiqua" w:hAnsi="Book Antiqua"/>
          <w:szCs w:val="24"/>
          <w:lang w:val="es-PR"/>
        </w:rPr>
      </w:pPr>
      <w:r w:rsidRPr="00F955FA">
        <w:rPr>
          <w:rFonts w:ascii="Book Antiqua" w:hAnsi="Book Antiqua"/>
          <w:szCs w:val="24"/>
          <w:lang w:val="es-PR"/>
        </w:rPr>
        <w:t xml:space="preserve">El Proyecto de la Cámara </w:t>
      </w:r>
      <w:r w:rsidR="00D15EE1" w:rsidRPr="00F955FA">
        <w:rPr>
          <w:rFonts w:ascii="Book Antiqua" w:hAnsi="Book Antiqua"/>
          <w:szCs w:val="24"/>
          <w:lang w:val="es-PR"/>
        </w:rPr>
        <w:t>124</w:t>
      </w:r>
      <w:r w:rsidR="007D12D4" w:rsidRPr="00F955FA">
        <w:rPr>
          <w:rFonts w:ascii="Book Antiqua" w:hAnsi="Book Antiqua"/>
          <w:szCs w:val="24"/>
          <w:lang w:val="es-PR"/>
        </w:rPr>
        <w:t xml:space="preserve"> (en adelante, P. de la C. 124)</w:t>
      </w:r>
      <w:r w:rsidRPr="00F955FA">
        <w:rPr>
          <w:rFonts w:ascii="Book Antiqua" w:hAnsi="Book Antiqua"/>
          <w:szCs w:val="24"/>
          <w:lang w:val="es-PR"/>
        </w:rPr>
        <w:t xml:space="preserve"> fue radicado el </w:t>
      </w:r>
      <w:r w:rsidR="007D12D4" w:rsidRPr="00F955FA">
        <w:rPr>
          <w:rFonts w:ascii="Book Antiqua" w:hAnsi="Book Antiqua"/>
          <w:szCs w:val="24"/>
          <w:lang w:val="es-PR"/>
        </w:rPr>
        <w:t>3</w:t>
      </w:r>
      <w:r w:rsidR="00D15EE1" w:rsidRPr="00F955FA">
        <w:rPr>
          <w:rFonts w:ascii="Book Antiqua" w:hAnsi="Book Antiqua"/>
          <w:szCs w:val="24"/>
          <w:lang w:val="es-PR"/>
        </w:rPr>
        <w:t xml:space="preserve"> de enero</w:t>
      </w:r>
      <w:r w:rsidRPr="00F955FA">
        <w:rPr>
          <w:rFonts w:ascii="Book Antiqua" w:hAnsi="Book Antiqua"/>
          <w:szCs w:val="24"/>
          <w:lang w:val="es-PR"/>
        </w:rPr>
        <w:t xml:space="preserve"> de 202</w:t>
      </w:r>
      <w:r w:rsidR="00E8764A" w:rsidRPr="00F955FA">
        <w:rPr>
          <w:rFonts w:ascii="Book Antiqua" w:hAnsi="Book Antiqua"/>
          <w:szCs w:val="24"/>
          <w:lang w:val="es-PR"/>
        </w:rPr>
        <w:t xml:space="preserve">5 y referido a la Comisión de Educación el </w:t>
      </w:r>
      <w:r w:rsidR="00D15EE1" w:rsidRPr="00F955FA">
        <w:rPr>
          <w:rFonts w:ascii="Book Antiqua" w:hAnsi="Book Antiqua"/>
          <w:szCs w:val="24"/>
          <w:lang w:val="es-PR"/>
        </w:rPr>
        <w:t xml:space="preserve">16 de enero </w:t>
      </w:r>
      <w:r w:rsidR="00E8764A" w:rsidRPr="00F955FA">
        <w:rPr>
          <w:rFonts w:ascii="Book Antiqua" w:hAnsi="Book Antiqua"/>
          <w:szCs w:val="24"/>
          <w:lang w:val="es-PR"/>
        </w:rPr>
        <w:t>de 2025</w:t>
      </w:r>
      <w:r w:rsidRPr="00F955FA">
        <w:rPr>
          <w:rFonts w:ascii="Book Antiqua" w:hAnsi="Book Antiqua"/>
          <w:szCs w:val="24"/>
          <w:lang w:val="es-PR"/>
        </w:rPr>
        <w:t>.</w:t>
      </w:r>
      <w:r w:rsidR="00E8764A" w:rsidRPr="00F955FA">
        <w:rPr>
          <w:rFonts w:ascii="Book Antiqua" w:hAnsi="Book Antiqua"/>
          <w:szCs w:val="24"/>
          <w:lang w:val="es-PR"/>
        </w:rPr>
        <w:t xml:space="preserve"> </w:t>
      </w:r>
      <w:r w:rsidR="0001561B" w:rsidRPr="00F955FA">
        <w:rPr>
          <w:rFonts w:ascii="Book Antiqua" w:hAnsi="Book Antiqua"/>
          <w:szCs w:val="24"/>
          <w:lang w:val="es-PR"/>
        </w:rPr>
        <w:t xml:space="preserve"> </w:t>
      </w:r>
      <w:r w:rsidR="0029726D" w:rsidRPr="00F955FA">
        <w:rPr>
          <w:rFonts w:ascii="Book Antiqua" w:hAnsi="Book Antiqua"/>
          <w:szCs w:val="24"/>
          <w:lang w:val="es-PR"/>
        </w:rPr>
        <w:t>Para la evaluación y análisis de la referida medida</w:t>
      </w:r>
      <w:r w:rsidR="0001561B" w:rsidRPr="00F955FA">
        <w:rPr>
          <w:rFonts w:ascii="Book Antiqua" w:hAnsi="Book Antiqua"/>
          <w:szCs w:val="24"/>
          <w:lang w:val="es-PR"/>
        </w:rPr>
        <w:t xml:space="preserve"> fueron presentados</w:t>
      </w:r>
      <w:r w:rsidR="0029726D" w:rsidRPr="00F955FA">
        <w:rPr>
          <w:rFonts w:ascii="Book Antiqua" w:hAnsi="Book Antiqua"/>
          <w:szCs w:val="24"/>
          <w:lang w:val="es-PR"/>
        </w:rPr>
        <w:t xml:space="preserve"> Memoriales Explicativos </w:t>
      </w:r>
      <w:r w:rsidR="00EC473E" w:rsidRPr="00F955FA">
        <w:rPr>
          <w:rFonts w:ascii="Book Antiqua" w:hAnsi="Book Antiqua"/>
          <w:szCs w:val="24"/>
          <w:lang w:val="es-PR"/>
        </w:rPr>
        <w:t>de:</w:t>
      </w:r>
      <w:r w:rsidR="0029726D" w:rsidRPr="00F955FA">
        <w:rPr>
          <w:rFonts w:ascii="Book Antiqua" w:hAnsi="Book Antiqua"/>
          <w:szCs w:val="24"/>
          <w:lang w:val="es-PR"/>
        </w:rPr>
        <w:t xml:space="preserve"> </w:t>
      </w:r>
      <w:r w:rsidR="00C0414C" w:rsidRPr="00F955FA">
        <w:rPr>
          <w:rFonts w:ascii="Book Antiqua" w:hAnsi="Book Antiqua"/>
          <w:szCs w:val="24"/>
          <w:lang w:val="es-PR"/>
        </w:rPr>
        <w:t xml:space="preserve">Departamento de </w:t>
      </w:r>
      <w:r w:rsidR="003963BE" w:rsidRPr="00F955FA">
        <w:rPr>
          <w:rFonts w:ascii="Book Antiqua" w:hAnsi="Book Antiqua"/>
          <w:szCs w:val="24"/>
          <w:lang w:val="es-PR"/>
        </w:rPr>
        <w:t>Educación</w:t>
      </w:r>
      <w:r w:rsidR="00C0414C" w:rsidRPr="00F955FA">
        <w:rPr>
          <w:rFonts w:ascii="Book Antiqua" w:hAnsi="Book Antiqua"/>
          <w:szCs w:val="24"/>
          <w:lang w:val="es-PR"/>
        </w:rPr>
        <w:t xml:space="preserve"> de Puerto Rico</w:t>
      </w:r>
      <w:r w:rsidR="00DF1752" w:rsidRPr="00F955FA">
        <w:rPr>
          <w:rFonts w:ascii="Book Antiqua" w:hAnsi="Book Antiqua"/>
          <w:szCs w:val="24"/>
          <w:lang w:val="es-PR"/>
        </w:rPr>
        <w:t xml:space="preserve"> y </w:t>
      </w:r>
      <w:r w:rsidR="00D15EE1" w:rsidRPr="00F955FA">
        <w:rPr>
          <w:rFonts w:ascii="Book Antiqua" w:hAnsi="Book Antiqua"/>
          <w:szCs w:val="24"/>
          <w:lang w:val="es-PR"/>
        </w:rPr>
        <w:t xml:space="preserve">Universidad de Puerto Rico, </w:t>
      </w:r>
      <w:r w:rsidR="007D12D4" w:rsidRPr="00F955FA">
        <w:rPr>
          <w:rFonts w:ascii="Book Antiqua" w:hAnsi="Book Antiqua"/>
          <w:szCs w:val="24"/>
          <w:lang w:val="es-PR"/>
        </w:rPr>
        <w:t>R</w:t>
      </w:r>
      <w:r w:rsidR="00D15EE1" w:rsidRPr="00F955FA">
        <w:rPr>
          <w:rFonts w:ascii="Book Antiqua" w:hAnsi="Book Antiqua"/>
          <w:szCs w:val="24"/>
          <w:lang w:val="es-PR"/>
        </w:rPr>
        <w:t xml:space="preserve">ecinto de Ciencias </w:t>
      </w:r>
      <w:r w:rsidR="007D12D4" w:rsidRPr="00F955FA">
        <w:rPr>
          <w:rFonts w:ascii="Book Antiqua" w:hAnsi="Book Antiqua"/>
          <w:szCs w:val="24"/>
          <w:lang w:val="es-PR"/>
        </w:rPr>
        <w:t>Médicas.</w:t>
      </w:r>
    </w:p>
    <w:p w14:paraId="2A6C6969" w14:textId="21E03251" w:rsidR="00B7320F" w:rsidRPr="00F955FA" w:rsidRDefault="00EC473E" w:rsidP="00F955FA">
      <w:pPr>
        <w:spacing w:before="100" w:beforeAutospacing="1" w:after="100" w:afterAutospacing="1"/>
        <w:ind w:firstLine="720"/>
        <w:jc w:val="both"/>
        <w:rPr>
          <w:rFonts w:ascii="Book Antiqua" w:hAnsi="Book Antiqua"/>
          <w:szCs w:val="24"/>
          <w:lang w:val="es-PR"/>
        </w:rPr>
      </w:pPr>
      <w:r w:rsidRPr="00F955FA">
        <w:rPr>
          <w:rFonts w:ascii="Book Antiqua" w:hAnsi="Book Antiqua"/>
          <w:szCs w:val="24"/>
          <w:lang w:val="es-PR"/>
        </w:rPr>
        <w:t>E</w:t>
      </w:r>
      <w:r w:rsidR="00B7320F" w:rsidRPr="00F955FA">
        <w:rPr>
          <w:rFonts w:ascii="Book Antiqua" w:hAnsi="Book Antiqua"/>
          <w:szCs w:val="24"/>
          <w:lang w:val="es-PR"/>
        </w:rPr>
        <w:t xml:space="preserve">n cumplimiento con nuestra responsabilidad legislativa y con el propósito de obtener el aporte necesario </w:t>
      </w:r>
      <w:r w:rsidRPr="00F955FA">
        <w:rPr>
          <w:rFonts w:ascii="Book Antiqua" w:hAnsi="Book Antiqua"/>
          <w:szCs w:val="24"/>
          <w:lang w:val="es-PR"/>
        </w:rPr>
        <w:t>dichos memoriales fueron evaluados y analizados para propósitos de la redacción de este informe bajo nuestra consideración.</w:t>
      </w:r>
    </w:p>
    <w:p w14:paraId="042AD738" w14:textId="49FE260C" w:rsidR="003963BE" w:rsidRPr="00F955FA" w:rsidRDefault="00B7320F" w:rsidP="00F955FA">
      <w:pPr>
        <w:spacing w:before="100" w:beforeAutospacing="1" w:after="100" w:afterAutospacing="1"/>
        <w:ind w:firstLine="720"/>
        <w:jc w:val="both"/>
        <w:rPr>
          <w:rFonts w:ascii="Book Antiqua" w:hAnsi="Book Antiqua"/>
          <w:szCs w:val="24"/>
          <w:lang w:val="es-PR"/>
        </w:rPr>
      </w:pPr>
      <w:r w:rsidRPr="00F955FA">
        <w:rPr>
          <w:rFonts w:ascii="Book Antiqua" w:hAnsi="Book Antiqua"/>
          <w:szCs w:val="24"/>
          <w:lang w:val="es-PR"/>
        </w:rPr>
        <w:t xml:space="preserve">A continuación, se presenta un resumen detallado de los comentarios proporcionados por las entidades gubernamentales </w:t>
      </w:r>
      <w:r w:rsidR="00EC473E" w:rsidRPr="00F955FA">
        <w:rPr>
          <w:rFonts w:ascii="Book Antiqua" w:hAnsi="Book Antiqua"/>
          <w:szCs w:val="24"/>
          <w:lang w:val="es-PR"/>
        </w:rPr>
        <w:t xml:space="preserve">antes </w:t>
      </w:r>
      <w:r w:rsidRPr="00F955FA">
        <w:rPr>
          <w:rFonts w:ascii="Book Antiqua" w:hAnsi="Book Antiqua"/>
          <w:szCs w:val="24"/>
          <w:lang w:val="es-PR"/>
        </w:rPr>
        <w:t>mencionadas</w:t>
      </w:r>
      <w:r w:rsidR="000E3D6D" w:rsidRPr="00F955FA">
        <w:rPr>
          <w:rFonts w:ascii="Book Antiqua" w:hAnsi="Book Antiqua"/>
          <w:szCs w:val="24"/>
          <w:lang w:val="es-PR"/>
        </w:rPr>
        <w:t>:</w:t>
      </w:r>
    </w:p>
    <w:p w14:paraId="5E3DB339" w14:textId="77777777" w:rsidR="007D12D4" w:rsidRPr="006620CE" w:rsidRDefault="007D12D4" w:rsidP="00F955FA">
      <w:pPr>
        <w:spacing w:before="100" w:beforeAutospacing="1" w:after="100" w:afterAutospacing="1"/>
        <w:jc w:val="center"/>
        <w:rPr>
          <w:rFonts w:ascii="Book Antiqua" w:hAnsi="Book Antiqua"/>
          <w:b/>
          <w:bCs/>
          <w:sz w:val="16"/>
          <w:szCs w:val="16"/>
          <w:lang w:val="es-PR"/>
        </w:rPr>
      </w:pPr>
    </w:p>
    <w:p w14:paraId="2251303B" w14:textId="4B8F946B" w:rsidR="00D15EE1" w:rsidRPr="00F955FA" w:rsidRDefault="007D12D4" w:rsidP="00F955FA">
      <w:pPr>
        <w:spacing w:before="100" w:beforeAutospacing="1" w:after="100" w:afterAutospacing="1"/>
        <w:jc w:val="center"/>
        <w:rPr>
          <w:rFonts w:ascii="Book Antiqua" w:hAnsi="Book Antiqua"/>
          <w:b/>
          <w:bCs/>
          <w:szCs w:val="24"/>
          <w:lang w:val="es-PR"/>
        </w:rPr>
      </w:pPr>
      <w:r w:rsidRPr="00F955FA">
        <w:rPr>
          <w:rFonts w:ascii="Book Antiqua" w:hAnsi="Book Antiqua"/>
          <w:b/>
          <w:bCs/>
          <w:szCs w:val="24"/>
          <w:lang w:val="es-PR"/>
        </w:rPr>
        <w:t>UNIVERSIDAD DE PUERTO RICO RECINTO DE CIENCIAS MÉDICAS</w:t>
      </w:r>
    </w:p>
    <w:p w14:paraId="7B2A0D3B" w14:textId="35E55E35" w:rsidR="006B77BF" w:rsidRPr="00F955FA" w:rsidRDefault="00D15EE1" w:rsidP="00F955FA">
      <w:pPr>
        <w:spacing w:before="100" w:beforeAutospacing="1" w:after="100" w:afterAutospacing="1"/>
        <w:jc w:val="both"/>
        <w:rPr>
          <w:rFonts w:ascii="Book Antiqua" w:hAnsi="Book Antiqua"/>
          <w:szCs w:val="24"/>
          <w:lang w:val="es-PR"/>
        </w:rPr>
      </w:pPr>
      <w:r w:rsidRPr="00F955FA">
        <w:rPr>
          <w:rFonts w:ascii="Book Antiqua" w:hAnsi="Book Antiqua"/>
          <w:szCs w:val="24"/>
          <w:lang w:val="es-PR"/>
        </w:rPr>
        <w:t xml:space="preserve">        </w:t>
      </w:r>
      <w:r w:rsidR="006B77BF" w:rsidRPr="00F955FA">
        <w:rPr>
          <w:rFonts w:ascii="Book Antiqua" w:hAnsi="Book Antiqua"/>
          <w:szCs w:val="24"/>
          <w:lang w:val="es-PR"/>
        </w:rPr>
        <w:t xml:space="preserve">La Universidad de Puerto Rico (en adelante, UPR), representada por la Facultad del Programa de Maestría en Educación en Salud Pública, presenta su ponencia sobre el P. de la C. 124, que busca enmendar la Ley de Reforma Educativa de Puerto Rico para incluir la concientización sobre el edadismo en el sistema educativo. En su ponencia la UPR investiga e indica que, en diciembre de 2020, la Asamblea General de las Naciones Unidas declaró la Década del Envejecimiento Saludable de 2021 a 2030, enfocándose en cambiar </w:t>
      </w:r>
      <w:r w:rsidR="006B77BF" w:rsidRPr="00F955FA">
        <w:rPr>
          <w:rFonts w:ascii="Book Antiqua" w:hAnsi="Book Antiqua"/>
          <w:szCs w:val="24"/>
          <w:lang w:val="es-PR"/>
        </w:rPr>
        <w:lastRenderedPageBreak/>
        <w:t>la forma en que se percibe y se actúa hacia la edad y el envejecimiento. También subraya la importancia de fomentar capacidades en las personas mayores y ofrecer atención médica adecuada.</w:t>
      </w:r>
    </w:p>
    <w:p w14:paraId="174A8044" w14:textId="4DCD5EF7" w:rsidR="006B77BF" w:rsidRPr="006B77BF" w:rsidRDefault="006B77BF" w:rsidP="00F955FA">
      <w:pPr>
        <w:spacing w:before="100" w:beforeAutospacing="1" w:after="100" w:afterAutospacing="1"/>
        <w:ind w:firstLine="720"/>
        <w:jc w:val="both"/>
        <w:rPr>
          <w:rFonts w:ascii="Book Antiqua" w:hAnsi="Book Antiqua"/>
          <w:szCs w:val="24"/>
          <w:lang w:val="es-PR"/>
        </w:rPr>
      </w:pPr>
      <w:r w:rsidRPr="00F955FA">
        <w:rPr>
          <w:rFonts w:ascii="Book Antiqua" w:hAnsi="Book Antiqua"/>
          <w:szCs w:val="24"/>
          <w:lang w:val="es-PR"/>
        </w:rPr>
        <w:t>Por su parte la UPR menciona que, l</w:t>
      </w:r>
      <w:r w:rsidRPr="006B77BF">
        <w:rPr>
          <w:rFonts w:ascii="Book Antiqua" w:hAnsi="Book Antiqua"/>
          <w:szCs w:val="24"/>
          <w:lang w:val="es-PR"/>
        </w:rPr>
        <w:t>a Organización Mundial de la Salud (OMS) define el edadismo como un conjunto de prejuicios y prácticas discriminatorias basadas en la edad, que afectan la autonomía y el bienestar de las personas mayores. En Puerto Rico, se está implementando un Plan Decenal de Envejecimiento Saludable 2024, que incluye estrategias para mejorar la calidad de vida de las personas mayores y combatir el edadismo, dado el aumento previsto en esta población para el año 2050. Este problema puede conllevar efectos negativos como el aislamiento y la depresión, y requiere un enfoque educativo que incluya campañas de sensibilización y experiencias intergeneracionales.</w:t>
      </w:r>
    </w:p>
    <w:p w14:paraId="20277B42" w14:textId="4B5C84E7" w:rsidR="006B77BF" w:rsidRPr="006B77BF" w:rsidRDefault="006B77BF" w:rsidP="00F955FA">
      <w:pPr>
        <w:spacing w:before="100" w:beforeAutospacing="1" w:after="100" w:afterAutospacing="1"/>
        <w:ind w:firstLine="720"/>
        <w:jc w:val="both"/>
        <w:rPr>
          <w:rFonts w:ascii="Book Antiqua" w:hAnsi="Book Antiqua"/>
          <w:szCs w:val="24"/>
          <w:lang w:val="es-PR"/>
        </w:rPr>
      </w:pPr>
      <w:r w:rsidRPr="00F955FA">
        <w:rPr>
          <w:rFonts w:ascii="Book Antiqua" w:hAnsi="Book Antiqua"/>
          <w:szCs w:val="24"/>
          <w:lang w:val="es-PR"/>
        </w:rPr>
        <w:t xml:space="preserve">La UPR en su ponencia </w:t>
      </w:r>
      <w:r w:rsidRPr="006B77BF">
        <w:rPr>
          <w:rFonts w:ascii="Book Antiqua" w:hAnsi="Book Antiqua"/>
          <w:szCs w:val="24"/>
          <w:lang w:val="es-PR"/>
        </w:rPr>
        <w:t>sugiere medidas como incluir en los currículos escolares contenidos sobre envejecimiento saludable y fomentar la colaboración entre diversas instituciones para mejorar la percepción social sobre la población adulta mayor. Además, presenta</w:t>
      </w:r>
      <w:r w:rsidRPr="00F955FA">
        <w:rPr>
          <w:rFonts w:ascii="Book Antiqua" w:hAnsi="Book Antiqua"/>
          <w:szCs w:val="24"/>
          <w:lang w:val="es-PR"/>
        </w:rPr>
        <w:t>n</w:t>
      </w:r>
      <w:r w:rsidRPr="006B77BF">
        <w:rPr>
          <w:rFonts w:ascii="Book Antiqua" w:hAnsi="Book Antiqua"/>
          <w:szCs w:val="24"/>
          <w:lang w:val="es-PR"/>
        </w:rPr>
        <w:t xml:space="preserve"> enmiendas a </w:t>
      </w:r>
      <w:r w:rsidRPr="00F955FA">
        <w:rPr>
          <w:rFonts w:ascii="Book Antiqua" w:hAnsi="Book Antiqua"/>
          <w:szCs w:val="24"/>
          <w:lang w:val="es-PR"/>
        </w:rPr>
        <w:t xml:space="preserve">esta </w:t>
      </w:r>
      <w:r w:rsidRPr="006B77BF">
        <w:rPr>
          <w:rFonts w:ascii="Book Antiqua" w:hAnsi="Book Antiqua"/>
          <w:szCs w:val="24"/>
          <w:lang w:val="es-PR"/>
        </w:rPr>
        <w:t>propuesta, tales como el uso del término “personas adultas mayores” para promover un lenguaje más inclusivo, y la definición del edadismo como una problematización social. También proponen programas sobre derechos humanos que integren información sobre el edadismo y su erradicación en el currículo escolar.</w:t>
      </w:r>
    </w:p>
    <w:p w14:paraId="25B0628D" w14:textId="08503C6F" w:rsidR="006B77BF" w:rsidRPr="006B77BF" w:rsidRDefault="006B77BF" w:rsidP="00F955FA">
      <w:pPr>
        <w:spacing w:before="100" w:beforeAutospacing="1" w:after="100" w:afterAutospacing="1"/>
        <w:ind w:firstLine="720"/>
        <w:jc w:val="both"/>
        <w:rPr>
          <w:rFonts w:ascii="Book Antiqua" w:hAnsi="Book Antiqua"/>
          <w:szCs w:val="24"/>
          <w:lang w:val="es-PR"/>
        </w:rPr>
      </w:pPr>
      <w:r w:rsidRPr="00F955FA">
        <w:rPr>
          <w:rFonts w:ascii="Book Antiqua" w:hAnsi="Book Antiqua"/>
          <w:szCs w:val="24"/>
          <w:lang w:val="es-PR"/>
        </w:rPr>
        <w:t xml:space="preserve">Estas </w:t>
      </w:r>
      <w:r w:rsidRPr="006B77BF">
        <w:rPr>
          <w:rFonts w:ascii="Book Antiqua" w:hAnsi="Book Antiqua"/>
          <w:szCs w:val="24"/>
          <w:lang w:val="es-PR"/>
        </w:rPr>
        <w:t xml:space="preserve">recomendaciones </w:t>
      </w:r>
      <w:r w:rsidRPr="00F955FA">
        <w:rPr>
          <w:rFonts w:ascii="Book Antiqua" w:hAnsi="Book Antiqua"/>
          <w:szCs w:val="24"/>
          <w:lang w:val="es-PR"/>
        </w:rPr>
        <w:t xml:space="preserve">presentadas, </w:t>
      </w:r>
      <w:r w:rsidRPr="006B77BF">
        <w:rPr>
          <w:rFonts w:ascii="Book Antiqua" w:hAnsi="Book Antiqua"/>
          <w:szCs w:val="24"/>
          <w:lang w:val="es-PR"/>
        </w:rPr>
        <w:t>también abarcan la supervisión de los currículos que promuevan la conciencia sobre el edadismo, la evaluación de personal sin discrimen por razón de edad y la implementación de actividades que fomenten el respeto hacia las personas mayores. Asimismo, sugiere</w:t>
      </w:r>
      <w:r w:rsidRPr="00F955FA">
        <w:rPr>
          <w:rFonts w:ascii="Book Antiqua" w:hAnsi="Book Antiqua"/>
          <w:szCs w:val="24"/>
          <w:lang w:val="es-PR"/>
        </w:rPr>
        <w:t>n</w:t>
      </w:r>
      <w:r w:rsidRPr="006B77BF">
        <w:rPr>
          <w:rFonts w:ascii="Book Antiqua" w:hAnsi="Book Antiqua"/>
          <w:szCs w:val="24"/>
          <w:lang w:val="es-PR"/>
        </w:rPr>
        <w:t xml:space="preserve"> monitorear la efectividad de las campañas educativas dirigidas a combatir el discrimen por edad.</w:t>
      </w:r>
    </w:p>
    <w:p w14:paraId="572E1209" w14:textId="7DB3916D" w:rsidR="006B77BF" w:rsidRPr="00F955FA" w:rsidRDefault="006B77BF" w:rsidP="00F955FA">
      <w:pPr>
        <w:spacing w:before="100" w:beforeAutospacing="1" w:after="100" w:afterAutospacing="1"/>
        <w:ind w:firstLine="720"/>
        <w:jc w:val="both"/>
        <w:rPr>
          <w:rFonts w:ascii="Book Antiqua" w:hAnsi="Book Antiqua"/>
          <w:szCs w:val="24"/>
          <w:lang w:val="es-PR"/>
        </w:rPr>
      </w:pPr>
      <w:r w:rsidRPr="006B77BF">
        <w:rPr>
          <w:rFonts w:ascii="Book Antiqua" w:hAnsi="Book Antiqua"/>
          <w:szCs w:val="24"/>
          <w:lang w:val="es-PR"/>
        </w:rPr>
        <w:t xml:space="preserve">La </w:t>
      </w:r>
      <w:r w:rsidRPr="00F955FA">
        <w:rPr>
          <w:rFonts w:ascii="Book Antiqua" w:hAnsi="Book Antiqua"/>
          <w:szCs w:val="24"/>
          <w:lang w:val="es-PR"/>
        </w:rPr>
        <w:t>UPR</w:t>
      </w:r>
      <w:r w:rsidRPr="006B77BF">
        <w:rPr>
          <w:rFonts w:ascii="Book Antiqua" w:hAnsi="Book Antiqua"/>
          <w:szCs w:val="24"/>
          <w:lang w:val="es-PR"/>
        </w:rPr>
        <w:t xml:space="preserve"> enfatiza la necesidad de combatir los estereotipos relacionados con la edad desde la educación infantil y destaca la urgencia de establecer un marco robusto de políticas públicas que promuevan la integración de la educación intergeneracional, así como políticas claras contra la discriminación en todas sus formas. </w:t>
      </w:r>
    </w:p>
    <w:p w14:paraId="7AC19150" w14:textId="42DA0DCC" w:rsidR="006B77BF" w:rsidRPr="006B77BF" w:rsidRDefault="006B77BF" w:rsidP="00F955FA">
      <w:pPr>
        <w:spacing w:before="100" w:beforeAutospacing="1" w:after="100" w:afterAutospacing="1"/>
        <w:ind w:firstLine="720"/>
        <w:jc w:val="both"/>
        <w:rPr>
          <w:rFonts w:ascii="Book Antiqua" w:hAnsi="Book Antiqua"/>
          <w:szCs w:val="24"/>
          <w:lang w:val="es-PR"/>
        </w:rPr>
      </w:pPr>
      <w:r w:rsidRPr="006B77BF">
        <w:rPr>
          <w:rFonts w:ascii="Book Antiqua" w:hAnsi="Book Antiqua"/>
          <w:szCs w:val="24"/>
          <w:lang w:val="es-PR"/>
        </w:rPr>
        <w:t xml:space="preserve">En conclusión, </w:t>
      </w:r>
      <w:r w:rsidRPr="00F955FA">
        <w:rPr>
          <w:rFonts w:ascii="Book Antiqua" w:hAnsi="Book Antiqua"/>
          <w:szCs w:val="24"/>
          <w:lang w:val="es-PR"/>
        </w:rPr>
        <w:t xml:space="preserve">la UPR </w:t>
      </w:r>
      <w:r w:rsidRPr="006B77BF">
        <w:rPr>
          <w:rFonts w:ascii="Book Antiqua" w:hAnsi="Book Antiqua"/>
          <w:szCs w:val="24"/>
          <w:lang w:val="es-PR"/>
        </w:rPr>
        <w:t>respalda las iniciativas propuestas en el P</w:t>
      </w:r>
      <w:r w:rsidRPr="00F955FA">
        <w:rPr>
          <w:rFonts w:ascii="Book Antiqua" w:hAnsi="Book Antiqua"/>
          <w:szCs w:val="24"/>
          <w:lang w:val="es-PR"/>
        </w:rPr>
        <w:t>.</w:t>
      </w:r>
      <w:r w:rsidRPr="006B77BF">
        <w:rPr>
          <w:rFonts w:ascii="Book Antiqua" w:hAnsi="Book Antiqua"/>
          <w:szCs w:val="24"/>
          <w:lang w:val="es-PR"/>
        </w:rPr>
        <w:t xml:space="preserve"> de la C</w:t>
      </w:r>
      <w:r w:rsidRPr="00F955FA">
        <w:rPr>
          <w:rFonts w:ascii="Book Antiqua" w:hAnsi="Book Antiqua"/>
          <w:szCs w:val="24"/>
          <w:lang w:val="es-PR"/>
        </w:rPr>
        <w:t>.</w:t>
      </w:r>
      <w:r w:rsidRPr="006B77BF">
        <w:rPr>
          <w:rFonts w:ascii="Book Antiqua" w:hAnsi="Book Antiqua"/>
          <w:szCs w:val="24"/>
          <w:lang w:val="es-PR"/>
        </w:rPr>
        <w:t xml:space="preserve"> 124 y destaca el papel crucial de la escuela en fomentar un cambio social que valore a las personas mayores, promoviendo una visión positiva del envejecimiento.</w:t>
      </w:r>
    </w:p>
    <w:p w14:paraId="67023B04" w14:textId="6EF09EF3" w:rsidR="00D15EE1" w:rsidRPr="006620CE" w:rsidRDefault="00D15EE1" w:rsidP="00F955FA">
      <w:pPr>
        <w:spacing w:before="100" w:beforeAutospacing="1" w:after="100" w:afterAutospacing="1"/>
        <w:jc w:val="both"/>
        <w:rPr>
          <w:rFonts w:ascii="Book Antiqua" w:hAnsi="Book Antiqua"/>
          <w:sz w:val="16"/>
          <w:szCs w:val="16"/>
          <w:lang w:val="es-PR"/>
        </w:rPr>
      </w:pPr>
    </w:p>
    <w:p w14:paraId="7590D2EF" w14:textId="1C51C6A8" w:rsidR="00D15EE1" w:rsidRPr="00F955FA" w:rsidRDefault="006B77BF" w:rsidP="00F955FA">
      <w:pPr>
        <w:spacing w:before="100" w:beforeAutospacing="1" w:after="100" w:afterAutospacing="1"/>
        <w:jc w:val="center"/>
        <w:rPr>
          <w:rFonts w:ascii="Book Antiqua" w:hAnsi="Book Antiqua"/>
          <w:b/>
          <w:bCs/>
          <w:szCs w:val="24"/>
          <w:lang w:val="es-PR"/>
        </w:rPr>
      </w:pPr>
      <w:r w:rsidRPr="00F955FA">
        <w:rPr>
          <w:rFonts w:ascii="Book Antiqua" w:hAnsi="Book Antiqua"/>
          <w:b/>
          <w:bCs/>
          <w:szCs w:val="24"/>
          <w:lang w:val="es-PR"/>
        </w:rPr>
        <w:t>DEPARTAMENTO DE EDUCACIÓN</w:t>
      </w:r>
    </w:p>
    <w:p w14:paraId="1BC112DD" w14:textId="77777777" w:rsidR="00F955FA" w:rsidRPr="00F955FA" w:rsidRDefault="00D15EE1" w:rsidP="00F955FA">
      <w:pPr>
        <w:spacing w:before="100" w:beforeAutospacing="1" w:after="100" w:afterAutospacing="1"/>
        <w:jc w:val="both"/>
        <w:rPr>
          <w:rFonts w:ascii="Book Antiqua" w:hAnsi="Book Antiqua"/>
          <w:szCs w:val="24"/>
          <w:lang w:val="es-PR"/>
        </w:rPr>
      </w:pPr>
      <w:r w:rsidRPr="00F955FA">
        <w:rPr>
          <w:rFonts w:ascii="Book Antiqua" w:hAnsi="Book Antiqua"/>
          <w:szCs w:val="24"/>
          <w:lang w:val="es-PR"/>
        </w:rPr>
        <w:t xml:space="preserve">                  </w:t>
      </w:r>
      <w:r w:rsidR="00F955FA" w:rsidRPr="00F955FA">
        <w:rPr>
          <w:rFonts w:ascii="Book Antiqua" w:hAnsi="Book Antiqua"/>
          <w:szCs w:val="24"/>
          <w:lang w:val="es-PR"/>
        </w:rPr>
        <w:t xml:space="preserve">El Departamento de Educación de Puerto Rico (en adelante, DEPR), representado por su secretario, el Lcdo. Eliezer Ramos Parés, ha comparecido para presentar ideas y comentarios. En primer lugar, expresa su apoyo al P. de la C. 124, ya que representa un paso importante hacia la erradicación del edadismo en el sistema educativo de Puerto Rico. Apoyar esta iniciativa desde el Programa de Salud Escolar </w:t>
      </w:r>
      <w:r w:rsidR="00F955FA" w:rsidRPr="00F955FA">
        <w:rPr>
          <w:rFonts w:ascii="Book Antiqua" w:hAnsi="Book Antiqua"/>
          <w:szCs w:val="24"/>
          <w:lang w:val="es-PR"/>
        </w:rPr>
        <w:lastRenderedPageBreak/>
        <w:t>garantizará que los estudiantes desde primer grado hasta duodécimo grado reciban una formación continua sobre la importancia del respeto hacia todas las edades. Asimismo, se señala que la estrategia del proyecto, al fomentar la concienciación sobre la discriminación por edad, promueve la solidaridad intergeneracional y contribuye a una sociedad más respetuosa.</w:t>
      </w:r>
    </w:p>
    <w:p w14:paraId="58FD70D1" w14:textId="77777777" w:rsidR="00F955FA" w:rsidRPr="00F955FA" w:rsidRDefault="00F955FA" w:rsidP="00F955FA">
      <w:pPr>
        <w:spacing w:before="100" w:beforeAutospacing="1" w:after="100" w:afterAutospacing="1"/>
        <w:ind w:firstLine="720"/>
        <w:jc w:val="both"/>
        <w:rPr>
          <w:rFonts w:ascii="Book Antiqua" w:hAnsi="Book Antiqua"/>
          <w:szCs w:val="24"/>
          <w:lang w:val="es-PR"/>
        </w:rPr>
      </w:pPr>
      <w:r w:rsidRPr="00F955FA">
        <w:rPr>
          <w:rFonts w:ascii="Book Antiqua" w:hAnsi="Book Antiqua"/>
          <w:szCs w:val="24"/>
          <w:lang w:val="es-PR"/>
        </w:rPr>
        <w:t>Además de aceptar todas las recomendaciones contenidas en el proyecto, el DEPR sugiere añadir un artículo a la Ley 85-2018, según enmendada, conocida como Ley de Reforma Educativa de Puerto Rico, en relación con el currículo del Programa de Salud Escolar, con el fin de establecer disposiciones específicas sobre la enseñanza de la salud escolar en el sistema educativo público de Puerto Rico. Esto garantizaría su implementación en los tres niveles académicos (primario, intermedio y superior) y su impartición por recursos debidamente certificados.</w:t>
      </w:r>
    </w:p>
    <w:p w14:paraId="0DDDD52D" w14:textId="77777777" w:rsidR="00F955FA" w:rsidRPr="00F955FA" w:rsidRDefault="00F955FA" w:rsidP="00F955FA">
      <w:pPr>
        <w:spacing w:before="100" w:beforeAutospacing="1" w:after="100" w:afterAutospacing="1"/>
        <w:ind w:firstLine="720"/>
        <w:jc w:val="both"/>
        <w:rPr>
          <w:rFonts w:ascii="Book Antiqua" w:hAnsi="Book Antiqua"/>
          <w:szCs w:val="24"/>
          <w:lang w:val="es-PR"/>
        </w:rPr>
      </w:pPr>
      <w:r w:rsidRPr="00F955FA">
        <w:rPr>
          <w:rFonts w:ascii="Book Antiqua" w:hAnsi="Book Antiqua"/>
          <w:szCs w:val="24"/>
          <w:lang w:val="es-PR"/>
        </w:rPr>
        <w:t>Asimismo, el DEPR recomienda incorporar al Currículo de Salud Escolar módulos educativos, actividades interactivas y estrategias pedagógicas diseñadas para desarrollar empatía, combatir estereotipos y promover el respeto en todas las escuelas. Dentro de estas recomendaciones también se incluye la promoción de alianzas y acuerdos con otras agencias e instituciones, lo que permitirá ampliar el alcance de las iniciativas educativas mediante la colaboración interinstitucional.</w:t>
      </w:r>
    </w:p>
    <w:p w14:paraId="1247CB42" w14:textId="77777777" w:rsidR="00F955FA" w:rsidRPr="00F955FA" w:rsidRDefault="00F955FA" w:rsidP="00F955FA">
      <w:pPr>
        <w:spacing w:before="100" w:beforeAutospacing="1" w:after="100" w:afterAutospacing="1"/>
        <w:ind w:firstLine="720"/>
        <w:jc w:val="both"/>
        <w:rPr>
          <w:rFonts w:ascii="Book Antiqua" w:hAnsi="Book Antiqua"/>
          <w:szCs w:val="24"/>
          <w:lang w:val="es-PR"/>
        </w:rPr>
      </w:pPr>
      <w:r w:rsidRPr="00F955FA">
        <w:rPr>
          <w:rFonts w:ascii="Book Antiqua" w:hAnsi="Book Antiqua"/>
          <w:szCs w:val="24"/>
          <w:lang w:val="es-PR"/>
        </w:rPr>
        <w:t>El DEPR plantea que la implementación del Programa de Salud Escolar debe ser integral, constituyendo una parte esencial del currículo en los niveles primario, intermedio y superior, basada en evidencia científica y estrategias pedagógicas que promuevan el bienestar físico, emocional y social del estudiantado.</w:t>
      </w:r>
    </w:p>
    <w:p w14:paraId="674D6762" w14:textId="77777777" w:rsidR="00F955FA" w:rsidRPr="00F955FA" w:rsidRDefault="00F955FA" w:rsidP="00F955FA">
      <w:pPr>
        <w:spacing w:before="100" w:beforeAutospacing="1" w:after="100" w:afterAutospacing="1"/>
        <w:ind w:firstLine="720"/>
        <w:jc w:val="both"/>
        <w:rPr>
          <w:rFonts w:ascii="Book Antiqua" w:hAnsi="Book Antiqua"/>
          <w:szCs w:val="24"/>
          <w:lang w:val="es-PR"/>
        </w:rPr>
      </w:pPr>
      <w:r w:rsidRPr="00F955FA">
        <w:rPr>
          <w:rFonts w:ascii="Book Antiqua" w:hAnsi="Book Antiqua"/>
          <w:szCs w:val="24"/>
          <w:lang w:val="es-PR"/>
        </w:rPr>
        <w:t xml:space="preserve">Por otro lado, resulta pertinente señalar que actualmente existen dos proyectos en el Senado que están siendo evaluados por la Comisión de Educación, Arte y Cultura: el P. del S. 158, que propone enmendar el </w:t>
      </w:r>
      <w:proofErr w:type="spellStart"/>
      <w:r w:rsidRPr="00F955FA">
        <w:rPr>
          <w:rFonts w:ascii="Book Antiqua" w:hAnsi="Book Antiqua"/>
          <w:szCs w:val="24"/>
          <w:lang w:val="es-PR"/>
        </w:rPr>
        <w:t>subinciso</w:t>
      </w:r>
      <w:proofErr w:type="spellEnd"/>
      <w:r w:rsidRPr="00F955FA">
        <w:rPr>
          <w:rFonts w:ascii="Book Antiqua" w:hAnsi="Book Antiqua"/>
          <w:szCs w:val="24"/>
          <w:lang w:val="es-PR"/>
        </w:rPr>
        <w:t xml:space="preserve"> (35) del inciso (b) del Art. 2.04 de la Ley 85-2018, con el objetivo de establecer en el DEPR un currículo de enseñanza de inteligencia emocional; y el P. del S. 4, que propone crear la Ley de Integración de Valores y Ética, con el propósito de desarrollar, implementar e integrar en el currículo educativo del DEPR principios de valores y ética que fomenten el respeto y la equidad entre las personas.</w:t>
      </w:r>
    </w:p>
    <w:p w14:paraId="1F841496" w14:textId="77777777" w:rsidR="00F955FA" w:rsidRDefault="00F955FA" w:rsidP="00213D7E">
      <w:pPr>
        <w:ind w:firstLine="720"/>
        <w:jc w:val="both"/>
        <w:rPr>
          <w:rFonts w:ascii="Book Antiqua" w:hAnsi="Book Antiqua"/>
          <w:szCs w:val="24"/>
          <w:lang w:val="es-PR"/>
        </w:rPr>
      </w:pPr>
      <w:r w:rsidRPr="00F955FA">
        <w:rPr>
          <w:rFonts w:ascii="Book Antiqua" w:hAnsi="Book Antiqua"/>
          <w:szCs w:val="24"/>
          <w:lang w:val="es-PR"/>
        </w:rPr>
        <w:t>Conforme a lo anterior, el DEPR reitera su apoyo a la medida legislativa, con la expectativa de que sea aprobada, tomando en consideración sus recomendaciones y las medidas legislativas vigentes mencionadas del Senado.</w:t>
      </w:r>
    </w:p>
    <w:p w14:paraId="4BFB6124" w14:textId="77777777" w:rsidR="00213D7E" w:rsidRPr="00F955FA" w:rsidRDefault="00213D7E" w:rsidP="00213D7E">
      <w:pPr>
        <w:ind w:firstLine="720"/>
        <w:jc w:val="both"/>
        <w:rPr>
          <w:rFonts w:ascii="Book Antiqua" w:hAnsi="Book Antiqua"/>
          <w:szCs w:val="24"/>
          <w:lang w:val="es-PR"/>
        </w:rPr>
      </w:pPr>
    </w:p>
    <w:p w14:paraId="67999CA9" w14:textId="77777777" w:rsidR="00213D7E" w:rsidRDefault="00213D7E" w:rsidP="00213D7E">
      <w:pPr>
        <w:shd w:val="clear" w:color="auto" w:fill="FFFFFF"/>
        <w:jc w:val="center"/>
        <w:rPr>
          <w:rFonts w:ascii="Book Antiqua" w:hAnsi="Book Antiqua"/>
          <w:b/>
          <w:lang w:val="es-PR"/>
        </w:rPr>
      </w:pPr>
      <w:r w:rsidRPr="00213D7E">
        <w:rPr>
          <w:rFonts w:ascii="Book Antiqua" w:hAnsi="Book Antiqua"/>
          <w:b/>
          <w:lang w:val="es-PR"/>
        </w:rPr>
        <w:t>DETERMINACIÓN DE IMPACTO ECONÓMICO</w:t>
      </w:r>
    </w:p>
    <w:p w14:paraId="118BE4FA" w14:textId="77777777" w:rsidR="00E2353D" w:rsidRPr="00213D7E" w:rsidRDefault="00E2353D" w:rsidP="00213D7E">
      <w:pPr>
        <w:shd w:val="clear" w:color="auto" w:fill="FFFFFF"/>
        <w:jc w:val="center"/>
        <w:rPr>
          <w:rFonts w:ascii="Book Antiqua" w:hAnsi="Book Antiqua"/>
          <w:b/>
          <w:lang w:val="es-PR"/>
        </w:rPr>
      </w:pPr>
    </w:p>
    <w:p w14:paraId="0B1BEED1" w14:textId="77777777" w:rsidR="00213D7E" w:rsidRPr="00213D7E" w:rsidRDefault="00213D7E" w:rsidP="00213D7E">
      <w:pPr>
        <w:ind w:firstLine="720"/>
        <w:jc w:val="both"/>
        <w:rPr>
          <w:rFonts w:ascii="Book Antiqua" w:hAnsi="Book Antiqua"/>
          <w:lang w:val="es-PR"/>
        </w:rPr>
      </w:pPr>
      <w:r w:rsidRPr="00213D7E">
        <w:rPr>
          <w:rFonts w:ascii="Book Antiqua" w:hAnsi="Book Antiqua"/>
          <w:lang w:val="es-PR"/>
        </w:rPr>
        <w:t>Conforme el análisis y los hallazgos de la medida, la Comisión de Educación entiende que la aprobación de esta medida no tendrá impacto fiscal sobre los presupuestos de las agencias, departamentos, organismos, instrumentalidades, o corporaciones públicas, que amerite certificación de la Oficina de Gerencia y Presupuesto.</w:t>
      </w:r>
    </w:p>
    <w:p w14:paraId="2BE37513" w14:textId="77777777" w:rsidR="006620CE" w:rsidRPr="006620CE" w:rsidRDefault="006620CE" w:rsidP="00F955FA">
      <w:pPr>
        <w:spacing w:before="100" w:beforeAutospacing="1" w:after="100" w:afterAutospacing="1"/>
        <w:jc w:val="center"/>
        <w:rPr>
          <w:rFonts w:ascii="Book Antiqua" w:hAnsi="Book Antiqua"/>
          <w:b/>
          <w:bCs/>
          <w:sz w:val="16"/>
          <w:szCs w:val="12"/>
          <w:lang w:val="es-PR"/>
        </w:rPr>
      </w:pPr>
    </w:p>
    <w:p w14:paraId="3760DA22" w14:textId="38BFA9D7" w:rsidR="0076334C" w:rsidRPr="002C430F" w:rsidRDefault="0076334C" w:rsidP="00F955FA">
      <w:pPr>
        <w:spacing w:before="100" w:beforeAutospacing="1" w:after="100" w:afterAutospacing="1"/>
        <w:jc w:val="center"/>
        <w:rPr>
          <w:rFonts w:ascii="Book Antiqua" w:hAnsi="Book Antiqua"/>
          <w:b/>
          <w:bCs/>
          <w:lang w:val="es-PR"/>
        </w:rPr>
      </w:pPr>
      <w:r w:rsidRPr="002C430F">
        <w:rPr>
          <w:rFonts w:ascii="Book Antiqua" w:hAnsi="Book Antiqua"/>
          <w:b/>
          <w:bCs/>
          <w:lang w:val="es-PR"/>
        </w:rPr>
        <w:t>CONCLUSIÓN Y RECOMENDACIÓN</w:t>
      </w:r>
    </w:p>
    <w:p w14:paraId="5AE440D5" w14:textId="40ECBBEA" w:rsidR="002C430F" w:rsidRPr="002C430F" w:rsidRDefault="002C430F" w:rsidP="002C430F">
      <w:pPr>
        <w:spacing w:before="100" w:beforeAutospacing="1" w:after="100" w:afterAutospacing="1"/>
        <w:ind w:firstLine="720"/>
        <w:jc w:val="both"/>
        <w:rPr>
          <w:rFonts w:ascii="Book Antiqua" w:hAnsi="Book Antiqua"/>
          <w:lang w:val="es-PR"/>
        </w:rPr>
      </w:pPr>
      <w:r w:rsidRPr="002C430F">
        <w:rPr>
          <w:rFonts w:ascii="Book Antiqua" w:hAnsi="Book Antiqua"/>
          <w:lang w:val="es-PR"/>
        </w:rPr>
        <w:t xml:space="preserve">La Comisión de Educación ha realizado un análisis exhaustivo de todas las comunicaciones recibidas en torno al </w:t>
      </w:r>
      <w:r w:rsidR="006620CE" w:rsidRPr="00F955FA">
        <w:rPr>
          <w:rFonts w:ascii="Book Antiqua" w:hAnsi="Book Antiqua"/>
          <w:szCs w:val="24"/>
          <w:lang w:val="es-PR"/>
        </w:rPr>
        <w:t>P. de la C. 124</w:t>
      </w:r>
      <w:r w:rsidRPr="002C430F">
        <w:rPr>
          <w:rFonts w:ascii="Book Antiqua" w:hAnsi="Book Antiqua"/>
          <w:lang w:val="es-PR"/>
        </w:rPr>
        <w:t>. Las agencias consultadas han expresado su respaldo a la medida. El edadismo, como forma de discriminación profundamente arraigada, afecta a millones de personas en todo el mundo, limitando sus oportunidades, deteriorando su salud física y mental, y socavando su dignidad. Puerto Rico, al igual que muchas otras sociedades, enfrenta el desafío de atender el crecimiento de su población adulta mayor dentro de un marco de respeto, inclusión y justicia social. En este contexto, la educación se posiciona como una herramienta fundamental para combatir este fenómeno desde sus raíces, promoviendo una cultura de empatía y valoración hacia todas las etapas de la vida.</w:t>
      </w:r>
    </w:p>
    <w:p w14:paraId="01981CC0" w14:textId="3022E3C3" w:rsidR="002C430F" w:rsidRPr="002C430F" w:rsidRDefault="002C430F" w:rsidP="006620CE">
      <w:pPr>
        <w:spacing w:before="100" w:beforeAutospacing="1" w:after="100" w:afterAutospacing="1"/>
        <w:ind w:firstLine="720"/>
        <w:jc w:val="both"/>
        <w:rPr>
          <w:rFonts w:ascii="Book Antiqua" w:hAnsi="Book Antiqua"/>
          <w:lang w:val="es-PR"/>
        </w:rPr>
      </w:pPr>
      <w:r w:rsidRPr="002C430F">
        <w:rPr>
          <w:rFonts w:ascii="Book Antiqua" w:hAnsi="Book Antiqua"/>
          <w:lang w:val="es-PR"/>
        </w:rPr>
        <w:t>Incorporar contenidos educativos sobre el envejecimiento saludable, los derechos humanos y el respeto intergeneracional en los currículos escolares no solo responde a una necesidad social urgente, sino que también se alinea con los principios fundamentales de la Ley de Reforma Educativa de Puerto Rico. La aprobación de iniciativas legislativas como el P. de la C. 124 representa un paso firme hacia la erradicación del edadismo y la construcción de una sociedad más equitativa, en la que el respeto por la dignidad humana no esté condicionado por la edad.</w:t>
      </w:r>
    </w:p>
    <w:p w14:paraId="43939E68" w14:textId="77777777" w:rsidR="002C430F" w:rsidRPr="002C430F" w:rsidRDefault="002C430F" w:rsidP="006620CE">
      <w:pPr>
        <w:spacing w:before="100" w:beforeAutospacing="1" w:after="100" w:afterAutospacing="1"/>
        <w:ind w:firstLine="720"/>
        <w:jc w:val="both"/>
        <w:rPr>
          <w:rFonts w:ascii="Book Antiqua" w:hAnsi="Book Antiqua"/>
          <w:lang w:val="es-PR"/>
        </w:rPr>
      </w:pPr>
      <w:r w:rsidRPr="002C430F">
        <w:rPr>
          <w:rFonts w:ascii="Book Antiqua" w:hAnsi="Book Antiqua"/>
          <w:lang w:val="es-PR"/>
        </w:rPr>
        <w:t>Con la aprobación de esta medida, la Asamblea Legislativa de Puerto Rico reafirma su compromiso con la formación de ciudadanos conscientes, empáticos y activos en la defensa de los derechos humanos, apostando por una educación transformadora que promueva valores sólidos para un futuro más justo para todos.</w:t>
      </w:r>
    </w:p>
    <w:p w14:paraId="1130DF84" w14:textId="77777777" w:rsidR="002C430F" w:rsidRPr="002C430F" w:rsidRDefault="002C430F" w:rsidP="006620CE">
      <w:pPr>
        <w:spacing w:before="100" w:beforeAutospacing="1" w:after="100" w:afterAutospacing="1"/>
        <w:ind w:firstLine="720"/>
        <w:jc w:val="both"/>
        <w:rPr>
          <w:rFonts w:ascii="Book Antiqua" w:hAnsi="Book Antiqua"/>
          <w:lang w:val="es-PR"/>
        </w:rPr>
      </w:pPr>
      <w:r w:rsidRPr="002C430F">
        <w:rPr>
          <w:rFonts w:ascii="Book Antiqua" w:hAnsi="Book Antiqua"/>
          <w:lang w:val="es-PR"/>
        </w:rPr>
        <w:t>Por las razones antes expuestas, esta Comisión recomienda la aprobación del P. de la C. 124, con las enmiendas sugeridas en el entirillado electrónico que acompaña este informe.</w:t>
      </w:r>
    </w:p>
    <w:p w14:paraId="2ADB10AB" w14:textId="0784BA8A" w:rsidR="0076334C" w:rsidRPr="00F955FA" w:rsidRDefault="0076334C" w:rsidP="00F955FA">
      <w:pPr>
        <w:spacing w:before="100" w:beforeAutospacing="1" w:after="100" w:afterAutospacing="1"/>
        <w:jc w:val="both"/>
        <w:rPr>
          <w:rFonts w:ascii="Book Antiqua" w:hAnsi="Book Antiqua"/>
          <w:lang w:val="es-PR"/>
        </w:rPr>
      </w:pPr>
      <w:r w:rsidRPr="00F955FA">
        <w:rPr>
          <w:rFonts w:ascii="Book Antiqua" w:hAnsi="Book Antiqua"/>
          <w:lang w:val="es-PR"/>
        </w:rPr>
        <w:t xml:space="preserve">Respetuosamente sometido, </w:t>
      </w:r>
    </w:p>
    <w:p w14:paraId="71C00EA3" w14:textId="6FFE848A" w:rsidR="0076334C" w:rsidRPr="00F955FA" w:rsidRDefault="0076334C" w:rsidP="0076334C">
      <w:pPr>
        <w:spacing w:line="360" w:lineRule="auto"/>
        <w:jc w:val="both"/>
        <w:rPr>
          <w:rFonts w:ascii="Book Antiqua" w:hAnsi="Book Antiqua"/>
          <w:lang w:val="es-PR"/>
        </w:rPr>
      </w:pPr>
    </w:p>
    <w:p w14:paraId="176528C1" w14:textId="77777777" w:rsidR="001F5064" w:rsidRPr="00F955FA" w:rsidRDefault="001F5064" w:rsidP="0076334C">
      <w:pPr>
        <w:spacing w:line="360" w:lineRule="auto"/>
        <w:jc w:val="both"/>
        <w:rPr>
          <w:rFonts w:ascii="Book Antiqua" w:hAnsi="Book Antiqua"/>
          <w:lang w:val="es-PR"/>
        </w:rPr>
      </w:pPr>
    </w:p>
    <w:p w14:paraId="122F8FC2" w14:textId="5A18695C" w:rsidR="0076334C" w:rsidRPr="00F955FA" w:rsidRDefault="0076334C" w:rsidP="0076334C">
      <w:pPr>
        <w:jc w:val="both"/>
        <w:rPr>
          <w:rFonts w:ascii="Book Antiqua" w:hAnsi="Book Antiqua"/>
          <w:b/>
          <w:bCs/>
          <w:lang w:val="es-PR"/>
        </w:rPr>
      </w:pPr>
      <w:r w:rsidRPr="00F955FA">
        <w:rPr>
          <w:rFonts w:ascii="Book Antiqua" w:hAnsi="Book Antiqua"/>
          <w:b/>
          <w:bCs/>
          <w:lang w:val="es-PR"/>
        </w:rPr>
        <w:t xml:space="preserve">Hon. </w:t>
      </w:r>
      <w:r w:rsidR="00846BDD" w:rsidRPr="00F955FA">
        <w:rPr>
          <w:rFonts w:ascii="Book Antiqua" w:hAnsi="Book Antiqua"/>
          <w:b/>
          <w:bCs/>
          <w:lang w:val="es-PR"/>
        </w:rPr>
        <w:t>Tatiana Pérez Ramírez</w:t>
      </w:r>
      <w:r w:rsidR="00815082" w:rsidRPr="00F955FA">
        <w:rPr>
          <w:rFonts w:ascii="Book Antiqua" w:hAnsi="Book Antiqua"/>
          <w:b/>
          <w:bCs/>
          <w:lang w:val="es-PR"/>
        </w:rPr>
        <w:t xml:space="preserve">                                                  </w:t>
      </w:r>
    </w:p>
    <w:p w14:paraId="22C9AB09" w14:textId="236D8613" w:rsidR="0076334C" w:rsidRPr="00F955FA" w:rsidRDefault="0076334C" w:rsidP="0076334C">
      <w:pPr>
        <w:jc w:val="both"/>
        <w:rPr>
          <w:rFonts w:ascii="Book Antiqua" w:hAnsi="Book Antiqua"/>
          <w:lang w:val="es-PR"/>
        </w:rPr>
      </w:pPr>
      <w:r w:rsidRPr="00F955FA">
        <w:rPr>
          <w:rFonts w:ascii="Book Antiqua" w:hAnsi="Book Antiqua"/>
          <w:lang w:val="es-PR"/>
        </w:rPr>
        <w:t>Presidenta</w:t>
      </w:r>
      <w:r w:rsidR="00815082" w:rsidRPr="00F955FA">
        <w:rPr>
          <w:rFonts w:ascii="Book Antiqua" w:hAnsi="Book Antiqua"/>
          <w:lang w:val="es-PR"/>
        </w:rPr>
        <w:tab/>
      </w:r>
      <w:r w:rsidR="00815082" w:rsidRPr="00F955FA">
        <w:rPr>
          <w:rFonts w:ascii="Book Antiqua" w:hAnsi="Book Antiqua"/>
          <w:lang w:val="es-PR"/>
        </w:rPr>
        <w:tab/>
      </w:r>
      <w:r w:rsidR="00815082" w:rsidRPr="00F955FA">
        <w:rPr>
          <w:rFonts w:ascii="Book Antiqua" w:hAnsi="Book Antiqua"/>
          <w:lang w:val="es-PR"/>
        </w:rPr>
        <w:tab/>
      </w:r>
      <w:r w:rsidR="00815082" w:rsidRPr="00F955FA">
        <w:rPr>
          <w:rFonts w:ascii="Book Antiqua" w:hAnsi="Book Antiqua"/>
          <w:lang w:val="es-PR"/>
        </w:rPr>
        <w:tab/>
      </w:r>
      <w:r w:rsidR="00815082" w:rsidRPr="00F955FA">
        <w:rPr>
          <w:rFonts w:ascii="Book Antiqua" w:hAnsi="Book Antiqua"/>
          <w:lang w:val="es-PR"/>
        </w:rPr>
        <w:tab/>
      </w:r>
      <w:r w:rsidR="00815082" w:rsidRPr="00F955FA">
        <w:rPr>
          <w:rFonts w:ascii="Book Antiqua" w:hAnsi="Book Antiqua"/>
          <w:lang w:val="es-PR"/>
        </w:rPr>
        <w:tab/>
      </w:r>
      <w:r w:rsidR="00815082" w:rsidRPr="00F955FA">
        <w:rPr>
          <w:rFonts w:ascii="Book Antiqua" w:hAnsi="Book Antiqua"/>
          <w:lang w:val="es-PR"/>
        </w:rPr>
        <w:tab/>
        <w:t xml:space="preserve">  </w:t>
      </w:r>
    </w:p>
    <w:p w14:paraId="7B0C9774" w14:textId="0EFB3910" w:rsidR="000C2CBF" w:rsidRPr="00F955FA" w:rsidRDefault="0076334C" w:rsidP="001F5064">
      <w:pPr>
        <w:jc w:val="both"/>
        <w:rPr>
          <w:rFonts w:ascii="Book Antiqua" w:hAnsi="Book Antiqua"/>
          <w:lang w:val="es-PR"/>
        </w:rPr>
      </w:pPr>
      <w:r w:rsidRPr="00F955FA">
        <w:rPr>
          <w:rFonts w:ascii="Book Antiqua" w:hAnsi="Book Antiqua"/>
          <w:lang w:val="es-PR"/>
        </w:rPr>
        <w:t>Comisión de Educación</w:t>
      </w:r>
    </w:p>
    <w:sectPr w:rsidR="000C2CBF" w:rsidRPr="00F955FA">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FA481" w14:textId="77777777" w:rsidR="009E3630" w:rsidRDefault="009E3630">
      <w:r>
        <w:separator/>
      </w:r>
    </w:p>
  </w:endnote>
  <w:endnote w:type="continuationSeparator" w:id="0">
    <w:p w14:paraId="2F50FFA2" w14:textId="77777777" w:rsidR="009E3630" w:rsidRDefault="009E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2E1145" w14:textId="77777777" w:rsidR="009E3630" w:rsidRDefault="009E3630">
      <w:r>
        <w:separator/>
      </w:r>
    </w:p>
  </w:footnote>
  <w:footnote w:type="continuationSeparator" w:id="0">
    <w:p w14:paraId="0E18E5A0" w14:textId="77777777" w:rsidR="009E3630" w:rsidRDefault="009E36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58B2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7C86"/>
    <w:rsid w:val="00032078"/>
    <w:rsid w:val="00043DD0"/>
    <w:rsid w:val="000518F3"/>
    <w:rsid w:val="00056024"/>
    <w:rsid w:val="00063D87"/>
    <w:rsid w:val="00073275"/>
    <w:rsid w:val="00075BAB"/>
    <w:rsid w:val="00091A87"/>
    <w:rsid w:val="00091F2F"/>
    <w:rsid w:val="00095AE1"/>
    <w:rsid w:val="000A6B6C"/>
    <w:rsid w:val="000B0DBB"/>
    <w:rsid w:val="000C2850"/>
    <w:rsid w:val="000C2CBF"/>
    <w:rsid w:val="000D60DB"/>
    <w:rsid w:val="000E2586"/>
    <w:rsid w:val="000E3D6D"/>
    <w:rsid w:val="00111E71"/>
    <w:rsid w:val="00114602"/>
    <w:rsid w:val="00127C6A"/>
    <w:rsid w:val="001363FE"/>
    <w:rsid w:val="001606CA"/>
    <w:rsid w:val="0017132B"/>
    <w:rsid w:val="00173F45"/>
    <w:rsid w:val="00187B2B"/>
    <w:rsid w:val="001911C9"/>
    <w:rsid w:val="001A062F"/>
    <w:rsid w:val="001A2E09"/>
    <w:rsid w:val="001A36DC"/>
    <w:rsid w:val="001A4A89"/>
    <w:rsid w:val="001D15CB"/>
    <w:rsid w:val="001E211C"/>
    <w:rsid w:val="001F4CA3"/>
    <w:rsid w:val="001F5064"/>
    <w:rsid w:val="001F612A"/>
    <w:rsid w:val="00211396"/>
    <w:rsid w:val="00213D7E"/>
    <w:rsid w:val="00222320"/>
    <w:rsid w:val="00226AE6"/>
    <w:rsid w:val="00245B34"/>
    <w:rsid w:val="00263355"/>
    <w:rsid w:val="00273792"/>
    <w:rsid w:val="00284E77"/>
    <w:rsid w:val="0029726D"/>
    <w:rsid w:val="002A73D5"/>
    <w:rsid w:val="002B4F94"/>
    <w:rsid w:val="002C430F"/>
    <w:rsid w:val="002C6295"/>
    <w:rsid w:val="002D4AC8"/>
    <w:rsid w:val="003026E3"/>
    <w:rsid w:val="00307183"/>
    <w:rsid w:val="00320BDF"/>
    <w:rsid w:val="00320D78"/>
    <w:rsid w:val="0034124E"/>
    <w:rsid w:val="00364902"/>
    <w:rsid w:val="00380FE5"/>
    <w:rsid w:val="00384455"/>
    <w:rsid w:val="003924DD"/>
    <w:rsid w:val="00394FCB"/>
    <w:rsid w:val="003963BE"/>
    <w:rsid w:val="003963F4"/>
    <w:rsid w:val="003B3770"/>
    <w:rsid w:val="003B5254"/>
    <w:rsid w:val="003B75A6"/>
    <w:rsid w:val="003C7E14"/>
    <w:rsid w:val="003D2C21"/>
    <w:rsid w:val="003F05CE"/>
    <w:rsid w:val="003F76A8"/>
    <w:rsid w:val="004061CA"/>
    <w:rsid w:val="00413299"/>
    <w:rsid w:val="00415689"/>
    <w:rsid w:val="00424D08"/>
    <w:rsid w:val="004440CB"/>
    <w:rsid w:val="004526C0"/>
    <w:rsid w:val="004713D2"/>
    <w:rsid w:val="004731D3"/>
    <w:rsid w:val="00491D4B"/>
    <w:rsid w:val="0049600B"/>
    <w:rsid w:val="004B6E28"/>
    <w:rsid w:val="004B7486"/>
    <w:rsid w:val="004F5525"/>
    <w:rsid w:val="00502819"/>
    <w:rsid w:val="00521639"/>
    <w:rsid w:val="00532BB7"/>
    <w:rsid w:val="005332E4"/>
    <w:rsid w:val="0053550C"/>
    <w:rsid w:val="00537AB4"/>
    <w:rsid w:val="00551919"/>
    <w:rsid w:val="00555018"/>
    <w:rsid w:val="005723DC"/>
    <w:rsid w:val="00574A8A"/>
    <w:rsid w:val="00580214"/>
    <w:rsid w:val="00584305"/>
    <w:rsid w:val="005B00A9"/>
    <w:rsid w:val="005D64AD"/>
    <w:rsid w:val="005F0B0E"/>
    <w:rsid w:val="005F3881"/>
    <w:rsid w:val="005F6C69"/>
    <w:rsid w:val="006149B6"/>
    <w:rsid w:val="006210DC"/>
    <w:rsid w:val="006263AB"/>
    <w:rsid w:val="00631D0C"/>
    <w:rsid w:val="0064349D"/>
    <w:rsid w:val="0064355F"/>
    <w:rsid w:val="00645825"/>
    <w:rsid w:val="00646973"/>
    <w:rsid w:val="00653EED"/>
    <w:rsid w:val="006620CE"/>
    <w:rsid w:val="00677B4B"/>
    <w:rsid w:val="006832CB"/>
    <w:rsid w:val="00685549"/>
    <w:rsid w:val="00693449"/>
    <w:rsid w:val="006A1FD5"/>
    <w:rsid w:val="006A397E"/>
    <w:rsid w:val="006B0196"/>
    <w:rsid w:val="006B183E"/>
    <w:rsid w:val="006B1DBD"/>
    <w:rsid w:val="006B2451"/>
    <w:rsid w:val="006B7365"/>
    <w:rsid w:val="006B77BF"/>
    <w:rsid w:val="006C1C9E"/>
    <w:rsid w:val="006C2D81"/>
    <w:rsid w:val="006C7DF8"/>
    <w:rsid w:val="006D0164"/>
    <w:rsid w:val="006D6856"/>
    <w:rsid w:val="006F40B9"/>
    <w:rsid w:val="0070273C"/>
    <w:rsid w:val="0071440D"/>
    <w:rsid w:val="007154DC"/>
    <w:rsid w:val="00736244"/>
    <w:rsid w:val="00750FC8"/>
    <w:rsid w:val="007533D0"/>
    <w:rsid w:val="00753911"/>
    <w:rsid w:val="00755069"/>
    <w:rsid w:val="00762554"/>
    <w:rsid w:val="0076334C"/>
    <w:rsid w:val="00786FD9"/>
    <w:rsid w:val="007B0660"/>
    <w:rsid w:val="007C2BB1"/>
    <w:rsid w:val="007C4411"/>
    <w:rsid w:val="007D12D4"/>
    <w:rsid w:val="007D4194"/>
    <w:rsid w:val="007E3868"/>
    <w:rsid w:val="00815082"/>
    <w:rsid w:val="00817DB9"/>
    <w:rsid w:val="00817EEB"/>
    <w:rsid w:val="00820C41"/>
    <w:rsid w:val="00837443"/>
    <w:rsid w:val="00846BDD"/>
    <w:rsid w:val="00850256"/>
    <w:rsid w:val="00867C71"/>
    <w:rsid w:val="00875D08"/>
    <w:rsid w:val="00883E61"/>
    <w:rsid w:val="0089630F"/>
    <w:rsid w:val="008A27E1"/>
    <w:rsid w:val="008C0763"/>
    <w:rsid w:val="008E186E"/>
    <w:rsid w:val="00902E09"/>
    <w:rsid w:val="00922DEA"/>
    <w:rsid w:val="0093686F"/>
    <w:rsid w:val="00942FD4"/>
    <w:rsid w:val="00951997"/>
    <w:rsid w:val="00967EB4"/>
    <w:rsid w:val="00990352"/>
    <w:rsid w:val="009B5F1F"/>
    <w:rsid w:val="009C5DAB"/>
    <w:rsid w:val="009D09D7"/>
    <w:rsid w:val="009E3630"/>
    <w:rsid w:val="009E798F"/>
    <w:rsid w:val="009F49A6"/>
    <w:rsid w:val="00A03405"/>
    <w:rsid w:val="00A05430"/>
    <w:rsid w:val="00A10113"/>
    <w:rsid w:val="00A1528A"/>
    <w:rsid w:val="00A1595B"/>
    <w:rsid w:val="00A33918"/>
    <w:rsid w:val="00A367D6"/>
    <w:rsid w:val="00A37E34"/>
    <w:rsid w:val="00A40714"/>
    <w:rsid w:val="00A61046"/>
    <w:rsid w:val="00A62E93"/>
    <w:rsid w:val="00A7014B"/>
    <w:rsid w:val="00A7629F"/>
    <w:rsid w:val="00A97113"/>
    <w:rsid w:val="00AA2C8E"/>
    <w:rsid w:val="00AA73E7"/>
    <w:rsid w:val="00AB2538"/>
    <w:rsid w:val="00AB3BB4"/>
    <w:rsid w:val="00AC171B"/>
    <w:rsid w:val="00AE26CF"/>
    <w:rsid w:val="00AF0CEE"/>
    <w:rsid w:val="00AF6E13"/>
    <w:rsid w:val="00B02DB9"/>
    <w:rsid w:val="00B15D49"/>
    <w:rsid w:val="00B31B02"/>
    <w:rsid w:val="00B64321"/>
    <w:rsid w:val="00B667AD"/>
    <w:rsid w:val="00B7320F"/>
    <w:rsid w:val="00B84C38"/>
    <w:rsid w:val="00B858B5"/>
    <w:rsid w:val="00B86C00"/>
    <w:rsid w:val="00B91D6A"/>
    <w:rsid w:val="00B947F6"/>
    <w:rsid w:val="00BA02F4"/>
    <w:rsid w:val="00BB71A6"/>
    <w:rsid w:val="00BC15CD"/>
    <w:rsid w:val="00BC1C4E"/>
    <w:rsid w:val="00BD4378"/>
    <w:rsid w:val="00BF16AA"/>
    <w:rsid w:val="00BF526C"/>
    <w:rsid w:val="00BF582B"/>
    <w:rsid w:val="00C0414C"/>
    <w:rsid w:val="00C17618"/>
    <w:rsid w:val="00C354B8"/>
    <w:rsid w:val="00C46101"/>
    <w:rsid w:val="00C52517"/>
    <w:rsid w:val="00C60921"/>
    <w:rsid w:val="00C60F6E"/>
    <w:rsid w:val="00C6262F"/>
    <w:rsid w:val="00C62936"/>
    <w:rsid w:val="00C653F2"/>
    <w:rsid w:val="00C65D58"/>
    <w:rsid w:val="00C679E6"/>
    <w:rsid w:val="00C82C0E"/>
    <w:rsid w:val="00C908F9"/>
    <w:rsid w:val="00CA0917"/>
    <w:rsid w:val="00CA1099"/>
    <w:rsid w:val="00CA70B3"/>
    <w:rsid w:val="00CB434E"/>
    <w:rsid w:val="00CB4FC8"/>
    <w:rsid w:val="00CD338B"/>
    <w:rsid w:val="00CF3EBC"/>
    <w:rsid w:val="00CF797F"/>
    <w:rsid w:val="00D133AC"/>
    <w:rsid w:val="00D15EE1"/>
    <w:rsid w:val="00D417C2"/>
    <w:rsid w:val="00D422EF"/>
    <w:rsid w:val="00D46E2E"/>
    <w:rsid w:val="00D54562"/>
    <w:rsid w:val="00D60936"/>
    <w:rsid w:val="00D709EB"/>
    <w:rsid w:val="00D71003"/>
    <w:rsid w:val="00D74714"/>
    <w:rsid w:val="00D82F3F"/>
    <w:rsid w:val="00D92113"/>
    <w:rsid w:val="00D921C6"/>
    <w:rsid w:val="00D92384"/>
    <w:rsid w:val="00D958C2"/>
    <w:rsid w:val="00D95C3F"/>
    <w:rsid w:val="00DD2FD5"/>
    <w:rsid w:val="00DE69CB"/>
    <w:rsid w:val="00DE7CE8"/>
    <w:rsid w:val="00DF1752"/>
    <w:rsid w:val="00E04AB5"/>
    <w:rsid w:val="00E11E75"/>
    <w:rsid w:val="00E2353D"/>
    <w:rsid w:val="00E23ABC"/>
    <w:rsid w:val="00E340DE"/>
    <w:rsid w:val="00E50EEA"/>
    <w:rsid w:val="00E52F58"/>
    <w:rsid w:val="00E53469"/>
    <w:rsid w:val="00E54233"/>
    <w:rsid w:val="00E61403"/>
    <w:rsid w:val="00E65805"/>
    <w:rsid w:val="00E7187D"/>
    <w:rsid w:val="00E8764A"/>
    <w:rsid w:val="00EA21D5"/>
    <w:rsid w:val="00EC26AA"/>
    <w:rsid w:val="00EC473E"/>
    <w:rsid w:val="00ED7A53"/>
    <w:rsid w:val="00EE4273"/>
    <w:rsid w:val="00F01013"/>
    <w:rsid w:val="00F02004"/>
    <w:rsid w:val="00F042CB"/>
    <w:rsid w:val="00F14A41"/>
    <w:rsid w:val="00F21BB4"/>
    <w:rsid w:val="00F371BF"/>
    <w:rsid w:val="00F5582F"/>
    <w:rsid w:val="00F60A20"/>
    <w:rsid w:val="00F65075"/>
    <w:rsid w:val="00F6633A"/>
    <w:rsid w:val="00F938A1"/>
    <w:rsid w:val="00F940CC"/>
    <w:rsid w:val="00F955FA"/>
    <w:rsid w:val="00F96885"/>
    <w:rsid w:val="00FA1308"/>
    <w:rsid w:val="00FA201E"/>
    <w:rsid w:val="00FC0A95"/>
    <w:rsid w:val="00FC2AE0"/>
    <w:rsid w:val="00FC319B"/>
    <w:rsid w:val="00FC3D9C"/>
    <w:rsid w:val="00FD00C4"/>
    <w:rsid w:val="00FD3130"/>
    <w:rsid w:val="00FD3D12"/>
    <w:rsid w:val="00FD68A3"/>
    <w:rsid w:val="00FD6CB7"/>
    <w:rsid w:val="00FE0B8E"/>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197855">
      <w:bodyDiv w:val="1"/>
      <w:marLeft w:val="0"/>
      <w:marRight w:val="0"/>
      <w:marTop w:val="0"/>
      <w:marBottom w:val="0"/>
      <w:divBdr>
        <w:top w:val="none" w:sz="0" w:space="0" w:color="auto"/>
        <w:left w:val="none" w:sz="0" w:space="0" w:color="auto"/>
        <w:bottom w:val="none" w:sz="0" w:space="0" w:color="auto"/>
        <w:right w:val="none" w:sz="0" w:space="0" w:color="auto"/>
      </w:divBdr>
    </w:div>
    <w:div w:id="123427186">
      <w:bodyDiv w:val="1"/>
      <w:marLeft w:val="0"/>
      <w:marRight w:val="0"/>
      <w:marTop w:val="0"/>
      <w:marBottom w:val="0"/>
      <w:divBdr>
        <w:top w:val="none" w:sz="0" w:space="0" w:color="auto"/>
        <w:left w:val="none" w:sz="0" w:space="0" w:color="auto"/>
        <w:bottom w:val="none" w:sz="0" w:space="0" w:color="auto"/>
        <w:right w:val="none" w:sz="0" w:space="0" w:color="auto"/>
      </w:divBdr>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975079">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340159017">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8791539">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9786653">
      <w:bodyDiv w:val="1"/>
      <w:marLeft w:val="0"/>
      <w:marRight w:val="0"/>
      <w:marTop w:val="0"/>
      <w:marBottom w:val="0"/>
      <w:divBdr>
        <w:top w:val="none" w:sz="0" w:space="0" w:color="auto"/>
        <w:left w:val="none" w:sz="0" w:space="0" w:color="auto"/>
        <w:bottom w:val="none" w:sz="0" w:space="0" w:color="auto"/>
        <w:right w:val="none" w:sz="0" w:space="0" w:color="auto"/>
      </w:divBdr>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4409848">
      <w:bodyDiv w:val="1"/>
      <w:marLeft w:val="0"/>
      <w:marRight w:val="0"/>
      <w:marTop w:val="0"/>
      <w:marBottom w:val="0"/>
      <w:divBdr>
        <w:top w:val="none" w:sz="0" w:space="0" w:color="auto"/>
        <w:left w:val="none" w:sz="0" w:space="0" w:color="auto"/>
        <w:bottom w:val="none" w:sz="0" w:space="0" w:color="auto"/>
        <w:right w:val="none" w:sz="0" w:space="0" w:color="auto"/>
      </w:divBdr>
    </w:div>
    <w:div w:id="1252857804">
      <w:bodyDiv w:val="1"/>
      <w:marLeft w:val="0"/>
      <w:marRight w:val="0"/>
      <w:marTop w:val="0"/>
      <w:marBottom w:val="0"/>
      <w:divBdr>
        <w:top w:val="none" w:sz="0" w:space="0" w:color="auto"/>
        <w:left w:val="none" w:sz="0" w:space="0" w:color="auto"/>
        <w:bottom w:val="none" w:sz="0" w:space="0" w:color="auto"/>
        <w:right w:val="none" w:sz="0" w:space="0" w:color="auto"/>
      </w:divBdr>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414811575">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19944792">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98079344">
      <w:bodyDiv w:val="1"/>
      <w:marLeft w:val="0"/>
      <w:marRight w:val="0"/>
      <w:marTop w:val="0"/>
      <w:marBottom w:val="0"/>
      <w:divBdr>
        <w:top w:val="none" w:sz="0" w:space="0" w:color="auto"/>
        <w:left w:val="none" w:sz="0" w:space="0" w:color="auto"/>
        <w:bottom w:val="none" w:sz="0" w:space="0" w:color="auto"/>
        <w:right w:val="none" w:sz="0" w:space="0" w:color="auto"/>
      </w:divBdr>
    </w:div>
    <w:div w:id="200019043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2302</Words>
  <Characters>12939</Characters>
  <Application>Microsoft Office Word</Application>
  <DocSecurity>4</DocSecurity>
  <Lines>107</Lines>
  <Paragraphs>30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Zurys F. Fajardo Rojas</cp:lastModifiedBy>
  <cp:revision>2</cp:revision>
  <cp:lastPrinted>2025-05-01T20:35:00Z</cp:lastPrinted>
  <dcterms:created xsi:type="dcterms:W3CDTF">2025-05-07T16:35:00Z</dcterms:created>
  <dcterms:modified xsi:type="dcterms:W3CDTF">2025-05-07T16:35:00Z</dcterms:modified>
</cp:coreProperties>
</file>