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b/>
          <w:kern w:val="0"/>
          <w:sz w:val="28"/>
          <w:szCs w:val="28"/>
          <w:lang w:val="es-ES"/>
          <w14:ligatures w14:val="none"/>
        </w:rPr>
        <w:t>GOBIERNO DE PUERTO RICO</w:t>
      </w:r>
    </w:p>
    <w:p w14:paraId="5D32DA1A"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861444" w14:paraId="437D1B97" w14:textId="77777777" w:rsidTr="008B719F">
        <w:tc>
          <w:tcPr>
            <w:tcW w:w="3139" w:type="dxa"/>
            <w:hideMark/>
          </w:tcPr>
          <w:p w14:paraId="02E60CDD"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20</w:t>
            </w:r>
            <w:r w:rsidRPr="00861444">
              <w:rPr>
                <w:rFonts w:ascii="Book Antiqua" w:eastAsia="Times New Roman" w:hAnsi="Book Antiqua" w:cs="Times New Roman"/>
                <w:kern w:val="0"/>
                <w:vertAlign w:val="superscript"/>
                <w:lang w:val="es-ES"/>
                <w14:ligatures w14:val="none"/>
              </w:rPr>
              <w:t>ma</w:t>
            </w:r>
            <w:r w:rsidRPr="00861444">
              <w:rPr>
                <w:rFonts w:ascii="Book Antiqua" w:eastAsia="Times New Roman" w:hAnsi="Book Antiqua" w:cs="Times New Roman"/>
                <w:kern w:val="0"/>
                <w:lang w:val="es-ES"/>
                <w14:ligatures w14:val="none"/>
              </w:rPr>
              <w:t>Asamblea</w:t>
            </w:r>
          </w:p>
          <w:p w14:paraId="4E881F99"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21E96D03"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w:t>
            </w:r>
            <w:r w:rsidR="00676A56">
              <w:rPr>
                <w:rFonts w:ascii="Book Antiqua" w:eastAsia="Times New Roman" w:hAnsi="Book Antiqua" w:cs="Times New Roman"/>
                <w:kern w:val="0"/>
                <w:lang w:val="es-ES"/>
                <w14:ligatures w14:val="none"/>
              </w:rPr>
              <w:t>3</w:t>
            </w:r>
            <w:r w:rsidR="00676A56">
              <w:rPr>
                <w:rFonts w:ascii="Book Antiqua" w:eastAsia="Times New Roman" w:hAnsi="Book Antiqua" w:cs="Times New Roman"/>
                <w:kern w:val="0"/>
                <w:vertAlign w:val="superscript"/>
                <w:lang w:val="es-ES"/>
                <w14:ligatures w14:val="none"/>
              </w:rPr>
              <w:t>r</w:t>
            </w:r>
            <w:r w:rsidRPr="00861444">
              <w:rPr>
                <w:rFonts w:ascii="Book Antiqua" w:eastAsia="Times New Roman" w:hAnsi="Book Antiqua" w:cs="Times New Roman"/>
                <w:kern w:val="0"/>
                <w:vertAlign w:val="superscript"/>
                <w:lang w:val="es-ES"/>
                <w14:ligatures w14:val="none"/>
              </w:rPr>
              <w:t>a</w:t>
            </w:r>
            <w:r w:rsidRPr="00861444">
              <w:rPr>
                <w:rFonts w:ascii="Book Antiqua" w:eastAsia="Times New Roman" w:hAnsi="Book Antiqua" w:cs="Times New Roman"/>
                <w:kern w:val="0"/>
                <w:lang w:val="es-ES"/>
                <w14:ligatures w14:val="none"/>
              </w:rPr>
              <w:t xml:space="preserve"> Sesión </w:t>
            </w:r>
          </w:p>
          <w:p w14:paraId="326ABA62"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Ordinaria</w:t>
            </w:r>
          </w:p>
        </w:tc>
      </w:tr>
    </w:tbl>
    <w:p w14:paraId="31984F77" w14:textId="77777777" w:rsidR="00861444" w:rsidRPr="00861444"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861444">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51616CAC" w:rsidR="00861444" w:rsidRPr="00861444"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861444">
        <w:rPr>
          <w:rFonts w:ascii="Book Antiqua" w:eastAsia="Times New Roman" w:hAnsi="Book Antiqua" w:cs="Times New Roman"/>
          <w:b/>
          <w:kern w:val="0"/>
          <w:sz w:val="52"/>
          <w:szCs w:val="52"/>
          <w:lang w:val="es-ES"/>
          <w14:ligatures w14:val="none"/>
        </w:rPr>
        <w:t xml:space="preserve">P. de la C. </w:t>
      </w:r>
      <w:r w:rsidR="00284294">
        <w:rPr>
          <w:rFonts w:ascii="Book Antiqua" w:eastAsia="Times New Roman" w:hAnsi="Book Antiqua" w:cs="Times New Roman"/>
          <w:b/>
          <w:kern w:val="0"/>
          <w:sz w:val="52"/>
          <w:szCs w:val="52"/>
          <w:lang w:val="es-ES"/>
          <w14:ligatures w14:val="none"/>
        </w:rPr>
        <w:t>126</w:t>
      </w:r>
    </w:p>
    <w:p w14:paraId="5B63DBB0"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DA0FC7" w:rsidRDefault="00861444" w:rsidP="00861444">
      <w:pPr>
        <w:spacing w:after="0" w:line="240" w:lineRule="auto"/>
        <w:jc w:val="center"/>
        <w:rPr>
          <w:rFonts w:ascii="Book Antiqua" w:eastAsia="Times New Roman" w:hAnsi="Book Antiqua" w:cs="Times New Roman"/>
          <w:b/>
          <w:bCs/>
          <w:kern w:val="0"/>
          <w:sz w:val="28"/>
          <w:szCs w:val="28"/>
          <w:lang w:val="es-ES"/>
          <w14:ligatures w14:val="none"/>
        </w:rPr>
      </w:pPr>
      <w:r w:rsidRPr="00DA0FC7">
        <w:rPr>
          <w:rFonts w:ascii="Book Antiqua" w:eastAsia="Times New Roman" w:hAnsi="Book Antiqua" w:cs="Times New Roman"/>
          <w:b/>
          <w:bCs/>
          <w:kern w:val="0"/>
          <w:sz w:val="28"/>
          <w:szCs w:val="28"/>
          <w:lang w:val="es-ES"/>
          <w14:ligatures w14:val="none"/>
        </w:rPr>
        <w:t>INFORME NEGATIVO</w:t>
      </w:r>
    </w:p>
    <w:p w14:paraId="2D350697" w14:textId="77777777" w:rsidR="00861444" w:rsidRPr="00861444"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2BF7120A"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bCs/>
          <w:kern w:val="0"/>
          <w:lang w:val="es-ES"/>
          <w14:ligatures w14:val="none"/>
        </w:rPr>
        <w:t xml:space="preserve">__ DE </w:t>
      </w:r>
      <w:r w:rsidR="00DA0FC7">
        <w:rPr>
          <w:rFonts w:ascii="Book Antiqua" w:eastAsia="Times New Roman" w:hAnsi="Book Antiqua" w:cs="Times New Roman"/>
          <w:bCs/>
          <w:kern w:val="0"/>
          <w:lang w:val="es-ES"/>
          <w14:ligatures w14:val="none"/>
        </w:rPr>
        <w:t>ABRIL</w:t>
      </w:r>
      <w:r w:rsidRPr="00861444">
        <w:rPr>
          <w:rFonts w:ascii="Book Antiqua" w:eastAsia="Times New Roman" w:hAnsi="Book Antiqua" w:cs="Times New Roman"/>
          <w:bCs/>
          <w:kern w:val="0"/>
          <w:lang w:val="es-ES"/>
          <w14:ligatures w14:val="none"/>
        </w:rPr>
        <w:t xml:space="preserve"> DE 202</w:t>
      </w:r>
      <w:r w:rsidR="00676A56">
        <w:rPr>
          <w:rFonts w:ascii="Book Antiqua" w:eastAsia="Times New Roman" w:hAnsi="Book Antiqua" w:cs="Times New Roman"/>
          <w:bCs/>
          <w:kern w:val="0"/>
          <w:lang w:val="es-ES"/>
          <w14:ligatures w14:val="none"/>
        </w:rPr>
        <w:t>6</w:t>
      </w:r>
    </w:p>
    <w:p w14:paraId="58E32A16"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861444" w:rsidRDefault="00861444" w:rsidP="00861444">
      <w:pPr>
        <w:spacing w:after="0" w:line="240" w:lineRule="auto"/>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62B923EE" w:rsidR="00861444" w:rsidRPr="00861444"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861444">
        <w:rPr>
          <w:rFonts w:ascii="Book Antiqua" w:eastAsia="Times New Roman" w:hAnsi="Book Antiqua" w:cs="Times New Roman"/>
          <w:b/>
          <w:bCs/>
          <w:kern w:val="0"/>
          <w:lang w:val="es-ES"/>
          <w14:ligatures w14:val="none"/>
        </w:rPr>
        <w:t>Informe Negativo</w:t>
      </w:r>
      <w:r w:rsidRPr="00861444">
        <w:rPr>
          <w:rFonts w:ascii="Book Antiqua" w:eastAsia="Times New Roman" w:hAnsi="Book Antiqua" w:cs="Times New Roman"/>
          <w:kern w:val="0"/>
          <w:lang w:val="es-ES"/>
          <w14:ligatures w14:val="none"/>
        </w:rPr>
        <w:t xml:space="preserve"> </w:t>
      </w:r>
      <w:r w:rsidR="00A2334E">
        <w:rPr>
          <w:rFonts w:ascii="Book Antiqua" w:eastAsia="Times New Roman" w:hAnsi="Book Antiqua" w:cs="Times New Roman"/>
          <w:kern w:val="0"/>
          <w:lang w:val="es-ES"/>
          <w14:ligatures w14:val="none"/>
        </w:rPr>
        <w:t xml:space="preserve">sobre </w:t>
      </w:r>
      <w:r w:rsidRPr="00861444">
        <w:rPr>
          <w:rFonts w:ascii="Book Antiqua" w:eastAsia="Times New Roman" w:hAnsi="Book Antiqua" w:cs="Times New Roman"/>
          <w:kern w:val="0"/>
          <w:lang w:val="es-ES"/>
          <w14:ligatures w14:val="none"/>
        </w:rPr>
        <w:t xml:space="preserve">el </w:t>
      </w:r>
      <w:r w:rsidRPr="00861444">
        <w:rPr>
          <w:rFonts w:ascii="Book Antiqua" w:eastAsia="Times New Roman" w:hAnsi="Book Antiqua" w:cs="Times New Roman"/>
          <w:b/>
          <w:bCs/>
          <w:kern w:val="0"/>
          <w:lang w:val="es-ES"/>
          <w14:ligatures w14:val="none"/>
        </w:rPr>
        <w:t xml:space="preserve">P. de la C. </w:t>
      </w:r>
      <w:r w:rsidR="00284294">
        <w:rPr>
          <w:rFonts w:ascii="Book Antiqua" w:eastAsia="Times New Roman" w:hAnsi="Book Antiqua" w:cs="Times New Roman"/>
          <w:b/>
          <w:bCs/>
          <w:kern w:val="0"/>
          <w:lang w:val="es-ES"/>
          <w14:ligatures w14:val="none"/>
        </w:rPr>
        <w:t>126</w:t>
      </w:r>
      <w:r w:rsidR="00DA0FC7">
        <w:rPr>
          <w:rFonts w:ascii="Book Antiqua" w:eastAsia="Times New Roman" w:hAnsi="Book Antiqua" w:cs="Times New Roman"/>
          <w:b/>
          <w:bCs/>
          <w:kern w:val="0"/>
          <w:lang w:val="es-ES"/>
          <w14:ligatures w14:val="none"/>
        </w:rPr>
        <w:t>.</w:t>
      </w:r>
    </w:p>
    <w:p w14:paraId="5D4E5D26" w14:textId="77777777" w:rsidR="00861444" w:rsidRPr="00DA0FC7"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DA0FC7" w:rsidRDefault="00861444" w:rsidP="00861444">
      <w:pPr>
        <w:spacing w:after="0" w:line="240" w:lineRule="auto"/>
        <w:jc w:val="center"/>
        <w:rPr>
          <w:rFonts w:ascii="Book Antiqua" w:eastAsia="Times New Roman" w:hAnsi="Book Antiqua" w:cs="Times New Roman"/>
          <w:b/>
          <w:bCs/>
          <w:kern w:val="0"/>
          <w:lang w:val="es-ES"/>
          <w14:ligatures w14:val="none"/>
        </w:rPr>
      </w:pPr>
      <w:r w:rsidRPr="00DA0FC7">
        <w:rPr>
          <w:rFonts w:ascii="Book Antiqua" w:eastAsia="Times New Roman" w:hAnsi="Book Antiqua" w:cs="Times New Roman"/>
          <w:b/>
          <w:bCs/>
          <w:kern w:val="0"/>
          <w:lang w:val="es-ES"/>
          <w14:ligatures w14:val="none"/>
        </w:rPr>
        <w:t>ALCANCE DE LA MEDIDA</w:t>
      </w:r>
    </w:p>
    <w:p w14:paraId="32B1043C" w14:textId="77777777" w:rsidR="00861444" w:rsidRPr="00DA0FC7" w:rsidRDefault="00861444" w:rsidP="00861444">
      <w:pPr>
        <w:spacing w:after="0" w:line="240" w:lineRule="auto"/>
        <w:jc w:val="center"/>
        <w:rPr>
          <w:rFonts w:ascii="Book Antiqua" w:eastAsia="Times New Roman" w:hAnsi="Book Antiqua" w:cs="Times New Roman"/>
          <w:kern w:val="0"/>
          <w:lang w:val="es-ES"/>
          <w14:ligatures w14:val="none"/>
        </w:rPr>
      </w:pPr>
    </w:p>
    <w:p w14:paraId="79EC4E0F" w14:textId="1A2C5C8D" w:rsidR="00676A56" w:rsidRPr="00DA0FC7" w:rsidRDefault="00861444" w:rsidP="00676A56">
      <w:pPr>
        <w:spacing w:after="0" w:line="240" w:lineRule="auto"/>
        <w:ind w:firstLine="720"/>
        <w:jc w:val="both"/>
        <w:rPr>
          <w:rFonts w:ascii="Book Antiqua" w:eastAsia="Times New Roman" w:hAnsi="Book Antiqua" w:cs="Times New Roman"/>
          <w:bCs/>
          <w:kern w:val="0"/>
          <w:lang w:val="es-PR"/>
          <w14:ligatures w14:val="none"/>
        </w:rPr>
      </w:pPr>
      <w:bookmarkStart w:id="0" w:name="_Hlk193963423"/>
      <w:r w:rsidRPr="00DA0FC7">
        <w:rPr>
          <w:rFonts w:ascii="Book Antiqua" w:eastAsia="Times New Roman" w:hAnsi="Book Antiqua" w:cs="Times New Roman"/>
          <w:bCs/>
          <w:kern w:val="0"/>
          <w:lang w:val="es-ES"/>
          <w14:ligatures w14:val="none"/>
        </w:rPr>
        <w:t xml:space="preserve">El Proyecto de la Cámara </w:t>
      </w:r>
      <w:r w:rsidR="00284294" w:rsidRPr="00DA0FC7">
        <w:rPr>
          <w:rFonts w:ascii="Book Antiqua" w:eastAsia="Times New Roman" w:hAnsi="Book Antiqua" w:cs="Times New Roman"/>
          <w:bCs/>
          <w:kern w:val="0"/>
          <w:lang w:val="es-ES"/>
          <w14:ligatures w14:val="none"/>
        </w:rPr>
        <w:t>126,</w:t>
      </w:r>
      <w:r w:rsidR="00C2672E" w:rsidRPr="00DA0FC7">
        <w:rPr>
          <w:rFonts w:ascii="Book Antiqua" w:eastAsia="Times New Roman" w:hAnsi="Book Antiqua" w:cs="Times New Roman"/>
          <w:bCs/>
          <w:kern w:val="0"/>
          <w:lang w:val="es-ES"/>
          <w14:ligatures w14:val="none"/>
        </w:rPr>
        <w:t xml:space="preserve"> propone</w:t>
      </w:r>
      <w:bookmarkEnd w:id="0"/>
      <w:r w:rsidR="00284294" w:rsidRPr="00DA0FC7">
        <w:rPr>
          <w:rFonts w:ascii="Book Antiqua" w:eastAsia="Times New Roman" w:hAnsi="Book Antiqua" w:cs="Times New Roman"/>
          <w:bCs/>
          <w:kern w:val="0"/>
          <w:lang w:val="es-ES"/>
          <w14:ligatures w14:val="none"/>
        </w:rPr>
        <w:t xml:space="preserve"> </w:t>
      </w:r>
      <w:r w:rsidR="00284294" w:rsidRPr="00DA0FC7">
        <w:rPr>
          <w:rFonts w:ascii="Book Antiqua" w:eastAsia="Times New Roman" w:hAnsi="Book Antiqua" w:cs="Times New Roman"/>
          <w:bCs/>
          <w:kern w:val="0"/>
          <w:lang w:val="es-PR"/>
          <w14:ligatures w14:val="none"/>
        </w:rPr>
        <w:t>enmendar el inciso (c) del Artículo 5.12 de la Ley 247-2004, según enmendada, conocida como “Ley de Farmacia de Puerto Rico”, con el propósito de fomentar la investigación biológica, al atemperar la regulación estatal a las realidades de la ciencia moderna; y para otros fines relacionados.</w:t>
      </w:r>
    </w:p>
    <w:p w14:paraId="1B45912C"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p>
    <w:p w14:paraId="203C6F37" w14:textId="42ADA952"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De la Exposición de Motivos surge que la intención legislativa es fomentar la investigación biológica en Puerto Rico, promoviendo un entorno regulatorio más ágil que facilite la participación de la Isla en ensayos clínicos y el desarrollo de medicamentos innovadores. La medida parte de la premisa de que la regulación federal impuesta por la FDA es estricta y abarcadora, por lo que entiende que ciertos requisitos estatales podrían resultar redundantes o excesivos.</w:t>
      </w:r>
    </w:p>
    <w:p w14:paraId="45C5D7D2"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p>
    <w:p w14:paraId="49834ECC"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Asimismo, la medida reconoce la relevancia económica y científica de la investigación clínica, destacando que la inversión en este sector contribuye al desarrollo profesional, a la creación de empleos especializados y al acceso temprano de los pacientes a terapias innovadoras. En ese contexto, el proyecto busca armonizar la regulación local con el marco regulatorio federal aplicable a estudios clínicos.</w:t>
      </w:r>
    </w:p>
    <w:p w14:paraId="4E518934"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p>
    <w:p w14:paraId="4D72BC54" w14:textId="51F565DC"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lastRenderedPageBreak/>
        <w:t>La propuesta legislativa establece una exención específica, condicionada a que el ensayo clínico cuente con autorización de la FDA y a que la compañía farmacéutica emita certificaciones sobre el cumplimiento de requisitos de almacenaje y seguridad. Bajo ese esquema, el médico conservaría la documentación correspondiente y la exhibiría a requerimiento de autoridad competente.</w:t>
      </w:r>
    </w:p>
    <w:p w14:paraId="6B82C193"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p>
    <w:p w14:paraId="45AFC2A6" w14:textId="77777777" w:rsidR="00284294" w:rsidRPr="00DA0FC7" w:rsidRDefault="00284294" w:rsidP="00284294">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En esencia, el proyecto persigue reducir cargas administrativas a médicos investigadores, bajo el entendido de que la fiscalización federal resulta suficiente para garantizar la seguridad en el manejo de medicamentos en investigación.</w:t>
      </w:r>
    </w:p>
    <w:p w14:paraId="574F3667" w14:textId="77777777" w:rsidR="00861444" w:rsidRPr="00DA0FC7" w:rsidRDefault="00861444" w:rsidP="00DA0FC7">
      <w:pPr>
        <w:spacing w:after="0" w:line="240" w:lineRule="auto"/>
        <w:rPr>
          <w:rFonts w:ascii="Book Antiqua" w:eastAsia="Times New Roman" w:hAnsi="Book Antiqua" w:cs="Times New Roman"/>
          <w:b/>
          <w:kern w:val="0"/>
          <w:lang w:val="es-ES"/>
          <w14:ligatures w14:val="none"/>
        </w:rPr>
      </w:pPr>
    </w:p>
    <w:p w14:paraId="14E6EB28" w14:textId="77777777" w:rsidR="00861444" w:rsidRPr="00DA0FC7" w:rsidRDefault="00861444" w:rsidP="00861444">
      <w:pPr>
        <w:spacing w:after="0" w:line="240" w:lineRule="auto"/>
        <w:jc w:val="center"/>
        <w:rPr>
          <w:rFonts w:ascii="Book Antiqua" w:eastAsia="Times New Roman" w:hAnsi="Book Antiqua" w:cs="Times New Roman"/>
          <w:b/>
          <w:kern w:val="0"/>
          <w:lang w:val="es-ES"/>
          <w14:ligatures w14:val="none"/>
        </w:rPr>
      </w:pPr>
      <w:r w:rsidRPr="00DA0FC7">
        <w:rPr>
          <w:rFonts w:ascii="Book Antiqua" w:eastAsia="Times New Roman" w:hAnsi="Book Antiqua" w:cs="Times New Roman"/>
          <w:b/>
          <w:kern w:val="0"/>
          <w:lang w:val="es-ES"/>
          <w14:ligatures w14:val="none"/>
        </w:rPr>
        <w:t>ANÁLISIS DE LA MEDIDA</w:t>
      </w:r>
    </w:p>
    <w:p w14:paraId="79D819EC" w14:textId="77777777" w:rsidR="00861444" w:rsidRPr="00DA0FC7" w:rsidRDefault="00861444" w:rsidP="00861444">
      <w:pPr>
        <w:spacing w:after="0" w:line="240" w:lineRule="auto"/>
        <w:jc w:val="center"/>
        <w:rPr>
          <w:rFonts w:ascii="Book Antiqua" w:eastAsia="Times New Roman" w:hAnsi="Book Antiqua" w:cs="Times New Roman"/>
          <w:b/>
          <w:bCs/>
          <w:kern w:val="0"/>
          <w:lang w:val="es-ES"/>
          <w14:ligatures w14:val="none"/>
        </w:rPr>
      </w:pPr>
    </w:p>
    <w:p w14:paraId="741998D7" w14:textId="13338A43" w:rsidR="003C50B1" w:rsidRPr="00DA0FC7" w:rsidRDefault="00861444" w:rsidP="002D64F9">
      <w:pPr>
        <w:spacing w:after="0" w:line="240" w:lineRule="auto"/>
        <w:ind w:firstLine="720"/>
        <w:jc w:val="both"/>
        <w:rPr>
          <w:rFonts w:ascii="Book Antiqua" w:eastAsia="Times New Roman" w:hAnsi="Book Antiqua" w:cs="Times New Roman"/>
          <w:b/>
          <w:kern w:val="0"/>
          <w:lang w:val="es-ES"/>
          <w14:ligatures w14:val="none"/>
        </w:rPr>
      </w:pPr>
      <w:r w:rsidRPr="00DA0FC7">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DA0FC7">
        <w:rPr>
          <w:rFonts w:ascii="Book Antiqua" w:eastAsia="Times New Roman" w:hAnsi="Book Antiqua" w:cs="Times New Roman"/>
          <w:b/>
          <w:kern w:val="0"/>
          <w:lang w:val="es-ES"/>
          <w14:ligatures w14:val="none"/>
        </w:rPr>
        <w:t>Departamento de Salud</w:t>
      </w:r>
      <w:r w:rsidR="00284294" w:rsidRPr="00DA0FC7">
        <w:rPr>
          <w:rFonts w:ascii="Book Antiqua" w:eastAsia="Times New Roman" w:hAnsi="Book Antiqua" w:cs="Times New Roman"/>
          <w:bCs/>
          <w:kern w:val="0"/>
          <w:lang w:val="es-ES"/>
          <w14:ligatures w14:val="none"/>
        </w:rPr>
        <w:t xml:space="preserve">, </w:t>
      </w:r>
      <w:r w:rsidR="00284294" w:rsidRPr="00DA0FC7">
        <w:rPr>
          <w:rFonts w:ascii="Book Antiqua" w:eastAsia="Times New Roman" w:hAnsi="Book Antiqua" w:cs="Times New Roman"/>
          <w:b/>
          <w:kern w:val="0"/>
          <w:lang w:val="es-ES"/>
          <w14:ligatures w14:val="none"/>
        </w:rPr>
        <w:t>Asociación Médica de Puerto Rico</w:t>
      </w:r>
      <w:r w:rsidR="00284294" w:rsidRPr="00DA0FC7">
        <w:rPr>
          <w:rFonts w:ascii="Book Antiqua" w:eastAsia="Times New Roman" w:hAnsi="Book Antiqua" w:cs="Times New Roman"/>
          <w:bCs/>
          <w:kern w:val="0"/>
          <w:lang w:val="es-ES"/>
          <w14:ligatures w14:val="none"/>
        </w:rPr>
        <w:t xml:space="preserve">, </w:t>
      </w:r>
      <w:r w:rsidR="00284294" w:rsidRPr="00DA0FC7">
        <w:rPr>
          <w:rFonts w:ascii="Book Antiqua" w:eastAsia="Times New Roman" w:hAnsi="Book Antiqua" w:cs="Times New Roman"/>
          <w:b/>
          <w:kern w:val="0"/>
          <w:lang w:val="es-ES"/>
          <w14:ligatures w14:val="none"/>
        </w:rPr>
        <w:t>Asociación de Farmacias de la Comunidad de Puerto Rico</w:t>
      </w:r>
      <w:r w:rsidR="00284294" w:rsidRPr="00DA0FC7">
        <w:rPr>
          <w:rFonts w:ascii="Book Antiqua" w:eastAsia="Times New Roman" w:hAnsi="Book Antiqua" w:cs="Times New Roman"/>
          <w:bCs/>
          <w:kern w:val="0"/>
          <w:lang w:val="es-ES"/>
          <w14:ligatures w14:val="none"/>
        </w:rPr>
        <w:t xml:space="preserve"> y al </w:t>
      </w:r>
      <w:r w:rsidR="00284294" w:rsidRPr="00DA0FC7">
        <w:rPr>
          <w:rFonts w:ascii="Book Antiqua" w:eastAsia="Times New Roman" w:hAnsi="Book Antiqua" w:cs="Times New Roman"/>
          <w:b/>
          <w:kern w:val="0"/>
          <w:lang w:val="es-ES"/>
          <w14:ligatures w14:val="none"/>
        </w:rPr>
        <w:t>Colegio de Médicos Cirujanos de Puerto Rico</w:t>
      </w:r>
      <w:r w:rsidR="00284294" w:rsidRPr="00DA0FC7">
        <w:rPr>
          <w:rFonts w:ascii="Book Antiqua" w:eastAsia="Times New Roman" w:hAnsi="Book Antiqua" w:cs="Times New Roman"/>
          <w:bCs/>
          <w:kern w:val="0"/>
          <w:lang w:val="es-ES"/>
          <w14:ligatures w14:val="none"/>
        </w:rPr>
        <w:t xml:space="preserve">. </w:t>
      </w:r>
    </w:p>
    <w:p w14:paraId="32475649" w14:textId="77777777" w:rsidR="00234F2E" w:rsidRPr="00DA0FC7" w:rsidRDefault="00234F2E" w:rsidP="002D64F9">
      <w:pPr>
        <w:spacing w:after="0" w:line="240" w:lineRule="auto"/>
        <w:ind w:firstLine="720"/>
        <w:jc w:val="both"/>
        <w:rPr>
          <w:rFonts w:ascii="Book Antiqua" w:eastAsia="Times New Roman" w:hAnsi="Book Antiqua" w:cs="Times New Roman"/>
          <w:b/>
          <w:kern w:val="0"/>
          <w:lang w:val="es-ES"/>
          <w14:ligatures w14:val="none"/>
        </w:rPr>
      </w:pPr>
    </w:p>
    <w:p w14:paraId="77197E06" w14:textId="68968FDF" w:rsidR="00776802" w:rsidRPr="00DA0FC7" w:rsidRDefault="00284294" w:rsidP="00776802">
      <w:pPr>
        <w:spacing w:after="0"/>
        <w:ind w:firstLine="720"/>
        <w:jc w:val="both"/>
        <w:rPr>
          <w:rFonts w:ascii="Book Antiqua" w:eastAsia="Times New Roman" w:hAnsi="Book Antiqua" w:cs="Times New Roman"/>
          <w:b/>
          <w:bCs/>
          <w:kern w:val="0"/>
          <w:lang w:val="es-ES"/>
          <w14:ligatures w14:val="none"/>
        </w:rPr>
      </w:pPr>
      <w:bookmarkStart w:id="1" w:name="_Hlk219969388"/>
      <w:r w:rsidRPr="00DA0FC7">
        <w:rPr>
          <w:rFonts w:ascii="Book Antiqua" w:eastAsia="Times New Roman" w:hAnsi="Book Antiqua" w:cs="Times New Roman"/>
          <w:bCs/>
          <w:kern w:val="0"/>
          <w:lang w:val="es-ES"/>
          <w14:ligatures w14:val="none"/>
        </w:rPr>
        <w:t xml:space="preserve">A la fecha de redacción de este informe, la </w:t>
      </w:r>
      <w:r w:rsidR="00DA0FC7" w:rsidRPr="00DA0FC7">
        <w:rPr>
          <w:rFonts w:ascii="Book Antiqua" w:eastAsia="Times New Roman" w:hAnsi="Book Antiqua" w:cs="Times New Roman"/>
          <w:bCs/>
          <w:kern w:val="0"/>
          <w:lang w:val="es-ES"/>
          <w14:ligatures w14:val="none"/>
        </w:rPr>
        <w:t>C</w:t>
      </w:r>
      <w:r w:rsidRPr="00DA0FC7">
        <w:rPr>
          <w:rFonts w:ascii="Book Antiqua" w:eastAsia="Times New Roman" w:hAnsi="Book Antiqua" w:cs="Times New Roman"/>
          <w:bCs/>
          <w:kern w:val="0"/>
          <w:lang w:val="es-ES"/>
          <w14:ligatures w14:val="none"/>
        </w:rPr>
        <w:t>omisión no había recibido</w:t>
      </w:r>
      <w:r w:rsidR="00776802" w:rsidRPr="00DA0FC7">
        <w:rPr>
          <w:rFonts w:ascii="Book Antiqua" w:eastAsia="Times New Roman" w:hAnsi="Book Antiqua" w:cs="Times New Roman"/>
          <w:bCs/>
          <w:kern w:val="0"/>
          <w:lang w:val="es-ES"/>
          <w14:ligatures w14:val="none"/>
        </w:rPr>
        <w:t xml:space="preserve"> los</w:t>
      </w:r>
      <w:r w:rsidRPr="00DA0FC7">
        <w:rPr>
          <w:rFonts w:ascii="Book Antiqua" w:eastAsia="Times New Roman" w:hAnsi="Book Antiqua" w:cs="Times New Roman"/>
          <w:bCs/>
          <w:kern w:val="0"/>
          <w:lang w:val="es-ES"/>
          <w14:ligatures w14:val="none"/>
        </w:rPr>
        <w:t xml:space="preserve"> memorial</w:t>
      </w:r>
      <w:r w:rsidR="00776802" w:rsidRPr="00DA0FC7">
        <w:rPr>
          <w:rFonts w:ascii="Book Antiqua" w:eastAsia="Times New Roman" w:hAnsi="Book Antiqua" w:cs="Times New Roman"/>
          <w:bCs/>
          <w:kern w:val="0"/>
          <w:lang w:val="es-ES"/>
          <w14:ligatures w14:val="none"/>
        </w:rPr>
        <w:t xml:space="preserve">es </w:t>
      </w:r>
      <w:r w:rsidRPr="00DA0FC7">
        <w:rPr>
          <w:rFonts w:ascii="Book Antiqua" w:eastAsia="Times New Roman" w:hAnsi="Book Antiqua" w:cs="Times New Roman"/>
          <w:bCs/>
          <w:kern w:val="0"/>
          <w:lang w:val="es-ES"/>
          <w14:ligatures w14:val="none"/>
        </w:rPr>
        <w:t>de</w:t>
      </w:r>
      <w:r w:rsidR="00776802" w:rsidRPr="00DA0FC7">
        <w:rPr>
          <w:rFonts w:ascii="Book Antiqua" w:eastAsia="Times New Roman" w:hAnsi="Book Antiqua" w:cs="Times New Roman"/>
          <w:bCs/>
          <w:kern w:val="0"/>
          <w:lang w:val="es-ES"/>
          <w14:ligatures w14:val="none"/>
        </w:rPr>
        <w:t xml:space="preserve"> la </w:t>
      </w:r>
      <w:r w:rsidR="00776802" w:rsidRPr="00DA0FC7">
        <w:rPr>
          <w:rFonts w:ascii="Book Antiqua" w:eastAsia="Times New Roman" w:hAnsi="Book Antiqua" w:cs="Times New Roman"/>
          <w:b/>
          <w:bCs/>
          <w:kern w:val="0"/>
          <w:lang w:val="es-ES"/>
          <w14:ligatures w14:val="none"/>
        </w:rPr>
        <w:t>Asociación de Farmacias de la Comunidad de Puerto Rico</w:t>
      </w:r>
      <w:r w:rsidR="00776802" w:rsidRPr="00DA0FC7">
        <w:rPr>
          <w:rFonts w:ascii="Book Antiqua" w:eastAsia="Times New Roman" w:hAnsi="Book Antiqua" w:cs="Times New Roman"/>
          <w:bCs/>
          <w:kern w:val="0"/>
          <w:lang w:val="es-ES"/>
          <w14:ligatures w14:val="none"/>
        </w:rPr>
        <w:t xml:space="preserve"> y del </w:t>
      </w:r>
      <w:r w:rsidR="00776802" w:rsidRPr="00DA0FC7">
        <w:rPr>
          <w:rFonts w:ascii="Book Antiqua" w:eastAsia="Times New Roman" w:hAnsi="Book Antiqua" w:cs="Times New Roman"/>
          <w:b/>
          <w:bCs/>
          <w:kern w:val="0"/>
          <w:lang w:val="es-ES"/>
          <w14:ligatures w14:val="none"/>
        </w:rPr>
        <w:t>Colegio de Médicos Cirujanos de Puerto Rico</w:t>
      </w:r>
      <w:r w:rsidR="00776802" w:rsidRPr="00DA0FC7">
        <w:rPr>
          <w:rFonts w:ascii="Book Antiqua" w:eastAsia="Times New Roman" w:hAnsi="Book Antiqua" w:cs="Times New Roman"/>
          <w:bCs/>
          <w:kern w:val="0"/>
          <w:lang w:val="es-ES"/>
          <w14:ligatures w14:val="none"/>
        </w:rPr>
        <w:t xml:space="preserve">. </w:t>
      </w:r>
    </w:p>
    <w:bookmarkEnd w:id="1"/>
    <w:p w14:paraId="2E456CB2" w14:textId="77777777" w:rsidR="00776802" w:rsidRPr="00DA0FC7" w:rsidRDefault="00776802" w:rsidP="00DA0FC7">
      <w:pPr>
        <w:spacing w:after="0" w:line="240" w:lineRule="auto"/>
        <w:jc w:val="both"/>
        <w:rPr>
          <w:rFonts w:ascii="Book Antiqua" w:eastAsia="Times New Roman" w:hAnsi="Book Antiqua" w:cs="Times New Roman"/>
          <w:bCs/>
          <w:kern w:val="0"/>
          <w:lang w:val="es-ES"/>
          <w14:ligatures w14:val="none"/>
        </w:rPr>
      </w:pPr>
    </w:p>
    <w:p w14:paraId="5E454B3D" w14:textId="62648E55" w:rsidR="000D65A4" w:rsidRPr="00DA0FC7" w:rsidRDefault="00776802" w:rsidP="00F8790D">
      <w:pPr>
        <w:spacing w:after="0" w:line="240" w:lineRule="auto"/>
        <w:ind w:firstLine="720"/>
        <w:jc w:val="center"/>
        <w:rPr>
          <w:rFonts w:ascii="Book Antiqua" w:eastAsia="Times New Roman" w:hAnsi="Book Antiqua" w:cs="Times New Roman"/>
          <w:b/>
          <w:kern w:val="0"/>
          <w:u w:val="single"/>
          <w:lang w:val="es-ES"/>
          <w14:ligatures w14:val="none"/>
        </w:rPr>
      </w:pPr>
      <w:r w:rsidRPr="00DA0FC7">
        <w:rPr>
          <w:rFonts w:ascii="Book Antiqua" w:eastAsia="Times New Roman" w:hAnsi="Book Antiqua" w:cs="Times New Roman"/>
          <w:b/>
          <w:kern w:val="0"/>
          <w:u w:val="single"/>
          <w:lang w:val="es-ES"/>
          <w14:ligatures w14:val="none"/>
        </w:rPr>
        <w:t>Departamento de Salud</w:t>
      </w:r>
    </w:p>
    <w:p w14:paraId="4CADFA97" w14:textId="732CA546" w:rsidR="00F8790D" w:rsidRPr="00DA0FC7" w:rsidRDefault="00F8790D" w:rsidP="00F8790D">
      <w:pPr>
        <w:spacing w:after="0" w:line="240" w:lineRule="auto"/>
        <w:ind w:firstLine="720"/>
        <w:jc w:val="center"/>
        <w:rPr>
          <w:rFonts w:ascii="Book Antiqua" w:eastAsia="Times New Roman" w:hAnsi="Book Antiqua" w:cs="Times New Roman"/>
          <w:bCs/>
          <w:kern w:val="0"/>
          <w:lang w:val="es-ES"/>
          <w14:ligatures w14:val="none"/>
        </w:rPr>
      </w:pPr>
      <w:r w:rsidRPr="00DA0FC7">
        <w:rPr>
          <w:rFonts w:ascii="Book Antiqua" w:eastAsia="Times New Roman" w:hAnsi="Book Antiqua" w:cs="Times New Roman"/>
          <w:bCs/>
          <w:kern w:val="0"/>
          <w:lang w:val="es-ES"/>
          <w14:ligatures w14:val="none"/>
        </w:rPr>
        <w:t>(</w:t>
      </w:r>
      <w:r w:rsidR="00776802" w:rsidRPr="00DA0FC7">
        <w:rPr>
          <w:rFonts w:ascii="Book Antiqua" w:eastAsia="Times New Roman" w:hAnsi="Book Antiqua" w:cs="Times New Roman"/>
          <w:bCs/>
          <w:kern w:val="0"/>
          <w:lang w:val="es-ES"/>
          <w14:ligatures w14:val="none"/>
        </w:rPr>
        <w:t>13 de febrero de 2026)</w:t>
      </w:r>
    </w:p>
    <w:p w14:paraId="3D824366" w14:textId="77777777" w:rsidR="000D65A4" w:rsidRPr="00DA0FC7" w:rsidRDefault="000D65A4" w:rsidP="00F8790D">
      <w:pPr>
        <w:spacing w:after="0" w:line="240" w:lineRule="auto"/>
        <w:ind w:firstLine="720"/>
        <w:jc w:val="center"/>
        <w:rPr>
          <w:rFonts w:ascii="Book Antiqua" w:eastAsia="Times New Roman" w:hAnsi="Book Antiqua" w:cs="Times New Roman"/>
          <w:bCs/>
          <w:kern w:val="0"/>
          <w:lang w:val="es-ES"/>
          <w14:ligatures w14:val="none"/>
        </w:rPr>
      </w:pPr>
    </w:p>
    <w:p w14:paraId="542A862C" w14:textId="69851AB5"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El Departamento de Salud evaluó el Proyecto de la Cámara 126</w:t>
      </w:r>
      <w:r w:rsidR="003E131F">
        <w:rPr>
          <w:rFonts w:ascii="Book Antiqua" w:eastAsia="Times New Roman" w:hAnsi="Book Antiqua" w:cs="Times New Roman"/>
          <w:bCs/>
          <w:kern w:val="0"/>
          <w:lang w:val="es-PR"/>
          <w14:ligatures w14:val="none"/>
        </w:rPr>
        <w:t>,</w:t>
      </w:r>
      <w:r w:rsidRPr="00DA0FC7">
        <w:rPr>
          <w:rFonts w:ascii="Book Antiqua" w:eastAsia="Times New Roman" w:hAnsi="Book Antiqua" w:cs="Times New Roman"/>
          <w:bCs/>
          <w:kern w:val="0"/>
          <w:lang w:val="es-PR"/>
          <w14:ligatures w14:val="none"/>
        </w:rPr>
        <w:t xml:space="preserve"> desde su función reguladora y fiscalizadora en materia de medicamentos y productos biológicos en Puerto Rico. Aunque reconoce la relevancia de la investigación clínica y la existencia de un marco regulatorio federal estricto aplicable a los ensayos clínicos aprobados por la </w:t>
      </w:r>
      <w:proofErr w:type="spellStart"/>
      <w:r w:rsidRPr="003E131F">
        <w:rPr>
          <w:rFonts w:ascii="Book Antiqua" w:eastAsia="Times New Roman" w:hAnsi="Book Antiqua" w:cs="Times New Roman"/>
          <w:bCs/>
          <w:i/>
          <w:iCs/>
          <w:kern w:val="0"/>
          <w:lang w:val="es-PR"/>
          <w14:ligatures w14:val="none"/>
        </w:rPr>
        <w:t>Food</w:t>
      </w:r>
      <w:proofErr w:type="spellEnd"/>
      <w:r w:rsidRPr="003E131F">
        <w:rPr>
          <w:rFonts w:ascii="Book Antiqua" w:eastAsia="Times New Roman" w:hAnsi="Book Antiqua" w:cs="Times New Roman"/>
          <w:bCs/>
          <w:i/>
          <w:iCs/>
          <w:kern w:val="0"/>
          <w:lang w:val="es-PR"/>
          <w14:ligatures w14:val="none"/>
        </w:rPr>
        <w:t xml:space="preserve"> and </w:t>
      </w:r>
      <w:proofErr w:type="spellStart"/>
      <w:r w:rsidRPr="003E131F">
        <w:rPr>
          <w:rFonts w:ascii="Book Antiqua" w:eastAsia="Times New Roman" w:hAnsi="Book Antiqua" w:cs="Times New Roman"/>
          <w:bCs/>
          <w:i/>
          <w:iCs/>
          <w:kern w:val="0"/>
          <w:lang w:val="es-PR"/>
          <w14:ligatures w14:val="none"/>
        </w:rPr>
        <w:t>Drug</w:t>
      </w:r>
      <w:proofErr w:type="spellEnd"/>
      <w:r w:rsidRPr="003E131F">
        <w:rPr>
          <w:rFonts w:ascii="Book Antiqua" w:eastAsia="Times New Roman" w:hAnsi="Book Antiqua" w:cs="Times New Roman"/>
          <w:bCs/>
          <w:i/>
          <w:iCs/>
          <w:kern w:val="0"/>
          <w:lang w:val="es-PR"/>
          <w14:ligatures w14:val="none"/>
        </w:rPr>
        <w:t xml:space="preserve"> </w:t>
      </w:r>
      <w:proofErr w:type="spellStart"/>
      <w:r w:rsidRPr="003E131F">
        <w:rPr>
          <w:rFonts w:ascii="Book Antiqua" w:eastAsia="Times New Roman" w:hAnsi="Book Antiqua" w:cs="Times New Roman"/>
          <w:bCs/>
          <w:i/>
          <w:iCs/>
          <w:kern w:val="0"/>
          <w:lang w:val="es-PR"/>
          <w14:ligatures w14:val="none"/>
        </w:rPr>
        <w:t>Administration</w:t>
      </w:r>
      <w:proofErr w:type="spellEnd"/>
      <w:r w:rsidRPr="003E131F">
        <w:rPr>
          <w:rFonts w:ascii="Book Antiqua" w:eastAsia="Times New Roman" w:hAnsi="Book Antiqua" w:cs="Times New Roman"/>
          <w:bCs/>
          <w:i/>
          <w:iCs/>
          <w:kern w:val="0"/>
          <w:lang w:val="es-PR"/>
          <w14:ligatures w14:val="none"/>
        </w:rPr>
        <w:t xml:space="preserve"> </w:t>
      </w:r>
      <w:r w:rsidRPr="00DA0FC7">
        <w:rPr>
          <w:rFonts w:ascii="Book Antiqua" w:eastAsia="Times New Roman" w:hAnsi="Book Antiqua" w:cs="Times New Roman"/>
          <w:bCs/>
          <w:kern w:val="0"/>
          <w:lang w:val="es-PR"/>
          <w14:ligatures w14:val="none"/>
        </w:rPr>
        <w:t>(FDA), la agencia expresó preocupaciones sustantivas respecto a la eliminación total del requisito de registro o licencia estatal para determinados botiquines médicos.</w:t>
      </w:r>
    </w:p>
    <w:p w14:paraId="6CBC52B6"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p>
    <w:p w14:paraId="7E6A1794" w14:textId="723EE0D2"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En su memorial, enfatiza que la regulación estatal en materia de medicamentos responde a una política pública dirigida a salvaguardar la salud y seguridad de la población, mediante mecanismos de supervisión, inspección y trazabilidad. A juicio de la agencia, la exención propuesta, tal como está redactada, suprime una herramienta administrativa que actualmente permite al Estado mantener conocimiento formal sobre el almacenamiento y manejo de medicamentos en oficinas médicas.</w:t>
      </w:r>
    </w:p>
    <w:p w14:paraId="552FFA91" w14:textId="77777777" w:rsidR="00DA0FC7" w:rsidRPr="00DA0FC7" w:rsidRDefault="00DA0FC7" w:rsidP="00776802">
      <w:pPr>
        <w:spacing w:after="0" w:line="240" w:lineRule="auto"/>
        <w:ind w:firstLine="720"/>
        <w:jc w:val="both"/>
        <w:rPr>
          <w:rFonts w:ascii="Book Antiqua" w:eastAsia="Times New Roman" w:hAnsi="Book Antiqua" w:cs="Times New Roman"/>
          <w:bCs/>
          <w:kern w:val="0"/>
          <w:lang w:val="es-PR"/>
          <w14:ligatures w14:val="none"/>
        </w:rPr>
      </w:pPr>
    </w:p>
    <w:p w14:paraId="4717818D" w14:textId="731A5B5D"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 xml:space="preserve">El Departamento de Salud advierte que, aun cuando la FDA ejerce fiscalización sobre los ensayos clínicos y establece estándares rigurosos de cumplimiento, dicha </w:t>
      </w:r>
      <w:r w:rsidRPr="00DA0FC7">
        <w:rPr>
          <w:rFonts w:ascii="Book Antiqua" w:eastAsia="Times New Roman" w:hAnsi="Book Antiqua" w:cs="Times New Roman"/>
          <w:bCs/>
          <w:kern w:val="0"/>
          <w:lang w:val="es-PR"/>
          <w14:ligatures w14:val="none"/>
        </w:rPr>
        <w:lastRenderedPageBreak/>
        <w:t>supervisión responde a fines federales vinculados al proceso de aprobación de medicamentos, no necesariamente a la gobernanza sanitaria local. En consecuencia, la eliminación absoluta del requisito de registro ante el Departamento de Salud podría limitar la capacidad del Estado para intervenir oportunamente ante situaciones extraordinarias, eventos adversos, emergencias de salud pública o controversias relacionadas con el manejo de productos biológicos dentro de su jurisdicción.</w:t>
      </w:r>
    </w:p>
    <w:p w14:paraId="51BE5824"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p>
    <w:p w14:paraId="6BD1D091" w14:textId="2DD947DF"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Asimismo, plantea que la exención descansa principalmente en certificaciones emitidas por la industria farmacéutica y en la custodia del médico investigador, sin establecer un mecanismo alterno de notificación, coordinación o intercambio de información con la autoridad sanitaria local. A su entender, ello podría generar un vacío administrativo que debilite la trazabilidad institucional y la capacidad de supervisión preventiva.</w:t>
      </w:r>
    </w:p>
    <w:p w14:paraId="0DB2022E"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p>
    <w:p w14:paraId="6B3B3C6A"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En ese sentido, el Departamento de Salud sostiene que cualquier modificación al marco regulatorio vigente debe preservar un balance adecuado entre la promoción de la investigación científica y el deber indelegable del Estado de proteger la salud pública mediante mecanismos de control razonables y proporcionados.</w:t>
      </w:r>
    </w:p>
    <w:p w14:paraId="41646978" w14:textId="77777777" w:rsidR="009B3B21" w:rsidRPr="00DA0FC7" w:rsidRDefault="009B3B21" w:rsidP="00905573">
      <w:pPr>
        <w:spacing w:after="0" w:line="240" w:lineRule="auto"/>
        <w:ind w:firstLine="720"/>
        <w:jc w:val="both"/>
        <w:rPr>
          <w:rFonts w:ascii="Book Antiqua" w:eastAsia="Times New Roman" w:hAnsi="Book Antiqua" w:cs="Times New Roman"/>
          <w:bCs/>
          <w:kern w:val="0"/>
          <w:lang w:val="es-ES"/>
          <w14:ligatures w14:val="none"/>
        </w:rPr>
      </w:pPr>
    </w:p>
    <w:p w14:paraId="6784ECF5" w14:textId="3C7D63BF" w:rsidR="00924789" w:rsidRPr="00DA0FC7" w:rsidRDefault="00776802" w:rsidP="004734A0">
      <w:pPr>
        <w:spacing w:after="0" w:line="240" w:lineRule="auto"/>
        <w:ind w:firstLine="720"/>
        <w:jc w:val="center"/>
        <w:rPr>
          <w:rFonts w:ascii="Book Antiqua" w:eastAsia="Times New Roman" w:hAnsi="Book Antiqua" w:cs="Times New Roman"/>
          <w:b/>
          <w:kern w:val="0"/>
          <w:u w:val="single"/>
          <w:lang w:val="es-ES"/>
          <w14:ligatures w14:val="none"/>
        </w:rPr>
      </w:pPr>
      <w:r w:rsidRPr="00DA0FC7">
        <w:rPr>
          <w:rFonts w:ascii="Book Antiqua" w:eastAsia="Times New Roman" w:hAnsi="Book Antiqua" w:cs="Times New Roman"/>
          <w:b/>
          <w:kern w:val="0"/>
          <w:u w:val="single"/>
          <w:lang w:val="es-ES"/>
          <w14:ligatures w14:val="none"/>
        </w:rPr>
        <w:t>Asociación Médica de Puerto Rico</w:t>
      </w:r>
    </w:p>
    <w:p w14:paraId="12DBFFB5" w14:textId="5BD0786F" w:rsidR="004734A0" w:rsidRPr="00DA0FC7" w:rsidRDefault="004734A0" w:rsidP="004734A0">
      <w:pPr>
        <w:spacing w:after="0" w:line="240" w:lineRule="auto"/>
        <w:ind w:firstLine="720"/>
        <w:jc w:val="center"/>
        <w:rPr>
          <w:rFonts w:ascii="Book Antiqua" w:eastAsia="Times New Roman" w:hAnsi="Book Antiqua" w:cs="Times New Roman"/>
          <w:bCs/>
          <w:kern w:val="0"/>
          <w:lang w:val="es-ES"/>
          <w14:ligatures w14:val="none"/>
        </w:rPr>
      </w:pPr>
      <w:r w:rsidRPr="00DA0FC7">
        <w:rPr>
          <w:rFonts w:ascii="Book Antiqua" w:eastAsia="Times New Roman" w:hAnsi="Book Antiqua" w:cs="Times New Roman"/>
          <w:bCs/>
          <w:kern w:val="0"/>
          <w:lang w:val="es-ES"/>
          <w14:ligatures w14:val="none"/>
        </w:rPr>
        <w:t>(</w:t>
      </w:r>
      <w:r w:rsidR="00776802" w:rsidRPr="00DA0FC7">
        <w:rPr>
          <w:rFonts w:ascii="Book Antiqua" w:eastAsia="Times New Roman" w:hAnsi="Book Antiqua" w:cs="Times New Roman"/>
          <w:bCs/>
          <w:kern w:val="0"/>
          <w:lang w:val="es-ES"/>
          <w14:ligatures w14:val="none"/>
        </w:rPr>
        <w:t>3 de febrero de 2026)</w:t>
      </w:r>
    </w:p>
    <w:p w14:paraId="31D16BA7" w14:textId="77777777" w:rsidR="00437F4D" w:rsidRPr="00DA0FC7" w:rsidRDefault="00437F4D" w:rsidP="004734A0">
      <w:pPr>
        <w:spacing w:after="0" w:line="240" w:lineRule="auto"/>
        <w:ind w:firstLine="720"/>
        <w:jc w:val="center"/>
        <w:rPr>
          <w:rFonts w:ascii="Book Antiqua" w:eastAsia="Times New Roman" w:hAnsi="Book Antiqua" w:cs="Times New Roman"/>
          <w:bCs/>
          <w:kern w:val="0"/>
          <w:lang w:val="es-ES"/>
          <w14:ligatures w14:val="none"/>
        </w:rPr>
      </w:pPr>
    </w:p>
    <w:p w14:paraId="3FF1B91F" w14:textId="17E94811"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La Asociación Médica de Puerto Rico (AMPR) expres</w:t>
      </w:r>
      <w:r w:rsidR="003E131F">
        <w:rPr>
          <w:rFonts w:ascii="Book Antiqua" w:eastAsia="Times New Roman" w:hAnsi="Book Antiqua" w:cs="Times New Roman"/>
          <w:bCs/>
          <w:kern w:val="0"/>
          <w:lang w:val="es-PR"/>
          <w14:ligatures w14:val="none"/>
        </w:rPr>
        <w:t>ó</w:t>
      </w:r>
      <w:r w:rsidRPr="00DA0FC7">
        <w:rPr>
          <w:rFonts w:ascii="Book Antiqua" w:eastAsia="Times New Roman" w:hAnsi="Book Antiqua" w:cs="Times New Roman"/>
          <w:bCs/>
          <w:kern w:val="0"/>
          <w:lang w:val="es-PR"/>
          <w14:ligatures w14:val="none"/>
        </w:rPr>
        <w:t xml:space="preserve"> su respaldo al Proyecto de la Cámara 126, reconociendo su valor estratégico para el desarrollo científico, médico y económico del país. En su memorial, la entidad destaca que la investigación clínica constituye un componente esencial del progreso en salud, permitiendo acceso temprano a terapias innovadoras y fortaleciendo la competitividad de Puerto Rico como sede de ensayos clínicos.</w:t>
      </w:r>
    </w:p>
    <w:p w14:paraId="62264776"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p>
    <w:p w14:paraId="3757B06E" w14:textId="5662E041"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La AMPR reconoce que los ensayos clínicos autorizados por la FDA operan bajo un esquema regulatorio federal riguroso, que impone requisitos estrictos en cuanto a almacenaje, manejo, seguridad y fiscalización de medicamentos en investigación. Bajo ese marco, tanto la industria farmacéutica como los médicos investigadores están sujetos a inspecciones frecuentes y a estándares elevados de cumplimiento, lo que</w:t>
      </w:r>
      <w:r w:rsidR="004B4DE5" w:rsidRPr="00DA0FC7">
        <w:rPr>
          <w:rFonts w:ascii="Book Antiqua" w:eastAsia="Times New Roman" w:hAnsi="Book Antiqua" w:cs="Times New Roman"/>
          <w:bCs/>
          <w:kern w:val="0"/>
          <w:lang w:val="es-PR"/>
          <w14:ligatures w14:val="none"/>
        </w:rPr>
        <w:t xml:space="preserve">, </w:t>
      </w:r>
      <w:r w:rsidRPr="00DA0FC7">
        <w:rPr>
          <w:rFonts w:ascii="Book Antiqua" w:eastAsia="Times New Roman" w:hAnsi="Book Antiqua" w:cs="Times New Roman"/>
          <w:bCs/>
          <w:kern w:val="0"/>
          <w:lang w:val="es-PR"/>
          <w14:ligatures w14:val="none"/>
        </w:rPr>
        <w:t>según la Asociación</w:t>
      </w:r>
      <w:r w:rsidR="004B4DE5" w:rsidRPr="00DA0FC7">
        <w:rPr>
          <w:rFonts w:ascii="Book Antiqua" w:eastAsia="Times New Roman" w:hAnsi="Book Antiqua" w:cs="Times New Roman"/>
          <w:bCs/>
          <w:kern w:val="0"/>
          <w:lang w:val="es-PR"/>
          <w14:ligatures w14:val="none"/>
        </w:rPr>
        <w:t xml:space="preserve">, </w:t>
      </w:r>
      <w:r w:rsidRPr="00DA0FC7">
        <w:rPr>
          <w:rFonts w:ascii="Book Antiqua" w:eastAsia="Times New Roman" w:hAnsi="Book Antiqua" w:cs="Times New Roman"/>
          <w:bCs/>
          <w:kern w:val="0"/>
          <w:lang w:val="es-PR"/>
          <w14:ligatures w14:val="none"/>
        </w:rPr>
        <w:t>justifica revisar requisitos administrativos estatales que puedan resultar duplicativos.</w:t>
      </w:r>
    </w:p>
    <w:p w14:paraId="48366BDF" w14:textId="77777777" w:rsidR="004B4DE5" w:rsidRPr="00DA0FC7" w:rsidRDefault="004B4DE5" w:rsidP="00776802">
      <w:pPr>
        <w:spacing w:after="0" w:line="240" w:lineRule="auto"/>
        <w:ind w:firstLine="720"/>
        <w:jc w:val="both"/>
        <w:rPr>
          <w:rFonts w:ascii="Book Antiqua" w:eastAsia="Times New Roman" w:hAnsi="Book Antiqua" w:cs="Times New Roman"/>
          <w:bCs/>
          <w:kern w:val="0"/>
          <w:lang w:val="es-PR"/>
          <w14:ligatures w14:val="none"/>
        </w:rPr>
      </w:pPr>
    </w:p>
    <w:p w14:paraId="3A184174"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 xml:space="preserve">No obstante, el apoyo expresado por la Asociación Médica no es irrestricto. En su memorial, la AMPR formula observaciones dirigidas a fortalecer la medida y garantizar un balance adecuado entre agilidad regulatoria y responsabilidad institucional. Entre sus planteamientos, advierte que la exclusión total de cualquier mecanismo de conocimiento o notificación ante el Departamento de Salud podría afectar la capacidad del sistema local </w:t>
      </w:r>
      <w:r w:rsidRPr="00DA0FC7">
        <w:rPr>
          <w:rFonts w:ascii="Book Antiqua" w:eastAsia="Times New Roman" w:hAnsi="Book Antiqua" w:cs="Times New Roman"/>
          <w:bCs/>
          <w:kern w:val="0"/>
          <w:lang w:val="es-PR"/>
          <w14:ligatures w14:val="none"/>
        </w:rPr>
        <w:lastRenderedPageBreak/>
        <w:t>de salud para responder con celeridad ante eventos adversos o situaciones extraordinarias.</w:t>
      </w:r>
    </w:p>
    <w:p w14:paraId="3EC7B9EF" w14:textId="77777777" w:rsidR="004B4DE5" w:rsidRPr="00DA0FC7" w:rsidRDefault="004B4DE5" w:rsidP="00776802">
      <w:pPr>
        <w:spacing w:after="0" w:line="240" w:lineRule="auto"/>
        <w:ind w:firstLine="720"/>
        <w:jc w:val="both"/>
        <w:rPr>
          <w:rFonts w:ascii="Book Antiqua" w:eastAsia="Times New Roman" w:hAnsi="Book Antiqua" w:cs="Times New Roman"/>
          <w:bCs/>
          <w:kern w:val="0"/>
          <w:lang w:val="es-PR"/>
          <w14:ligatures w14:val="none"/>
        </w:rPr>
      </w:pPr>
    </w:p>
    <w:p w14:paraId="4F93E2A5"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La Asociación también subraya la importancia de establecer mecanismos mínimos de trazabilidad que permitan mantener transparencia y confianza pública en el manejo de medicamentos en investigación. Recomienda considerar un registro informativo simplificado que no constituya un requisito de licencia adicional, pero que permita a la autoridad sanitaria local tener conocimiento institucional de los ensayos clínicos en curso.</w:t>
      </w:r>
    </w:p>
    <w:p w14:paraId="7BC2BF6D" w14:textId="77777777" w:rsidR="004B4DE5" w:rsidRPr="00DA0FC7" w:rsidRDefault="004B4DE5" w:rsidP="00776802">
      <w:pPr>
        <w:spacing w:after="0" w:line="240" w:lineRule="auto"/>
        <w:ind w:firstLine="720"/>
        <w:jc w:val="both"/>
        <w:rPr>
          <w:rFonts w:ascii="Book Antiqua" w:eastAsia="Times New Roman" w:hAnsi="Book Antiqua" w:cs="Times New Roman"/>
          <w:bCs/>
          <w:kern w:val="0"/>
          <w:lang w:val="es-PR"/>
          <w14:ligatures w14:val="none"/>
        </w:rPr>
      </w:pPr>
    </w:p>
    <w:p w14:paraId="776AB62B" w14:textId="77777777" w:rsidR="00776802" w:rsidRPr="00DA0FC7" w:rsidRDefault="00776802" w:rsidP="00776802">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De igual manera, la AMPR sugiere delimitar expresamente en el texto legislativo que la exención aplica únicamente a ensayos clínicos aprobados por la FDA, a fin de evitar interpretaciones extensivas futuras que puedan alterar otros esquemas regulatorios no contemplados por la Asamblea Legislativa. Asimismo, recomienda incluir lenguaje que reafirme que la medida no afecta el ejercicio profesional de la farmacia ni las competencias legalmente establecidas para dichos profesionales.</w:t>
      </w:r>
    </w:p>
    <w:p w14:paraId="40A4C184" w14:textId="77777777" w:rsidR="004B4DE5" w:rsidRPr="00DA0FC7" w:rsidRDefault="004B4DE5" w:rsidP="00776802">
      <w:pPr>
        <w:spacing w:after="0" w:line="240" w:lineRule="auto"/>
        <w:ind w:firstLine="720"/>
        <w:jc w:val="both"/>
        <w:rPr>
          <w:rFonts w:ascii="Book Antiqua" w:eastAsia="Times New Roman" w:hAnsi="Book Antiqua" w:cs="Times New Roman"/>
          <w:bCs/>
          <w:kern w:val="0"/>
          <w:lang w:val="es-PR"/>
          <w14:ligatures w14:val="none"/>
        </w:rPr>
      </w:pPr>
    </w:p>
    <w:p w14:paraId="748598CA" w14:textId="2CAC6937" w:rsidR="00437F4D" w:rsidRPr="00DA0FC7" w:rsidRDefault="00776802" w:rsidP="00DA0FC7">
      <w:pPr>
        <w:spacing w:after="0" w:line="240" w:lineRule="auto"/>
        <w:ind w:firstLine="720"/>
        <w:jc w:val="both"/>
        <w:rPr>
          <w:rFonts w:ascii="Book Antiqua" w:eastAsia="Times New Roman" w:hAnsi="Book Antiqua" w:cs="Times New Roman"/>
          <w:bCs/>
          <w:kern w:val="0"/>
          <w:lang w:val="es-PR"/>
          <w14:ligatures w14:val="none"/>
        </w:rPr>
      </w:pPr>
      <w:r w:rsidRPr="00DA0FC7">
        <w:rPr>
          <w:rFonts w:ascii="Book Antiqua" w:eastAsia="Times New Roman" w:hAnsi="Book Antiqua" w:cs="Times New Roman"/>
          <w:bCs/>
          <w:kern w:val="0"/>
          <w:lang w:val="es-PR"/>
          <w14:ligatures w14:val="none"/>
        </w:rPr>
        <w:t>En síntesis, aunque la Asociación Médica de Puerto Rico favorece la intención legislativa, condiciona su respaldo a la incorporación de salvaguardas que fortalezcan la gobernanza sanitaria, la transparencia y la confianza pública.</w:t>
      </w:r>
    </w:p>
    <w:p w14:paraId="0C27A678" w14:textId="77777777" w:rsidR="005F183A" w:rsidRPr="00DA0FC7" w:rsidRDefault="005F183A" w:rsidP="00861444">
      <w:pPr>
        <w:spacing w:after="0" w:line="240" w:lineRule="auto"/>
        <w:jc w:val="center"/>
        <w:rPr>
          <w:rFonts w:ascii="Book Antiqua" w:eastAsia="Times New Roman" w:hAnsi="Book Antiqua" w:cs="Times New Roman"/>
          <w:b/>
          <w:kern w:val="0"/>
          <w:lang w:val="es-ES"/>
          <w14:ligatures w14:val="none"/>
        </w:rPr>
      </w:pPr>
    </w:p>
    <w:p w14:paraId="6CCF80D1" w14:textId="77777777" w:rsidR="00861444" w:rsidRPr="00DA0FC7" w:rsidRDefault="00861444" w:rsidP="00861444">
      <w:pPr>
        <w:spacing w:after="0" w:line="240" w:lineRule="auto"/>
        <w:jc w:val="center"/>
        <w:rPr>
          <w:rFonts w:ascii="Book Antiqua" w:eastAsia="Times New Roman" w:hAnsi="Book Antiqua" w:cs="Times New Roman"/>
          <w:b/>
          <w:kern w:val="0"/>
          <w:lang w:val="es-ES"/>
          <w14:ligatures w14:val="none"/>
        </w:rPr>
      </w:pPr>
      <w:r w:rsidRPr="00DA0FC7">
        <w:rPr>
          <w:rFonts w:ascii="Book Antiqua" w:eastAsia="Times New Roman" w:hAnsi="Book Antiqua" w:cs="Times New Roman"/>
          <w:b/>
          <w:kern w:val="0"/>
          <w:lang w:val="es-ES"/>
          <w14:ligatures w14:val="none"/>
        </w:rPr>
        <w:t>IMPACTO FISCAL</w:t>
      </w:r>
    </w:p>
    <w:p w14:paraId="6F8DC8C2"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p>
    <w:p w14:paraId="2D5BBDFA" w14:textId="33047DB3" w:rsidR="00861444" w:rsidRPr="00DA0FC7"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DA0FC7">
        <w:rPr>
          <w:rFonts w:ascii="Book Antiqua" w:eastAsia="Times New Roman" w:hAnsi="Book Antiqua" w:cs="Times New Roman"/>
          <w:kern w:val="0"/>
          <w:lang w:val="es-ES"/>
          <w14:ligatures w14:val="none"/>
        </w:rPr>
        <w:t xml:space="preserve">El P. de la C. </w:t>
      </w:r>
      <w:r w:rsidR="00284294" w:rsidRPr="00DA0FC7">
        <w:rPr>
          <w:rFonts w:ascii="Book Antiqua" w:eastAsia="Times New Roman" w:hAnsi="Book Antiqua" w:cs="Times New Roman"/>
          <w:kern w:val="0"/>
          <w:lang w:val="es-ES"/>
          <w14:ligatures w14:val="none"/>
        </w:rPr>
        <w:t>126</w:t>
      </w:r>
      <w:r w:rsidR="004B4DE5" w:rsidRPr="00DA0FC7">
        <w:rPr>
          <w:rFonts w:ascii="Book Antiqua" w:eastAsia="Times New Roman" w:hAnsi="Book Antiqua" w:cs="Times New Roman"/>
          <w:kern w:val="0"/>
          <w:lang w:val="es-ES"/>
          <w14:ligatures w14:val="none"/>
        </w:rPr>
        <w:t xml:space="preserve"> no conlleva</w:t>
      </w:r>
      <w:r w:rsidRPr="00DA0FC7">
        <w:rPr>
          <w:rFonts w:ascii="Book Antiqua" w:eastAsia="Times New Roman" w:hAnsi="Book Antiqua" w:cs="Times New Roman"/>
          <w:kern w:val="0"/>
          <w:lang w:val="es-ES"/>
          <w14:ligatures w14:val="none"/>
        </w:rPr>
        <w:t xml:space="preserve"> impacto fiscal</w:t>
      </w:r>
      <w:r w:rsidR="004B4DE5" w:rsidRPr="00DA0FC7">
        <w:rPr>
          <w:rFonts w:ascii="Book Antiqua" w:eastAsia="Times New Roman" w:hAnsi="Book Antiqua" w:cs="Times New Roman"/>
          <w:kern w:val="0"/>
          <w:lang w:val="es-ES"/>
          <w14:ligatures w14:val="none"/>
        </w:rPr>
        <w:t>.</w:t>
      </w:r>
    </w:p>
    <w:p w14:paraId="49D61CC6" w14:textId="77777777" w:rsidR="002A21FA" w:rsidRPr="00DA0FC7" w:rsidRDefault="002A21FA" w:rsidP="00861444">
      <w:pPr>
        <w:spacing w:after="0" w:line="240" w:lineRule="auto"/>
        <w:jc w:val="center"/>
        <w:rPr>
          <w:rFonts w:ascii="Book Antiqua" w:eastAsia="Times New Roman" w:hAnsi="Book Antiqua" w:cs="Times New Roman"/>
          <w:b/>
          <w:bCs/>
          <w:kern w:val="0"/>
          <w:lang w:val="es-ES"/>
          <w14:ligatures w14:val="none"/>
        </w:rPr>
      </w:pPr>
    </w:p>
    <w:p w14:paraId="679E03CF" w14:textId="2941513B" w:rsidR="00861444" w:rsidRPr="00DA0FC7" w:rsidRDefault="00861444" w:rsidP="00861444">
      <w:pPr>
        <w:spacing w:after="0" w:line="240" w:lineRule="auto"/>
        <w:jc w:val="center"/>
        <w:rPr>
          <w:rFonts w:ascii="Book Antiqua" w:eastAsia="Times New Roman" w:hAnsi="Book Antiqua" w:cs="Times New Roman"/>
          <w:b/>
          <w:bCs/>
          <w:kern w:val="0"/>
          <w:lang w:val="es-ES"/>
          <w14:ligatures w14:val="none"/>
        </w:rPr>
      </w:pPr>
      <w:r w:rsidRPr="00DA0FC7">
        <w:rPr>
          <w:rFonts w:ascii="Book Antiqua" w:eastAsia="Times New Roman" w:hAnsi="Book Antiqua" w:cs="Times New Roman"/>
          <w:b/>
          <w:bCs/>
          <w:kern w:val="0"/>
          <w:lang w:val="es-ES"/>
          <w14:ligatures w14:val="none"/>
        </w:rPr>
        <w:t>CONCLUSIÓN</w:t>
      </w:r>
    </w:p>
    <w:p w14:paraId="3A05BA06" w14:textId="77777777" w:rsidR="002A21FA" w:rsidRPr="00DA0FC7" w:rsidRDefault="002A21FA" w:rsidP="00861444">
      <w:pPr>
        <w:spacing w:after="0" w:line="240" w:lineRule="auto"/>
        <w:jc w:val="center"/>
        <w:rPr>
          <w:rFonts w:ascii="Book Antiqua" w:eastAsia="Times New Roman" w:hAnsi="Book Antiqua" w:cs="Times New Roman"/>
          <w:b/>
          <w:bCs/>
          <w:kern w:val="0"/>
          <w:lang w:val="es-ES"/>
          <w14:ligatures w14:val="none"/>
        </w:rPr>
      </w:pPr>
    </w:p>
    <w:p w14:paraId="3B9D5E7E" w14:textId="77777777" w:rsidR="004B4DE5" w:rsidRPr="00DA0FC7" w:rsidRDefault="00284294" w:rsidP="004B4DE5">
      <w:pPr>
        <w:spacing w:after="0" w:line="240" w:lineRule="auto"/>
        <w:jc w:val="both"/>
        <w:rPr>
          <w:rFonts w:ascii="Book Antiqua" w:eastAsia="Times New Roman" w:hAnsi="Book Antiqua"/>
          <w:kern w:val="0"/>
          <w:lang w:val="es-PR"/>
          <w14:ligatures w14:val="none"/>
        </w:rPr>
      </w:pPr>
      <w:r w:rsidRPr="00DA0FC7">
        <w:rPr>
          <w:rFonts w:ascii="Book Antiqua" w:eastAsia="Times New Roman" w:hAnsi="Book Antiqua" w:cs="Times New Roman"/>
          <w:kern w:val="0"/>
          <w:lang w:val="es-PR"/>
          <w14:ligatures w14:val="none"/>
        </w:rPr>
        <w:tab/>
      </w:r>
      <w:r w:rsidR="004B4DE5" w:rsidRPr="00DA0FC7">
        <w:rPr>
          <w:rFonts w:ascii="Book Antiqua" w:eastAsia="Times New Roman" w:hAnsi="Book Antiqua"/>
          <w:kern w:val="0"/>
          <w:lang w:val="es-PR"/>
          <w14:ligatures w14:val="none"/>
        </w:rPr>
        <w:t>Luego de examinar detenidamente el Proyecto de la Cámara 126 y los memoriales sometidos por el Departamento de Salud y la Asociación Médica de Puerto Rico, esta Comisión concluye que, si bien la intención de fomentar la investigación científica y fortalecer la competitividad de Puerto Rico en el ámbito de los ensayos clínicos es meritoria, la medida, según redactada, presenta deficiencias sustantivas en su diseño regulatorio.</w:t>
      </w:r>
    </w:p>
    <w:p w14:paraId="007FC039" w14:textId="77777777" w:rsidR="004B4DE5" w:rsidRPr="00DA0FC7" w:rsidRDefault="004B4DE5" w:rsidP="004B4DE5">
      <w:pPr>
        <w:spacing w:after="0" w:line="240" w:lineRule="auto"/>
        <w:jc w:val="both"/>
        <w:rPr>
          <w:rFonts w:ascii="Book Antiqua" w:eastAsia="Times New Roman" w:hAnsi="Book Antiqua"/>
          <w:kern w:val="0"/>
          <w:lang w:val="es-PR"/>
          <w14:ligatures w14:val="none"/>
        </w:rPr>
      </w:pPr>
    </w:p>
    <w:p w14:paraId="1F3EE5F6" w14:textId="0F26D614" w:rsidR="004B4DE5" w:rsidRPr="00DA0FC7" w:rsidRDefault="004B4DE5" w:rsidP="004B4DE5">
      <w:pPr>
        <w:spacing w:after="0" w:line="240" w:lineRule="auto"/>
        <w:jc w:val="both"/>
        <w:rPr>
          <w:rFonts w:ascii="Book Antiqua" w:eastAsia="Times New Roman" w:hAnsi="Book Antiqua" w:cs="Times New Roman"/>
          <w:kern w:val="0"/>
          <w:lang w:val="es-PR"/>
          <w14:ligatures w14:val="none"/>
        </w:rPr>
      </w:pPr>
      <w:r w:rsidRPr="00DA0FC7">
        <w:rPr>
          <w:rFonts w:ascii="Book Antiqua" w:eastAsia="Times New Roman" w:hAnsi="Book Antiqua" w:cs="Times New Roman"/>
          <w:kern w:val="0"/>
          <w:lang w:val="es-PR"/>
          <w14:ligatures w14:val="none"/>
        </w:rPr>
        <w:tab/>
        <w:t xml:space="preserve"> El Departamento de Salud expresó preocupaciones claras en torno a la eliminación total del requisito de registro o licencia estatal para el almacenamiento de medicamentos en oficinas médicas, señalando que dicha exención podría debilitar la capacidad del Estado para ejercer su función fiscalizadora, mantener trazabilidad institucional y responder adecuadamente ante eventos adversos o situaciones de salud pública dentro de su jurisdicción.</w:t>
      </w:r>
    </w:p>
    <w:p w14:paraId="7E636A99" w14:textId="77777777" w:rsidR="004B4DE5" w:rsidRPr="00DA0FC7" w:rsidRDefault="004B4DE5" w:rsidP="004B4DE5">
      <w:pPr>
        <w:spacing w:after="0" w:line="240" w:lineRule="auto"/>
        <w:jc w:val="both"/>
        <w:rPr>
          <w:rFonts w:ascii="Book Antiqua" w:eastAsia="Times New Roman" w:hAnsi="Book Antiqua" w:cs="Times New Roman"/>
          <w:kern w:val="0"/>
          <w:lang w:val="es-PR"/>
          <w14:ligatures w14:val="none"/>
        </w:rPr>
      </w:pPr>
    </w:p>
    <w:p w14:paraId="4B08CE35" w14:textId="46FD7780" w:rsidR="004B4DE5" w:rsidRPr="00DA0FC7" w:rsidRDefault="004B4DE5" w:rsidP="004B4DE5">
      <w:pPr>
        <w:spacing w:after="0" w:line="240" w:lineRule="auto"/>
        <w:jc w:val="both"/>
        <w:rPr>
          <w:rFonts w:ascii="Book Antiqua" w:eastAsia="Times New Roman" w:hAnsi="Book Antiqua" w:cs="Times New Roman"/>
          <w:kern w:val="0"/>
          <w:lang w:val="es-PR"/>
          <w14:ligatures w14:val="none"/>
        </w:rPr>
      </w:pPr>
      <w:r w:rsidRPr="00DA0FC7">
        <w:rPr>
          <w:rFonts w:ascii="Book Antiqua" w:eastAsia="Times New Roman" w:hAnsi="Book Antiqua" w:cs="Times New Roman"/>
          <w:kern w:val="0"/>
          <w:lang w:val="es-PR"/>
          <w14:ligatures w14:val="none"/>
        </w:rPr>
        <w:tab/>
        <w:t xml:space="preserve">Por su parte, la Asociación Médica de Puerto Rico, aun manifestando respaldo a la intención legislativa, condicionó su apoyo a la incorporación de enmiendas </w:t>
      </w:r>
      <w:r w:rsidRPr="00DA0FC7">
        <w:rPr>
          <w:rFonts w:ascii="Book Antiqua" w:eastAsia="Times New Roman" w:hAnsi="Book Antiqua" w:cs="Times New Roman"/>
          <w:kern w:val="0"/>
          <w:lang w:val="es-PR"/>
          <w14:ligatures w14:val="none"/>
        </w:rPr>
        <w:lastRenderedPageBreak/>
        <w:t>sustanciales dirigidas a establecer mecanismos mínimos de notificación o registro informativo, delimitar expresamente el alcance de la exención y reafirmar los marcos regulatorios vigentes. El hecho de que la entidad proponente del sector médico recomiende ajustes significativos evidencia que el texto actual requiere modificaciones de fondo para garantizar un balance adecuado entre agilidad regulatoria y protección de la salud pública.</w:t>
      </w:r>
    </w:p>
    <w:p w14:paraId="60AA112B" w14:textId="77777777" w:rsidR="004B4DE5" w:rsidRPr="00DA0FC7" w:rsidRDefault="004B4DE5" w:rsidP="004B4DE5">
      <w:pPr>
        <w:spacing w:after="0" w:line="240" w:lineRule="auto"/>
        <w:jc w:val="both"/>
        <w:rPr>
          <w:rFonts w:ascii="Book Antiqua" w:eastAsia="Times New Roman" w:hAnsi="Book Antiqua" w:cs="Times New Roman"/>
          <w:kern w:val="0"/>
          <w:lang w:val="es-PR"/>
          <w14:ligatures w14:val="none"/>
        </w:rPr>
      </w:pPr>
    </w:p>
    <w:p w14:paraId="2BDB97CE" w14:textId="77618B30" w:rsidR="004B4DE5" w:rsidRPr="00DA0FC7" w:rsidRDefault="004B4DE5" w:rsidP="004B4DE5">
      <w:pPr>
        <w:spacing w:after="0" w:line="240" w:lineRule="auto"/>
        <w:jc w:val="both"/>
        <w:rPr>
          <w:rFonts w:ascii="Book Antiqua" w:eastAsia="Times New Roman" w:hAnsi="Book Antiqua" w:cs="Times New Roman"/>
          <w:kern w:val="0"/>
          <w:lang w:val="es-PR"/>
          <w14:ligatures w14:val="none"/>
        </w:rPr>
      </w:pPr>
      <w:r w:rsidRPr="00DA0FC7">
        <w:rPr>
          <w:rFonts w:ascii="Book Antiqua" w:eastAsia="Times New Roman" w:hAnsi="Book Antiqua" w:cs="Times New Roman"/>
          <w:kern w:val="0"/>
          <w:lang w:val="es-PR"/>
          <w14:ligatures w14:val="none"/>
        </w:rPr>
        <w:tab/>
        <w:t>La Comisión entiende que toda exención al régimen regulatorio en materia de medicamentos y productos biológicos debe diseñarse con precisión, asegurando que no se generen vacíos regulatorios ni se menoscabe la responsabilidad primaria del Estado en la protección de la salud colectiva. A juicio de esta Comisión, la medida, tal como presentada, no establece salvaguardas suficientes que armonicen adecuadamente la supervisión federal con la gobernanza sanitaria local.</w:t>
      </w:r>
    </w:p>
    <w:p w14:paraId="4DC327E2" w14:textId="77777777" w:rsidR="00861444" w:rsidRPr="00DA0FC7" w:rsidRDefault="00861444" w:rsidP="00861444">
      <w:pPr>
        <w:spacing w:after="0" w:line="240" w:lineRule="auto"/>
        <w:ind w:firstLine="720"/>
        <w:jc w:val="both"/>
        <w:rPr>
          <w:rFonts w:ascii="Book Antiqua" w:eastAsia="Times New Roman" w:hAnsi="Book Antiqua" w:cs="Times New Roman"/>
          <w:kern w:val="0"/>
          <w:lang w:val="es-ES"/>
          <w14:ligatures w14:val="none"/>
        </w:rPr>
      </w:pPr>
    </w:p>
    <w:p w14:paraId="5F312B77" w14:textId="055E5AA0" w:rsidR="00861444" w:rsidRPr="00DA0FC7" w:rsidRDefault="00861444" w:rsidP="002D64F9">
      <w:pPr>
        <w:ind w:firstLine="720"/>
        <w:jc w:val="both"/>
        <w:rPr>
          <w:rFonts w:ascii="Book Antiqua" w:eastAsia="Times New Roman" w:hAnsi="Book Antiqua" w:cs="Times New Roman"/>
          <w:kern w:val="0"/>
          <w:lang w:val="es-ES"/>
          <w14:ligatures w14:val="none"/>
        </w:rPr>
      </w:pPr>
      <w:r w:rsidRPr="00DA0FC7">
        <w:rPr>
          <w:rFonts w:ascii="Book Antiqua" w:eastAsia="Times New Roman" w:hAnsi="Book Antiqua" w:cs="Times New Roman"/>
          <w:b/>
          <w:bCs/>
          <w:kern w:val="0"/>
          <w:lang w:val="es-ES"/>
          <w14:ligatures w14:val="none"/>
        </w:rPr>
        <w:t>POR</w:t>
      </w:r>
      <w:r w:rsidRPr="00DA0FC7">
        <w:rPr>
          <w:rFonts w:ascii="Book Antiqua" w:eastAsia="Times New Roman" w:hAnsi="Book Antiqua" w:cs="Times New Roman"/>
          <w:kern w:val="0"/>
          <w:lang w:val="es-ES"/>
          <w14:ligatures w14:val="none"/>
        </w:rPr>
        <w:t xml:space="preserve"> </w:t>
      </w:r>
      <w:r w:rsidRPr="00DA0FC7">
        <w:rPr>
          <w:rFonts w:ascii="Book Antiqua" w:eastAsia="Times New Roman" w:hAnsi="Book Antiqua" w:cs="Times New Roman"/>
          <w:b/>
          <w:bCs/>
          <w:kern w:val="0"/>
          <w:lang w:val="es-ES"/>
          <w14:ligatures w14:val="none"/>
        </w:rPr>
        <w:t>LOS FUNDAMENTOS ANTES E</w:t>
      </w:r>
      <w:r w:rsidR="00291395" w:rsidRPr="00DA0FC7">
        <w:rPr>
          <w:rFonts w:ascii="Book Antiqua" w:eastAsia="Times New Roman" w:hAnsi="Book Antiqua" w:cs="Times New Roman"/>
          <w:b/>
          <w:bCs/>
          <w:kern w:val="0"/>
          <w:lang w:val="es-ES"/>
          <w14:ligatures w14:val="none"/>
        </w:rPr>
        <w:t>X</w:t>
      </w:r>
      <w:r w:rsidRPr="00DA0FC7">
        <w:rPr>
          <w:rFonts w:ascii="Book Antiqua" w:eastAsia="Times New Roman" w:hAnsi="Book Antiqua" w:cs="Times New Roman"/>
          <w:b/>
          <w:bCs/>
          <w:kern w:val="0"/>
          <w:lang w:val="es-ES"/>
          <w14:ligatures w14:val="none"/>
        </w:rPr>
        <w:t>PUESTOS</w:t>
      </w:r>
      <w:r w:rsidRPr="00DA0FC7">
        <w:rPr>
          <w:rFonts w:ascii="Book Antiqua" w:eastAsia="Times New Roman" w:hAnsi="Book Antiqua" w:cs="Times New Roman"/>
          <w:kern w:val="0"/>
          <w:lang w:val="es-ES"/>
          <w14:ligatures w14:val="none"/>
        </w:rPr>
        <w:t xml:space="preserve">, luego del </w:t>
      </w:r>
      <w:r w:rsidR="00E02BAB" w:rsidRPr="00DA0FC7">
        <w:rPr>
          <w:rFonts w:ascii="Book Antiqua" w:eastAsia="Times New Roman" w:hAnsi="Book Antiqua" w:cs="Times New Roman"/>
          <w:kern w:val="0"/>
          <w:lang w:val="es-PR"/>
          <w14:ligatures w14:val="none"/>
        </w:rPr>
        <w:t>análisis exhaustivo de las implicaciones fiscales, administrativas y regulatorias</w:t>
      </w:r>
      <w:r w:rsidRPr="00DA0FC7">
        <w:rPr>
          <w:rFonts w:ascii="Book Antiqua" w:eastAsia="Times New Roman" w:hAnsi="Book Antiqua" w:cs="Times New Roman"/>
          <w:kern w:val="0"/>
          <w:lang w:val="es-ES"/>
          <w14:ligatures w14:val="none"/>
        </w:rPr>
        <w:t>, la Comisión de Salud no recomienda la</w:t>
      </w:r>
      <w:r w:rsidR="00234F2E" w:rsidRPr="00DA0FC7">
        <w:rPr>
          <w:rFonts w:ascii="Book Antiqua" w:eastAsia="Times New Roman" w:hAnsi="Book Antiqua" w:cs="Times New Roman"/>
          <w:kern w:val="0"/>
          <w:lang w:val="es-ES"/>
          <w14:ligatures w14:val="none"/>
        </w:rPr>
        <w:t xml:space="preserve"> </w:t>
      </w:r>
      <w:r w:rsidRPr="00DA0FC7">
        <w:rPr>
          <w:rFonts w:ascii="Book Antiqua" w:eastAsia="Times New Roman" w:hAnsi="Book Antiqua" w:cs="Times New Roman"/>
          <w:kern w:val="0"/>
          <w:lang w:val="es-ES"/>
          <w14:ligatures w14:val="none"/>
        </w:rPr>
        <w:t xml:space="preserve">aprobación del </w:t>
      </w:r>
      <w:r w:rsidRPr="00DA0FC7">
        <w:rPr>
          <w:rFonts w:ascii="Book Antiqua" w:eastAsia="Times New Roman" w:hAnsi="Book Antiqua" w:cs="Times New Roman"/>
          <w:b/>
          <w:bCs/>
          <w:kern w:val="0"/>
          <w:lang w:val="es-ES"/>
          <w14:ligatures w14:val="none"/>
        </w:rPr>
        <w:t xml:space="preserve">P. de la C. </w:t>
      </w:r>
      <w:r w:rsidR="00284294" w:rsidRPr="00DA0FC7">
        <w:rPr>
          <w:rFonts w:ascii="Book Antiqua" w:eastAsia="Times New Roman" w:hAnsi="Book Antiqua" w:cs="Times New Roman"/>
          <w:b/>
          <w:bCs/>
          <w:kern w:val="0"/>
          <w:lang w:val="es-ES"/>
          <w14:ligatures w14:val="none"/>
        </w:rPr>
        <w:t>126</w:t>
      </w:r>
      <w:r w:rsidRPr="00DA0FC7">
        <w:rPr>
          <w:rFonts w:ascii="Book Antiqua" w:eastAsia="Times New Roman" w:hAnsi="Book Antiqua" w:cs="Times New Roman"/>
          <w:kern w:val="0"/>
          <w:lang w:val="es-ES"/>
          <w14:ligatures w14:val="none"/>
        </w:rPr>
        <w:t>.</w:t>
      </w:r>
    </w:p>
    <w:p w14:paraId="7C5D503D"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r w:rsidRPr="00DA0FC7">
        <w:rPr>
          <w:rFonts w:ascii="Book Antiqua" w:eastAsia="Times New Roman" w:hAnsi="Book Antiqua" w:cs="Times New Roman"/>
          <w:kern w:val="0"/>
          <w:lang w:val="es-ES"/>
          <w14:ligatures w14:val="none"/>
        </w:rPr>
        <w:t>Respetuosamente sometido,</w:t>
      </w:r>
    </w:p>
    <w:p w14:paraId="22DC3676"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DA0FC7"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DA0FC7">
        <w:rPr>
          <w:rFonts w:ascii="Book Antiqua" w:eastAsia="Times New Roman" w:hAnsi="Book Antiqua" w:cs="Times New Roman"/>
          <w:b/>
          <w:bCs/>
          <w:i/>
          <w:iCs/>
          <w:kern w:val="0"/>
          <w:lang w:val="es-ES"/>
          <w14:ligatures w14:val="none"/>
        </w:rPr>
        <w:t>Hon. Gabriel Rodríguez Aguiló</w:t>
      </w:r>
      <w:r w:rsidRPr="00DA0FC7">
        <w:rPr>
          <w:rFonts w:ascii="Book Antiqua" w:eastAsia="Times New Roman" w:hAnsi="Book Antiqua" w:cs="Times New Roman"/>
          <w:b/>
          <w:bCs/>
          <w:i/>
          <w:iCs/>
          <w:kern w:val="0"/>
          <w:lang w:val="es-ES"/>
          <w14:ligatures w14:val="none"/>
        </w:rPr>
        <w:tab/>
      </w:r>
      <w:r w:rsidRPr="00DA0FC7">
        <w:rPr>
          <w:rFonts w:ascii="Book Antiqua" w:eastAsia="Times New Roman" w:hAnsi="Book Antiqua" w:cs="Times New Roman"/>
          <w:b/>
          <w:bCs/>
          <w:i/>
          <w:iCs/>
          <w:kern w:val="0"/>
          <w:lang w:val="es-ES"/>
          <w14:ligatures w14:val="none"/>
        </w:rPr>
        <w:tab/>
        <w:t xml:space="preserve"> </w:t>
      </w:r>
    </w:p>
    <w:p w14:paraId="5E3617E6"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r w:rsidRPr="00DA0FC7">
        <w:rPr>
          <w:rFonts w:ascii="Book Antiqua" w:eastAsia="Times New Roman" w:hAnsi="Book Antiqua" w:cs="Times New Roman"/>
          <w:kern w:val="0"/>
          <w:lang w:val="es-ES"/>
          <w14:ligatures w14:val="none"/>
        </w:rPr>
        <w:t>Presidente</w:t>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r w:rsidRPr="00DA0FC7">
        <w:rPr>
          <w:rFonts w:ascii="Book Antiqua" w:eastAsia="Times New Roman" w:hAnsi="Book Antiqua" w:cs="Times New Roman"/>
          <w:kern w:val="0"/>
          <w:lang w:val="es-ES"/>
          <w14:ligatures w14:val="none"/>
        </w:rPr>
        <w:tab/>
      </w:r>
    </w:p>
    <w:p w14:paraId="5C3FB7A2" w14:textId="77777777" w:rsidR="00861444" w:rsidRPr="00DA0FC7" w:rsidRDefault="00861444" w:rsidP="00861444">
      <w:pPr>
        <w:spacing w:after="0" w:line="240" w:lineRule="auto"/>
        <w:jc w:val="both"/>
        <w:rPr>
          <w:rFonts w:ascii="Book Antiqua" w:eastAsia="Times New Roman" w:hAnsi="Book Antiqua" w:cs="Times New Roman"/>
          <w:kern w:val="0"/>
          <w:lang w:val="es-ES"/>
          <w14:ligatures w14:val="none"/>
        </w:rPr>
      </w:pPr>
      <w:r w:rsidRPr="00DA0FC7">
        <w:rPr>
          <w:rFonts w:ascii="Book Antiqua" w:eastAsia="Times New Roman" w:hAnsi="Book Antiqua" w:cs="Times New Roman"/>
          <w:kern w:val="0"/>
          <w:lang w:val="es-ES"/>
          <w14:ligatures w14:val="none"/>
        </w:rPr>
        <w:t>Comisión de Salud</w:t>
      </w:r>
    </w:p>
    <w:p w14:paraId="13749CF8" w14:textId="77777777" w:rsidR="00861444" w:rsidRPr="00DA0FC7" w:rsidRDefault="00861444" w:rsidP="00861444">
      <w:pPr>
        <w:rPr>
          <w:rFonts w:ascii="Book Antiqua" w:hAnsi="Book Antiqua"/>
        </w:rPr>
      </w:pPr>
    </w:p>
    <w:p w14:paraId="7A72E482" w14:textId="77777777" w:rsidR="00861444" w:rsidRPr="00DA0FC7" w:rsidRDefault="00861444">
      <w:pPr>
        <w:rPr>
          <w:rFonts w:ascii="Book Antiqua" w:hAnsi="Book Antiqua"/>
        </w:rPr>
      </w:pPr>
    </w:p>
    <w:sectPr w:rsidR="00861444" w:rsidRPr="00DA0FC7"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1435B" w14:textId="77777777" w:rsidR="00AF4CF8" w:rsidRDefault="00AF4CF8" w:rsidP="00861444">
      <w:pPr>
        <w:spacing w:after="0" w:line="240" w:lineRule="auto"/>
      </w:pPr>
      <w:r>
        <w:separator/>
      </w:r>
    </w:p>
  </w:endnote>
  <w:endnote w:type="continuationSeparator" w:id="0">
    <w:p w14:paraId="2591F558" w14:textId="77777777" w:rsidR="00AF4CF8" w:rsidRDefault="00AF4CF8"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4711C" w14:textId="77777777" w:rsidR="00AF4CF8" w:rsidRDefault="00AF4CF8" w:rsidP="00861444">
      <w:pPr>
        <w:spacing w:after="0" w:line="240" w:lineRule="auto"/>
      </w:pPr>
      <w:r>
        <w:separator/>
      </w:r>
    </w:p>
  </w:footnote>
  <w:footnote w:type="continuationSeparator" w:id="0">
    <w:p w14:paraId="19A4B32C" w14:textId="77777777" w:rsidR="00AF4CF8" w:rsidRDefault="00AF4CF8"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35FA5D23" w:rsidR="00B659C3" w:rsidRPr="00A77674"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284294">
      <w:rPr>
        <w:rFonts w:ascii="Book Antiqua" w:hAnsi="Book Antiqua"/>
        <w:b/>
        <w:sz w:val="20"/>
        <w:lang w:val="es-PR"/>
      </w:rPr>
      <w:t>126</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39ED"/>
    <w:rsid w:val="00081443"/>
    <w:rsid w:val="00084DA8"/>
    <w:rsid w:val="000C3267"/>
    <w:rsid w:val="000D65A4"/>
    <w:rsid w:val="001012D5"/>
    <w:rsid w:val="00110979"/>
    <w:rsid w:val="0011734C"/>
    <w:rsid w:val="00131632"/>
    <w:rsid w:val="001626DE"/>
    <w:rsid w:val="001763D2"/>
    <w:rsid w:val="00192577"/>
    <w:rsid w:val="001A2C97"/>
    <w:rsid w:val="001D0E7C"/>
    <w:rsid w:val="0021217A"/>
    <w:rsid w:val="00234F2E"/>
    <w:rsid w:val="00244B58"/>
    <w:rsid w:val="0025502A"/>
    <w:rsid w:val="00284294"/>
    <w:rsid w:val="00290256"/>
    <w:rsid w:val="00291395"/>
    <w:rsid w:val="00292AF7"/>
    <w:rsid w:val="002A21FA"/>
    <w:rsid w:val="002B1FAF"/>
    <w:rsid w:val="002D64F9"/>
    <w:rsid w:val="002E208B"/>
    <w:rsid w:val="002E362A"/>
    <w:rsid w:val="002F4526"/>
    <w:rsid w:val="00323C49"/>
    <w:rsid w:val="0034498C"/>
    <w:rsid w:val="0035178A"/>
    <w:rsid w:val="00353ADB"/>
    <w:rsid w:val="00387CBC"/>
    <w:rsid w:val="003937F5"/>
    <w:rsid w:val="0039735F"/>
    <w:rsid w:val="003A35A9"/>
    <w:rsid w:val="003A4F7B"/>
    <w:rsid w:val="003B5976"/>
    <w:rsid w:val="003C4C24"/>
    <w:rsid w:val="003C50B1"/>
    <w:rsid w:val="003E131F"/>
    <w:rsid w:val="003F4633"/>
    <w:rsid w:val="003F58A1"/>
    <w:rsid w:val="00437F4D"/>
    <w:rsid w:val="00443433"/>
    <w:rsid w:val="004734A0"/>
    <w:rsid w:val="004B09C7"/>
    <w:rsid w:val="004B4DE5"/>
    <w:rsid w:val="004C560D"/>
    <w:rsid w:val="004D7BC5"/>
    <w:rsid w:val="005360AE"/>
    <w:rsid w:val="0058597F"/>
    <w:rsid w:val="005A66FC"/>
    <w:rsid w:val="005C0768"/>
    <w:rsid w:val="005C36CE"/>
    <w:rsid w:val="005F183A"/>
    <w:rsid w:val="005F2C90"/>
    <w:rsid w:val="00632E97"/>
    <w:rsid w:val="00661D5C"/>
    <w:rsid w:val="00676A56"/>
    <w:rsid w:val="00685321"/>
    <w:rsid w:val="006943EA"/>
    <w:rsid w:val="006F614E"/>
    <w:rsid w:val="00736125"/>
    <w:rsid w:val="00746F3F"/>
    <w:rsid w:val="00776802"/>
    <w:rsid w:val="00796C47"/>
    <w:rsid w:val="007A0F35"/>
    <w:rsid w:val="007A2E1D"/>
    <w:rsid w:val="007E0612"/>
    <w:rsid w:val="00806C2B"/>
    <w:rsid w:val="00817073"/>
    <w:rsid w:val="00843381"/>
    <w:rsid w:val="00847F01"/>
    <w:rsid w:val="00855BA3"/>
    <w:rsid w:val="00861444"/>
    <w:rsid w:val="00893040"/>
    <w:rsid w:val="008B1CDB"/>
    <w:rsid w:val="008D2E9D"/>
    <w:rsid w:val="00905573"/>
    <w:rsid w:val="00924789"/>
    <w:rsid w:val="0094012B"/>
    <w:rsid w:val="009501CD"/>
    <w:rsid w:val="0098208B"/>
    <w:rsid w:val="00997291"/>
    <w:rsid w:val="009B3B21"/>
    <w:rsid w:val="009D4483"/>
    <w:rsid w:val="00A11F1A"/>
    <w:rsid w:val="00A2334E"/>
    <w:rsid w:val="00A61EFB"/>
    <w:rsid w:val="00A82B47"/>
    <w:rsid w:val="00A9185B"/>
    <w:rsid w:val="00AC73AF"/>
    <w:rsid w:val="00AF4CF8"/>
    <w:rsid w:val="00B1345C"/>
    <w:rsid w:val="00B379E9"/>
    <w:rsid w:val="00B37FD6"/>
    <w:rsid w:val="00B659C3"/>
    <w:rsid w:val="00BA5615"/>
    <w:rsid w:val="00BA5B6E"/>
    <w:rsid w:val="00BC3EEC"/>
    <w:rsid w:val="00C2672E"/>
    <w:rsid w:val="00C32FAB"/>
    <w:rsid w:val="00C44318"/>
    <w:rsid w:val="00C551A2"/>
    <w:rsid w:val="00C7151D"/>
    <w:rsid w:val="00C74804"/>
    <w:rsid w:val="00D60BB2"/>
    <w:rsid w:val="00D61347"/>
    <w:rsid w:val="00D65DA4"/>
    <w:rsid w:val="00D6769D"/>
    <w:rsid w:val="00D83F3E"/>
    <w:rsid w:val="00D8583F"/>
    <w:rsid w:val="00DA0FC7"/>
    <w:rsid w:val="00DA31E8"/>
    <w:rsid w:val="00DB6528"/>
    <w:rsid w:val="00E02239"/>
    <w:rsid w:val="00E02BAB"/>
    <w:rsid w:val="00E10F20"/>
    <w:rsid w:val="00E16831"/>
    <w:rsid w:val="00E21F79"/>
    <w:rsid w:val="00E80D1C"/>
    <w:rsid w:val="00E84E05"/>
    <w:rsid w:val="00E90256"/>
    <w:rsid w:val="00E92E2B"/>
    <w:rsid w:val="00EB2410"/>
    <w:rsid w:val="00EC05DB"/>
    <w:rsid w:val="00EE7C51"/>
    <w:rsid w:val="00F14CFF"/>
    <w:rsid w:val="00F227BA"/>
    <w:rsid w:val="00F57E1D"/>
    <w:rsid w:val="00F8790D"/>
    <w:rsid w:val="00FA0102"/>
    <w:rsid w:val="00FA516D"/>
    <w:rsid w:val="00FA57C1"/>
    <w:rsid w:val="00FC1C31"/>
    <w:rsid w:val="00FC5902"/>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25F5DC9B-E3D5-42BA-B879-C01D2E8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 w:type="paragraph" w:styleId="NormalWeb">
    <w:name w:val="Normal (Web)"/>
    <w:basedOn w:val="Normal"/>
    <w:uiPriority w:val="99"/>
    <w:semiHidden/>
    <w:unhideWhenUsed/>
    <w:rsid w:val="004B4DE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1532</Words>
  <Characters>8737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2026-04-23T18:10:00Z</cp:lastPrinted>
  <dcterms:created xsi:type="dcterms:W3CDTF">2026-04-27T18:59:00Z</dcterms:created>
  <dcterms:modified xsi:type="dcterms:W3CDTF">2026-04-27T18:59:00Z</dcterms:modified>
</cp:coreProperties>
</file>